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rFonts w:ascii="arial" w:eastAsia="arial" w:hAnsi="arial" w:cs="arial"/>
          <w:sz w:val="20"/>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Sartori v. Gates, [2011] B.C.J. No. 616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R.D. Wilson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17,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5,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06-2649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616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419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 C.P.C. (7th) 166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 A.C.W.S. (3d) 654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CarswellBC 786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Dino Sartori, Plaintiff, and Robert Gates,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(106 paras.)</w:t>
      </w:r>
    </w:p>
    <w:p>
      <w:pPr>
        <w:jc w:val="both"/>
        <w:rPr>
          <w:rFonts w:ascii="arial" w:eastAsia="arial" w:hAnsi="arial" w:cs="arial"/>
          <w:sz w:val="20"/>
          <w:lang w:val="en-US" w:eastAsia="en-US" w:bidi="ar-SA"/>
        </w:rPr>
      </w:pPr>
      <w:bookmarkStart w:id="0" w:name="Counsel"/>
      <w:bookmarkEnd w:id="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25" style="position:absolute;z-index:2516582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M.A. Sheane and B.J. Flewelling.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D.A. Farquhar, Q.C.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 w:name="Judgment"/>
      <w:bookmarkEnd w:id="1"/>
      <w:r>
        <w:pict>
          <v:line id="_x0000_s1026" style="position:absolute;z-index:25170944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 w:name="R.D. WILSON J."/>
            <w:bookmarkEnd w:id="2"/>
            <w:r>
              <w:rPr>
                <w:rFonts w:ascii="arial" w:eastAsia="arial" w:hAnsi="arial" w:cs="arial"/>
                <w:b/>
                <w:color w:val="000000"/>
                <w:sz w:val="30"/>
                <w:lang w:val="en-US" w:eastAsia="en-US" w:bidi="ar-SA"/>
              </w:rPr>
              <w:t>R.D. WILSON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claim for damages, for personal injuries, resulted in a jury verdict, in his favour, assessing his personal injury damages at $344,100.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jury found that the plaintiff was one-third at fault for the precipitating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Post-verdict proceedings about pre-judgment interest, tax liability on past wage loss and tax gross-up on the cost of future care award, yielded a judgment in the plaintiff's favour, in the final analysis, of $234,513.30.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present application seeks a determination of the order to be made, for the costs of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 brief summary of the history of the litigation, as it relates to the issues of costs raised by the parties, is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the summer of 2005, the defendant acquired a new truck. It was a 1998 Dodge truck, with a standard transmission. Its curb weight was 5,703 pounds.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 wanted to show his new acquisition to his friend, the plaintiff. The defendant backed his truck up a sloped driveway, next to a car on that driveway, at the plaintiff's residence. The defendant left the gear box in neutral and applied the hand brake.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two gentlemen were between the truck and the car when the defendant moved around to the driver's door of the truck, to open the hood, to show the motor compartment to the plaintiff. The defendant reached into the cab of the truck and released the hand brake, instead of the hood release. The truck rolled down the sloped driveway and pinned the plaintiff between the truck and the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This precipitating event occurred on 7 August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11 August 2005, the plaintiff was interviewed by a representative of the defendant's liability insurance carrier. During that interview, the plaintiff said, among other things: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truck started to roll. He tried frantically to get into the bloody truck to apply the brake. For some strange reason, I tried to hold the truck back so he could get into it. The truck just pushed me and pushed me and the next thing I know I hit Shannon's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was asked the separation distance between the truck and the car. His answer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Maybe four feet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He was further asked if he could have moved out of the way. His answer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honestly can't say. I was pushing on the front driver's corner of the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commenced his action on 8 June 2006. Pleadings were closed by 10 August 2006; subject to an amendment, by consent, made at the trial of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In his statement of defence, the defendant denied liability for the precipitating incident, with an alternative plea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plaintiff conducted an examination for discovery of the defendant on 3 November 2006. The testimony given by the defendant on that occasion was consistent with plaintiff's counsel's theory of the plaintiff's case. The defendant provided no testimony in support of the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attributed to the plaintiff in the defendant's statement of defence. A compendium of the questions and answers on that examination for discovery, were read into the record at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Although the defendant's examination for discovery may have been consistent with plaintiff's counsel's theory of the case, I find that his examination for discovery testimony was inconsistent with the statements by the plaintiff, made four days after the precipitating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plaintiff's trial testimony was inconsistent with statements made by him during the interview of 11 August 2005. When confronted with the inconsistencies, on cross-examination, the plaintiff adopted the statements of 11 August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Notice of trial was taken out on 27 April 2007, with a return date in October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defendant commenced his oral examination for discovery of the plaintiff on 17 May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As a result of the plaintiff's pending surgery, the October 2008 trial date was adjourned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20 April 2008, the defendant's liability insurance carrier commenced surveillance of the plaintiff. Video recordings were made during that surveillance. On the initial occasion, the surveillance occurred on 20, 22 and 23 April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August 2008, the plaintiff underwent back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June 2009, the defendant delivered an offer to settle the plaintiff's claim at $55,000, subject to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July 2009, a new notice of trial was taken out, with a return date of 10 January 2011. Counsel estimated 15 days as required for the hearing of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the autumn of 2007, it appears, the plaintiff began marshalling the opinion evidence necessary for the presentation of his claim. The marshalling of this evidence appears to have been concluded by 8 November 2010. Although there is no evidence of this fact, I presume notice of the opinion evidence was given in, or about, November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Further surveillance was conducted on 27, 28 and 29 August 2009. And again on 17 and 18 July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At a trial management conference on 16 November 2010, the defendant admitted liability, but identified the issues for resolution as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 and quantum of damages. In his brief for that conference, the defendant revealed the existence of video recordings of the surveillance conducted on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At that conference, the court abridged the time prescribed in R. 12-5(10) and ordered the delivery of copies of the video recordings by the close of business on 23 November 2010. The defendant delivered edited video recordings on 17 November 2010, and unedited video recordings on 23 November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13 December 2010, the defendant delivered a second offer to settle. This offer is for $230,000. It is subject to a number of conditions. Two of those conditions are material in the context of the present inquiry. They were paraphrased in the plaintiff's brief on costs:</w:t>
      </w:r>
      <w:r>
        <w:rPr>
          <w:rFonts w:ascii="arial" w:eastAsia="arial" w:hAnsi="arial" w:cs="arial"/>
          <w:sz w:val="20"/>
          <w:lang w:val="en-US" w:eastAsia="en-US" w:bidi="ar-SA"/>
        </w:rPr>
        <w:cr/>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upon acceptance of the offer, the Plaintiff was entitled to costs and necessary and reasonable disbursements to the date of delivery of the offer ...;</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upon acceptance of the offer, the Defendant was entitled to costs and necessary and reasonable disbursements from the date of delivery of the offer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 14 December 2010, the plaintiff delivered to the defendant a formal offer to settle in the amount of $600,000, plus assessable costs and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offers were not accepted. The matter went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her opening to the jury, counsel for the plaintiff advised the jury that the plaintiff would be seeking $700,000 to $850,000 for his financial losses, plus a sum for the greatest loss, the human loss, i.e.,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On the seventh day of the trial, 18 January 2011, the plaintiff proposed to tender a report by a medical practitioner. That report had its own history. In the initial format, delivered to the defendant, this practitioner's report was in a format which had been previously criticized by a judge of this court, in </w:t>
      </w:r>
      <w:r>
        <w:rPr>
          <w:rFonts w:ascii="arial" w:eastAsia="arial" w:hAnsi="arial" w:cs="arial"/>
          <w:i/>
          <w:color w:val="000000"/>
          <w:sz w:val="20"/>
          <w:lang w:val="en-US" w:eastAsia="en-US" w:bidi="ar-SA"/>
        </w:rPr>
        <w:t>Warkentin v. Riggs</w:t>
      </w:r>
      <w:r>
        <w:rPr>
          <w:rFonts w:ascii="arial" w:eastAsia="arial" w:hAnsi="arial" w:cs="arial"/>
          <w:color w:val="000000"/>
          <w:sz w:val="20"/>
          <w:lang w:val="en-US" w:eastAsia="en-US" w:bidi="ar-SA"/>
        </w:rPr>
        <w:t>.</w:t>
      </w:r>
      <w:bookmarkStart w:id="3" w:name="Backward_fnref_fnr-1"/>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3"/>
      <w:r>
        <w:rPr>
          <w:rFonts w:ascii="arial" w:eastAsia="arial" w:hAnsi="arial" w:cs="arial"/>
          <w:color w:val="000000"/>
          <w:sz w:val="20"/>
          <w:lang w:val="en-US" w:eastAsia="en-US" w:bidi="ar-SA"/>
        </w:rPr>
        <w:t xml:space="preserve"> Counsel for the defendant raised objection to this report with plaintiff's counsel, who then sought a reformatting of the report, to eliminate the more obvious indications of advocacy. It was the reformatted report which was sought to be tendered in evidence. The defendant continued to take objection to the jury hearing any evidence from this medical practitioner. Accordingly, a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 xml:space="preserve"> was conducted throughout the eighth day of trial. As it developed, it was not necessary for me to make a ruling on the admissibility of that report, because the plaintiff advised that this report would not be tendered. And the doctor would not be called to testify,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before the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her closing argument, plaintiff's counsel suggested the following assessments: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601"/>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Type of Damages</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Amount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1"/>
        <w:gridCol w:w="2614"/>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$7,362.21</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8"/>
        <w:gridCol w:w="3346"/>
        <w:gridCol w:w="2718"/>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Wage Loss</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$31,879.99</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869"/>
        <w:gridCol w:w="2196"/>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Earning Capacity</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$500,000.00</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5"/>
        <w:gridCol w:w="2510"/>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Future Cost of Care</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$186,400.00</w:t>
            </w:r>
          </w:p>
        </w:tc>
        <w:tc>
          <w:tcPr>
            <w:tcW w:w="368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368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3451"/>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337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$725,642.20</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Plus,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jury returned the following verdict: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601"/>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Type of Damages</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Amount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1"/>
        <w:gridCol w:w="2614"/>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$7,400.00</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8"/>
        <w:gridCol w:w="3346"/>
        <w:gridCol w:w="2718"/>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Wage Loss</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$30,700.00</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8"/>
        <w:gridCol w:w="3973"/>
        <w:gridCol w:w="2091"/>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Earning Capacity</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$69,000.00</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5"/>
        <w:gridCol w:w="2510"/>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Cost of Care</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$62,000.00</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660"/>
        <w:gridCol w:w="2405"/>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$175,000.00</w:t>
            </w:r>
          </w:p>
        </w:tc>
        <w:tc>
          <w:tcPr>
            <w:tcW w:w="368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368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3451"/>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337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$344,100.00</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jury found the plaintiff 33 1/3% at fault for the incident. In result, at that stage of the proceedings, therefore, the plaintiff fell approximately $500 short of the defendant's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There remained, however, a determination of the issues of interest, deduction of so-called Part 7 benefits, and tax gross-up on the award for costs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On the return of the applications for determination of those issues, the plaintiff was prepared to have them all heard on the same day. The defendant was not prepared to proceed, and accordingly, the matter was adjourned for further hearing from 3 February 2011 to 10 February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Upon those issues being resolved, the plaintiff's final award is $234,513.30.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plaintiff's proposed bill for assessment is approximately $135,660.00, consisting of $14,660 in costs, plus $121,000.00 in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parties raised two essential issues for determination. The first is whether the plaintiff is entitled to his costs throughout. The second is whether the plaintiff is subject to a one-third reduction in his costs and disbursements due to his own contributing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governing principle on the first issue, is R. 14-1(9). The material words of that subrule, on this application, 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costs of a proceeding must be awarded to the successful party unless the court otherwise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onus is on the defendant to persuade me why I should otherwise order.</w:t>
      </w:r>
      <w:bookmarkStart w:id="4" w:name="Backward_fnref_fnr-2"/>
      <w:hyperlink w:anchor="Forward_fnref_fnr-2" w:history="1">
        <w:r>
          <w:rPr>
            <w:rFonts w:ascii="arial" w:eastAsia="arial" w:hAnsi="arial" w:cs="arial"/>
            <w:b/>
            <w:color w:val="BE161D"/>
            <w:sz w:val="20"/>
            <w:shd w:val="clear" w:color="auto" w:fill="FFFFFF"/>
            <w:vertAlign w:val="superscript"/>
            <w:lang w:val="en-US" w:eastAsia="en-US" w:bidi="ar-SA"/>
          </w:rPr>
          <w:t>2</w:t>
        </w:r>
      </w:hyperlink>
      <w:bookmarkEnd w:id="4"/>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defendant's first position, on that first issue, is that the plaintiff should be entitled to none of his costs or disbursements incurred after the date of the defendant's offer to settle on 13 December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support of that position, the defendant calls in aid the provisions of R. 9-1(5)(a):</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 proceeding in which an offer to settle has been made, the court may do one of more of the following:</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deprive a party of any or all of the costs, including any or all of the disbursements, to which the party would otherwise be entitled in respect of all or some of the steps taken in the proceeding after the date of delivery ... of the offer to settle.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Subrule (6) of R. 9-1, informs the exercise of the discretion conferred by subrule (5):</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making an order under subrule (5), the court may consider the following:</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offer to settle was one that ought reasonably to have been accepted, either on the date that the offer to settle was delivered or served or on any later date;</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relationship between the terms of settlement offered and the final judgment of the court;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defendant contends that the plaintiff ought reasonably to have accepted his offer; that the offer was within a knife's edge of rendering the trial unnecessary, or at the least, raising a different issue to be determined on this application, namely, the payment of costs by the plaintiff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defendant's second position, on that first issue, is that both the plaintiff and defendant were partially successful on the plaintiff's claims for future loss of income and cost of future care. These two heads of damage consumed 75% of the trial time. The defendant argues that these issues were the main focus of his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plaintiff sought an award of $500,000.00 for future income loss; the jury's verdict resulted in an award of $46,000.00.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plaintiff sought an award of $186,400.00 for cost of future care; the jury's verdict resulted in an award of $41,300.00.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Therefore, goes this argument, the plaintiff should get 25% of his costs and disbursements after the date of the delivery of the offer. And in any event, the plaintiff should be allowed no costs or disbursements associated with the seventh day of trial and the medical practitioner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defendant's third position, on this first issue, is that the defendant should be awarded his costs of the trial, for that part of the trial devoted to the plaintiff's claims for future income loss and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This third position is founded on R. 14-1(15), the material words of which are:</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may award costs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relate to some particular ... step or matter in or related to the proceeding, or</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except so far as they relate to some particular ... step or matter in or related to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defendant has not persuaded me that he has established grounds for me to otherwise order. For the following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plaintiff reminds me that the discretion conferred by the cost rules must be exercised judicially. The parameters of that judicial duty were referred to in </w:t>
      </w:r>
      <w:r>
        <w:rPr>
          <w:rFonts w:ascii="arial" w:eastAsia="arial" w:hAnsi="arial" w:cs="arial"/>
          <w:i/>
          <w:color w:val="000000"/>
          <w:sz w:val="20"/>
          <w:lang w:val="en-US" w:eastAsia="en-US" w:bidi="ar-SA"/>
        </w:rPr>
        <w:t>Stiles v. B.C. (Workers' Compensation Board)</w:t>
      </w:r>
      <w:r>
        <w:rPr>
          <w:rFonts w:ascii="arial" w:eastAsia="arial" w:hAnsi="arial" w:cs="arial"/>
          <w:color w:val="000000"/>
          <w:sz w:val="20"/>
          <w:lang w:val="en-US" w:eastAsia="en-US" w:bidi="ar-SA"/>
        </w:rPr>
        <w:t>,</w:t>
      </w:r>
      <w:bookmarkStart w:id="5" w:name="Backward_fnref_fnr-3"/>
      <w:hyperlink w:anchor="Forward_fnref_fnr-3" w:history="1">
        <w:r>
          <w:rPr>
            <w:rFonts w:ascii="arial" w:eastAsia="arial" w:hAnsi="arial" w:cs="arial"/>
            <w:b/>
            <w:color w:val="BE161D"/>
            <w:sz w:val="20"/>
            <w:shd w:val="clear" w:color="auto" w:fill="FFFFFF"/>
            <w:vertAlign w:val="superscript"/>
            <w:lang w:val="en-US" w:eastAsia="en-US" w:bidi="ar-SA"/>
          </w:rPr>
          <w:t>3</w:t>
        </w:r>
      </w:hyperlink>
      <w:bookmarkEnd w:id="5"/>
      <w:r>
        <w:rPr>
          <w:rFonts w:ascii="arial" w:eastAsia="arial" w:hAnsi="arial" w:cs="arial"/>
          <w:color w:val="000000"/>
          <w:sz w:val="20"/>
          <w:lang w:val="en-US" w:eastAsia="en-US" w:bidi="ar-SA"/>
        </w:rPr>
        <w:t xml:space="preserve"> and iterated consistently thereafter.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discretion must be exercised judicially, i.e. not arbitrarily or capriciously. And, as I have said, it must be exercised consistently with the Rules of Court. But it would be a sorry result if like cases were not decided in like ways with respect to costs. So, by judicial comity, principles have developed which guide the exercise of the discretion of a judge with respect to costs. Those principles should be consistently applied; if a judge declines to apply them, without a reason for doing so, he may be considered to have acted arbitrarily or capriciously and not judicially.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Rules of Court mentioned in that extract are those cited above. The "principles ... developed ..."</w:t>
      </w:r>
      <w:bookmarkStart w:id="6" w:name="Backward_fnref_fnr-4"/>
      <w:hyperlink w:anchor="Forward_fnref_fnr-4" w:history="1">
        <w:r>
          <w:rPr>
            <w:rFonts w:ascii="arial" w:eastAsia="arial" w:hAnsi="arial" w:cs="arial"/>
            <w:b/>
            <w:color w:val="BE161D"/>
            <w:sz w:val="20"/>
            <w:shd w:val="clear" w:color="auto" w:fill="FFFFFF"/>
            <w:vertAlign w:val="superscript"/>
            <w:lang w:val="en-US" w:eastAsia="en-US" w:bidi="ar-SA"/>
          </w:rPr>
          <w:t>4</w:t>
        </w:r>
      </w:hyperlink>
      <w:bookmarkEnd w:id="6"/>
      <w:r>
        <w:rPr>
          <w:rFonts w:ascii="arial" w:eastAsia="arial" w:hAnsi="arial" w:cs="arial"/>
          <w:color w:val="000000"/>
          <w:sz w:val="20"/>
          <w:lang w:val="en-US" w:eastAsia="en-US" w:bidi="ar-SA"/>
        </w:rPr>
        <w:t xml:space="preserve"> or "purposes", were referred to in </w:t>
      </w:r>
      <w:r>
        <w:rPr>
          <w:rFonts w:ascii="arial" w:eastAsia="arial" w:hAnsi="arial" w:cs="arial"/>
          <w:i/>
          <w:color w:val="000000"/>
          <w:sz w:val="20"/>
          <w:lang w:val="en-US" w:eastAsia="en-US" w:bidi="ar-SA"/>
        </w:rPr>
        <w:t>Giles v. Westminster Savings and Credit Union</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purposes for which costs rules exist must be kept in mind in determining whether appellate intervention is warranted. In addition to indemnifying a successful litigant, those purposes have been described as follows by this Court: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"[D]eterring frivolous actions or defences": </w:t>
      </w:r>
      <w:r>
        <w:rPr>
          <w:rFonts w:ascii="arial" w:eastAsia="arial" w:hAnsi="arial" w:cs="arial"/>
          <w:i/>
          <w:color w:val="000000"/>
          <w:sz w:val="20"/>
          <w:lang w:val="en-US" w:eastAsia="en-US" w:bidi="ar-SA"/>
        </w:rPr>
        <w:t>Houweling Nurseries Ltd. v. Fisons Western Corp.</w:t>
      </w:r>
      <w:r>
        <w:rPr>
          <w:rFonts w:ascii="arial" w:eastAsia="arial" w:hAnsi="arial" w:cs="arial"/>
          <w:color w:val="000000"/>
          <w:sz w:val="20"/>
          <w:lang w:val="en-US" w:eastAsia="en-US" w:bidi="ar-SA"/>
        </w:rPr>
        <w:t xml:space="preserve"> </w:t>
      </w:r>
      <w:hyperlink r:id="rId11" w:history="1">
        <w:r>
          <w:rPr>
            <w:rFonts w:ascii="arial" w:eastAsia="arial" w:hAnsi="arial" w:cs="arial"/>
            <w:i/>
            <w:color w:val="0077CC"/>
            <w:sz w:val="20"/>
            <w:u w:val="single"/>
            <w:shd w:val="clear" w:color="auto" w:fill="FFFFFF"/>
            <w:lang w:val="en-US" w:eastAsia="en-US" w:bidi="ar-SA"/>
          </w:rPr>
          <w:t>(1988), 37 B.C.L.R. (2d) 2</w:t>
        </w:r>
      </w:hyperlink>
      <w:r>
        <w:rPr>
          <w:rFonts w:ascii="arial" w:eastAsia="arial" w:hAnsi="arial" w:cs="arial"/>
          <w:color w:val="000000"/>
          <w:sz w:val="20"/>
          <w:lang w:val="en-US" w:eastAsia="en-US" w:bidi="ar-SA"/>
        </w:rPr>
        <w:t xml:space="preserve"> at 25 (C.A.), leave ref'd, </w:t>
      </w:r>
      <w:hyperlink r:id="rId12" w:history="1">
        <w:r>
          <w:rPr>
            <w:rFonts w:ascii="arial" w:eastAsia="arial" w:hAnsi="arial" w:cs="arial"/>
            <w:i/>
            <w:color w:val="0077CC"/>
            <w:sz w:val="20"/>
            <w:u w:val="single"/>
            <w:shd w:val="clear" w:color="auto" w:fill="FFFFFF"/>
            <w:lang w:val="en-US" w:eastAsia="en-US" w:bidi="ar-SA"/>
          </w:rPr>
          <w:t>[1988] S.C.C.A. No. 200</w:t>
        </w:r>
      </w:hyperlink>
      <w:r>
        <w:rPr>
          <w:rFonts w:ascii="arial" w:eastAsia="arial" w:hAnsi="arial" w:cs="arial"/>
          <w:color w:val="000000"/>
          <w:sz w:val="20"/>
          <w:lang w:val="en-US" w:eastAsia="en-US" w:bidi="ar-SA"/>
        </w:rPr>
        <w:t>, [1988] 1 S.C.R. ix;</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encourage conduct that reduces the duration and expense of litigation and to discourage conduct that has the opposite effect": </w:t>
      </w:r>
      <w:r>
        <w:rPr>
          <w:rFonts w:ascii="arial" w:eastAsia="arial" w:hAnsi="arial" w:cs="arial"/>
          <w:i/>
          <w:color w:val="000000"/>
          <w:sz w:val="20"/>
          <w:lang w:val="en-US" w:eastAsia="en-US" w:bidi="ar-SA"/>
        </w:rPr>
        <w:t>Skidmore v. Blackmore</w:t>
      </w:r>
      <w:r>
        <w:rPr>
          <w:rFonts w:ascii="arial" w:eastAsia="arial" w:hAnsi="arial" w:cs="arial"/>
          <w:color w:val="000000"/>
          <w:sz w:val="20"/>
          <w:lang w:val="en-US" w:eastAsia="en-US" w:bidi="ar-SA"/>
        </w:rPr>
        <w:t xml:space="preserve"> </w:t>
      </w:r>
      <w:hyperlink r:id="rId13" w:history="1">
        <w:r>
          <w:rPr>
            <w:rFonts w:ascii="arial" w:eastAsia="arial" w:hAnsi="arial" w:cs="arial"/>
            <w:i/>
            <w:color w:val="0077CC"/>
            <w:sz w:val="20"/>
            <w:u w:val="single"/>
            <w:shd w:val="clear" w:color="auto" w:fill="FFFFFF"/>
            <w:lang w:val="en-US" w:eastAsia="en-US" w:bidi="ar-SA"/>
          </w:rPr>
          <w:t>(1995), 2 B.C.L.R. (3d) 201</w:t>
        </w:r>
      </w:hyperlink>
      <w:r>
        <w:rPr>
          <w:rFonts w:ascii="arial" w:eastAsia="arial" w:hAnsi="arial" w:cs="arial"/>
          <w:color w:val="000000"/>
          <w:sz w:val="20"/>
          <w:lang w:val="en-US" w:eastAsia="en-US" w:bidi="ar-SA"/>
        </w:rPr>
        <w:t xml:space="preserve"> at para. 28 (C.A.);</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"[E]ncouraging litigants to settle whenever possible, thus freeing up judicial resources for other cases": </w:t>
      </w:r>
      <w:r>
        <w:rPr>
          <w:rFonts w:ascii="arial" w:eastAsia="arial" w:hAnsi="arial" w:cs="arial"/>
          <w:i/>
          <w:color w:val="000000"/>
          <w:sz w:val="20"/>
          <w:lang w:val="en-US" w:eastAsia="en-US" w:bidi="ar-SA"/>
        </w:rPr>
        <w:t>Bedwell v. McGill</w:t>
      </w:r>
      <w:r>
        <w:rPr>
          <w:rFonts w:ascii="arial" w:eastAsia="arial" w:hAnsi="arial" w:cs="arial"/>
          <w:color w:val="000000"/>
          <w:sz w:val="20"/>
          <w:lang w:val="en-US" w:eastAsia="en-US" w:bidi="ar-SA"/>
        </w:rPr>
        <w:t xml:space="preserve">, </w:t>
      </w:r>
      <w:hyperlink r:id="rId14" w:history="1">
        <w:r>
          <w:rPr>
            <w:rFonts w:ascii="arial" w:eastAsia="arial" w:hAnsi="arial" w:cs="arial"/>
            <w:i/>
            <w:color w:val="0077CC"/>
            <w:sz w:val="20"/>
            <w:u w:val="single"/>
            <w:shd w:val="clear" w:color="auto" w:fill="FFFFFF"/>
            <w:lang w:val="en-US" w:eastAsia="en-US" w:bidi="ar-SA"/>
          </w:rPr>
          <w:t>2008 BCCA 526</w:t>
        </w:r>
      </w:hyperlink>
      <w:r>
        <w:rPr>
          <w:rFonts w:ascii="arial" w:eastAsia="arial" w:hAnsi="arial" w:cs="arial"/>
          <w:color w:val="000000"/>
          <w:sz w:val="20"/>
          <w:lang w:val="en-US" w:eastAsia="en-US" w:bidi="ar-SA"/>
        </w:rPr>
        <w:t xml:space="preserve">, </w:t>
      </w:r>
      <w:hyperlink r:id="rId14" w:history="1">
        <w:r>
          <w:rPr>
            <w:rFonts w:ascii="arial" w:eastAsia="arial" w:hAnsi="arial" w:cs="arial"/>
            <w:i/>
            <w:color w:val="0077CC"/>
            <w:sz w:val="20"/>
            <w:u w:val="single"/>
            <w:shd w:val="clear" w:color="auto" w:fill="FFFFFF"/>
            <w:lang w:val="en-US" w:eastAsia="en-US" w:bidi="ar-SA"/>
          </w:rPr>
          <w:t>86 B.C.L.R. (4th) 343</w:t>
        </w:r>
      </w:hyperlink>
      <w:r>
        <w:rPr>
          <w:rFonts w:ascii="arial" w:eastAsia="arial" w:hAnsi="arial" w:cs="arial"/>
          <w:color w:val="000000"/>
          <w:sz w:val="20"/>
          <w:lang w:val="en-US" w:eastAsia="en-US" w:bidi="ar-SA"/>
        </w:rPr>
        <w:t xml:space="preserve"> at para. 33;</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have a winnowing function in the litigation process" by "requir[ing] litigants to make a careful assessment of the strength or lack thereof of their cases at the commencement and throughout the course of the litigation", and by "discourag[ing] the continuance of doubtful cases or defences": </w:t>
      </w:r>
      <w:r>
        <w:rPr>
          <w:rFonts w:ascii="arial" w:eastAsia="arial" w:hAnsi="arial" w:cs="arial"/>
          <w:i/>
          <w:color w:val="000000"/>
          <w:sz w:val="20"/>
          <w:lang w:val="en-US" w:eastAsia="en-US" w:bidi="ar-SA"/>
        </w:rPr>
        <w:t>Catalyst Paper Corporation v. Companhia de Navegaçao Norsul</w:t>
      </w:r>
      <w:r>
        <w:rPr>
          <w:rFonts w:ascii="arial" w:eastAsia="arial" w:hAnsi="arial" w:cs="arial"/>
          <w:color w:val="000000"/>
          <w:sz w:val="20"/>
          <w:lang w:val="en-US" w:eastAsia="en-US" w:bidi="ar-SA"/>
        </w:rPr>
        <w:t xml:space="preserve">, </w:t>
      </w:r>
      <w:hyperlink r:id="rId15" w:history="1">
        <w:r>
          <w:rPr>
            <w:rFonts w:ascii="arial" w:eastAsia="arial" w:hAnsi="arial" w:cs="arial"/>
            <w:i/>
            <w:color w:val="0077CC"/>
            <w:sz w:val="20"/>
            <w:u w:val="single"/>
            <w:shd w:val="clear" w:color="auto" w:fill="FFFFFF"/>
            <w:lang w:val="en-US" w:eastAsia="en-US" w:bidi="ar-SA"/>
          </w:rPr>
          <w:t>2009 BCCA 16</w:t>
        </w:r>
      </w:hyperlink>
      <w:r>
        <w:rPr>
          <w:rFonts w:ascii="arial" w:eastAsia="arial" w:hAnsi="arial" w:cs="arial"/>
          <w:color w:val="000000"/>
          <w:sz w:val="20"/>
          <w:lang w:val="en-US" w:eastAsia="en-US" w:bidi="ar-SA"/>
        </w:rPr>
        <w:t xml:space="preserve">, </w:t>
      </w:r>
      <w:hyperlink r:id="rId15" w:history="1">
        <w:r>
          <w:rPr>
            <w:rFonts w:ascii="arial" w:eastAsia="arial" w:hAnsi="arial" w:cs="arial"/>
            <w:i/>
            <w:color w:val="0077CC"/>
            <w:sz w:val="20"/>
            <w:u w:val="single"/>
            <w:shd w:val="clear" w:color="auto" w:fill="FFFFFF"/>
            <w:lang w:val="en-US" w:eastAsia="en-US" w:bidi="ar-SA"/>
          </w:rPr>
          <w:t>88 B.C.L.R. (4th) 17</w:t>
        </w:r>
      </w:hyperlink>
      <w:r>
        <w:rPr>
          <w:rFonts w:ascii="arial" w:eastAsia="arial" w:hAnsi="arial" w:cs="arial"/>
          <w:color w:val="000000"/>
          <w:sz w:val="20"/>
          <w:lang w:val="en-US" w:eastAsia="en-US" w:bidi="ar-SA"/>
        </w:rPr>
        <w:t xml:space="preserve"> at para.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Giles</w:t>
      </w:r>
      <w:r>
        <w:rPr>
          <w:rFonts w:ascii="arial" w:eastAsia="arial" w:hAnsi="arial" w:cs="arial"/>
          <w:color w:val="000000"/>
          <w:sz w:val="20"/>
          <w:lang w:val="en-US" w:eastAsia="en-US" w:bidi="ar-SA"/>
        </w:rPr>
        <w:t xml:space="preserve"> is also authority for the proposition that the "usual rule" is that costs follow the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notion of "like cases ... decided in like ways", is one of those legal precepts beguiling in their simplicity, but complex in their application. Counsel have referred to 11 reports of previous dispositions on costs issues. Several of them are "like" the present case in that they involve cost disputes arising out of personal injury litigation. Some are unlike in that they deal with awards falling short of an offer. I find none of the previous dispositions dispositive of this case. Although I find a number of similarities between this case and </w:t>
      </w:r>
      <w:r>
        <w:rPr>
          <w:rFonts w:ascii="arial" w:eastAsia="arial" w:hAnsi="arial" w:cs="arial"/>
          <w:i/>
          <w:color w:val="000000"/>
          <w:sz w:val="20"/>
          <w:lang w:val="en-US" w:eastAsia="en-US" w:bidi="ar-SA"/>
        </w:rPr>
        <w:t>Fan v. Chana</w:t>
      </w:r>
      <w:r>
        <w:rPr>
          <w:rFonts w:ascii="arial" w:eastAsia="arial" w:hAnsi="arial" w:cs="arial"/>
          <w:color w:val="000000"/>
          <w:sz w:val="20"/>
          <w:lang w:val="en-US" w:eastAsia="en-US" w:bidi="ar-SA"/>
        </w:rPr>
        <w:t>.</w:t>
      </w:r>
      <w:bookmarkStart w:id="7" w:name="Backward_fnref_fnr-5"/>
      <w:hyperlink w:anchor="Forward_fnref_fnr-5" w:history="1">
        <w:r>
          <w:rPr>
            <w:rFonts w:ascii="arial" w:eastAsia="arial" w:hAnsi="arial" w:cs="arial"/>
            <w:b/>
            <w:color w:val="BE161D"/>
            <w:sz w:val="20"/>
            <w:shd w:val="clear" w:color="auto" w:fill="FFFFFF"/>
            <w:vertAlign w:val="superscript"/>
            <w:lang w:val="en-US" w:eastAsia="en-US" w:bidi="ar-SA"/>
          </w:rPr>
          <w:t>5</w:t>
        </w:r>
      </w:hyperlink>
      <w:bookmarkEnd w:id="7"/>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General principles may not decide concrete cases. But they are the starting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first general principles for consideration in this case are found in R. 9-1(5) and (6). The defendant says his offer ought reasonably to have been accepted. He contends the offer was not accepted because the plaintiff viewed his case as much stronger than did the jury. I do not think that the jury award is relevant at this point in the analysis. The question is, what information did the plaintiff have available to him on the day before the trial commenced.</w:t>
      </w:r>
      <w:bookmarkStart w:id="8" w:name="Backward_fnref_fnr-6"/>
      <w:hyperlink w:anchor="Forward_fnref_fnr-6" w:history="1">
        <w:r>
          <w:rPr>
            <w:rFonts w:ascii="arial" w:eastAsia="arial" w:hAnsi="arial" w:cs="arial"/>
            <w:b/>
            <w:color w:val="BE161D"/>
            <w:sz w:val="20"/>
            <w:shd w:val="clear" w:color="auto" w:fill="FFFFFF"/>
            <w:vertAlign w:val="superscript"/>
            <w:lang w:val="en-US" w:eastAsia="en-US" w:bidi="ar-SA"/>
          </w:rPr>
          <w:t>6</w:t>
        </w:r>
      </w:hyperlink>
      <w:bookmarkEnd w:id="8"/>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 agree that the plaintiff believed he had a strong claim. He appears to have viewed the matter from his own perspective. He did not consider the claim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a serious issue in this litigation. He relied upon the examination for discovery testimony of the defendant, and the testimony of his wife, to found his decision on the issue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He discounted his own statement to the defendant's liability insurance representative, four days after the precipitating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Objectively, the plaintiff's admissions in that statement did provide a basis for a finding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 But, I find, the plaintiff virtually ignored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Similarly, the video recordings of the plaintiff during the surveillance episodes, viewed objectively, depicted a person physically capable of activity which the plaintiff denied he was capable of undergoing. The plaintiff interpreted that evidence as neutral. And he received opinions from his medical practitioners that the activity depicted did not change their opinion of a permanent partial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Doctors are not judgmental. Juries are. Consideration ought to have been given to the possibility that the trier of fact would accept the plaintiff's initial description of the precipitating incident, and discount the evidence of his disability in the face of the video recording evidence. He gave no such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That said, however, the question remains, objectively, was the defendant's offer of $230,000 one that ought reasonably to have been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"By law" said Justice Oliver Wendell Holmes, "I mean what the courts will do next time". There is some similarity there for a party presented with an offer to settle; i.e., they must project what this court will do this time. Given the information available on the day before trial, including the plaintiff's statement, the opinions of the experts engaged by the plaintiff, the opinions of the expert engaged by the defendant, and the surveillance video tapes, it is my opinion that the defendant's offer was within the range of a probable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plaintiff had the right to test the extent of that range by trial adjudication.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 endorse the following proposition from </w:t>
      </w:r>
      <w:r>
        <w:rPr>
          <w:rFonts w:ascii="arial" w:eastAsia="arial" w:hAnsi="arial" w:cs="arial"/>
          <w:i/>
          <w:color w:val="000000"/>
          <w:sz w:val="20"/>
          <w:lang w:val="en-US" w:eastAsia="en-US" w:bidi="ar-SA"/>
        </w:rPr>
        <w:t>Lumanlan v. Sadler</w:t>
      </w:r>
      <w:r>
        <w:rPr>
          <w:rFonts w:ascii="arial" w:eastAsia="arial" w:hAnsi="arial" w:cs="arial"/>
          <w:color w:val="000000"/>
          <w:sz w:val="20"/>
          <w:lang w:val="en-US" w:eastAsia="en-US" w:bidi="ar-SA"/>
        </w:rPr>
        <w:t>:</w:t>
      </w:r>
      <w:bookmarkStart w:id="9" w:name="Backward_fnref_fnr-7"/>
      <w:hyperlink w:anchor="Forward_fnref_fnr-7" w:history="1">
        <w:r>
          <w:rPr>
            <w:rFonts w:ascii="arial" w:eastAsia="arial" w:hAnsi="arial" w:cs="arial"/>
            <w:b/>
            <w:color w:val="BE161D"/>
            <w:sz w:val="20"/>
            <w:shd w:val="clear" w:color="auto" w:fill="FFFFFF"/>
            <w:vertAlign w:val="superscript"/>
            <w:lang w:val="en-US" w:eastAsia="en-US" w:bidi="ar-SA"/>
          </w:rPr>
          <w:t>7</w:t>
        </w:r>
      </w:hyperlink>
      <w:bookmarkEnd w:id="9"/>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one should be cautious, with the advantage of hindsight, in equating having guessed wrongly with having been unreasonable in rejecting an offer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result, I find the defendant's offer was not one that the plaintiff ought reasonably to have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As I understand the defendant's argument on his second position (above), it is founded on the notion of comparative success. The defendant contends that the plaintiff failed to achieve the awards he sought, and the defendant succeeded in reducing those awards.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Unlike the plaintiff, the defendant did not advise the jury of his own assessment on the future income loss and the cost of future care assessments. Indeed, the defendant's argument on those heads of damage was that there was no basis for any award. That may mean that the defendant was advocating a zero award on each head of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do not understand the law to authorize me to parse out degrees of success. The plaintiff did recover awards on both heads. Therefore, it cannot be said that there was comparative success, particularly if I have correctly interpreted the defendant's closing argument to the jury that the plaintiff should be awarded nothing on those two heads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The loss of the seventh day of trial is a different matter. It was manifest from the format and content of his report, and his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testimony on the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 that this medical practitioner was not a qualified expert. He was acting as the plaintiff's advocate. The report of this medical practitioner, edited or unedited, ought not to have been tendered.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Rule 14-1(14) confers a power on the court to disallow costs arising from, or associated with, anything done improperly.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my opinion, that rule is applicable in the circumstances here presenting. Therefore, in any event, the plaintiff is disallowed costs for the seventh day of trial and all disbursements associated with the reports of Dr. David G. Hunt, and his attendances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This brings me to the defendant's third position on the first issue above, which as I understand it, is equivalent to, albeit not the same as, his second position. It is based upon the plaintiff's failure to accept a reasonable offer and his failure to achieve the assessments he submitted to the jury, for future income loss and cost of future care. The defendant contends that the majority of time in this trial was devoted to those issues. Upon which, goes the argument, the defendant succeeded. Therefore, the plaintiff should pay the defendant's costs for that part of the trial taken up by the plaintiff in pursuit of his claims exaggerated for loss of future earning capacity and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The defendant cites in aid of that argument, my prior decision in </w:t>
      </w:r>
      <w:r>
        <w:rPr>
          <w:rFonts w:ascii="arial" w:eastAsia="arial" w:hAnsi="arial" w:cs="arial"/>
          <w:i/>
          <w:color w:val="000000"/>
          <w:sz w:val="20"/>
          <w:lang w:val="en-US" w:eastAsia="en-US" w:bidi="ar-SA"/>
        </w:rPr>
        <w:t>Gemmell v. Reddicopp</w:t>
      </w:r>
      <w:r>
        <w:rPr>
          <w:rFonts w:ascii="arial" w:eastAsia="arial" w:hAnsi="arial" w:cs="arial"/>
          <w:color w:val="000000"/>
          <w:sz w:val="20"/>
          <w:lang w:val="en-US" w:eastAsia="en-US" w:bidi="ar-SA"/>
        </w:rPr>
        <w:t>.</w:t>
      </w:r>
      <w:bookmarkStart w:id="10" w:name="Backward_fnref_fnr-8"/>
      <w:hyperlink w:anchor="Forward_fnref_fnr-8" w:history="1">
        <w:r>
          <w:rPr>
            <w:rFonts w:ascii="arial" w:eastAsia="arial" w:hAnsi="arial" w:cs="arial"/>
            <w:b/>
            <w:color w:val="BE161D"/>
            <w:sz w:val="20"/>
            <w:shd w:val="clear" w:color="auto" w:fill="FFFFFF"/>
            <w:vertAlign w:val="superscript"/>
            <w:lang w:val="en-US" w:eastAsia="en-US" w:bidi="ar-SA"/>
          </w:rPr>
          <w:t>8</w:t>
        </w:r>
      </w:hyperlink>
      <w:bookmarkEnd w:id="10"/>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Gemmell</w:t>
      </w:r>
      <w:r>
        <w:rPr>
          <w:rFonts w:ascii="arial" w:eastAsia="arial" w:hAnsi="arial" w:cs="arial"/>
          <w:color w:val="000000"/>
          <w:sz w:val="20"/>
          <w:lang w:val="en-US" w:eastAsia="en-US" w:bidi="ar-SA"/>
        </w:rPr>
        <w:t>, there was a discrete, easily defined issue involved, namely, did the defendant's carelessness cause the loss alleged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plaintiff led no evidence of causation. The defendant led evidence that the carelessness did not cause the alleged loss. In result, the defendant succeeded entirely on the issue of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That is not this case. Here, this plaintiff did succeed. The defendant's argument is that he did not succeed to the extent of his aspirations. Therefore, goes the argument, the defendant should have the costs of establishing that failure.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In my opinion, that proposition is not a phenomenon contemplated by R. 14-1(14) or </w:t>
      </w:r>
      <w:r>
        <w:rPr>
          <w:rFonts w:ascii="arial" w:eastAsia="arial" w:hAnsi="arial" w:cs="arial"/>
          <w:i/>
          <w:color w:val="000000"/>
          <w:sz w:val="20"/>
          <w:lang w:val="en-US" w:eastAsia="en-US" w:bidi="ar-SA"/>
        </w:rPr>
        <w:t>Forrest v. Gaidner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My conclusion on the first issue is that the defendant has not persuaded me that this is a case on which I should otherwise order. The plaintiff is entitled to his costs, subject to the disallowance of one day of trial and disbursements associated with Dr. Hunt's involvement.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The second issue raised by the parties relates to s. 3(1)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bookmarkStart w:id="11" w:name="Backward_fnref_fnr-9"/>
      <w:hyperlink w:anchor="Forward_fnref_fnr-9" w:history="1">
        <w:r>
          <w:rPr>
            <w:rFonts w:ascii="arial" w:eastAsia="arial" w:hAnsi="arial" w:cs="arial"/>
            <w:b/>
            <w:color w:val="BE161D"/>
            <w:sz w:val="20"/>
            <w:shd w:val="clear" w:color="auto" w:fill="FFFFFF"/>
            <w:vertAlign w:val="superscript"/>
            <w:lang w:val="en-US" w:eastAsia="en-US" w:bidi="ar-SA"/>
          </w:rPr>
          <w:t>9</w:t>
        </w:r>
      </w:hyperlink>
      <w:bookmarkEnd w:id="11"/>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(1) Unless the court otherwise directs, the liability for costs of the parties to every action is in the same proportion as their respective liability to make good the damage or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a case like this one, the "usual"</w:t>
      </w:r>
      <w:bookmarkStart w:id="12" w:name="Backward_fnref_fnr-10"/>
      <w:hyperlink w:anchor="Forward_fnref_fnr-10" w:history="1">
        <w:r>
          <w:rPr>
            <w:rFonts w:ascii="arial" w:eastAsia="arial" w:hAnsi="arial" w:cs="arial"/>
            <w:b/>
            <w:color w:val="BE161D"/>
            <w:sz w:val="20"/>
            <w:shd w:val="clear" w:color="auto" w:fill="FFFFFF"/>
            <w:vertAlign w:val="superscript"/>
            <w:lang w:val="en-US" w:eastAsia="en-US" w:bidi="ar-SA"/>
          </w:rPr>
          <w:t>10</w:t>
        </w:r>
      </w:hyperlink>
      <w:bookmarkEnd w:id="12"/>
      <w:r>
        <w:rPr>
          <w:rFonts w:ascii="arial" w:eastAsia="arial" w:hAnsi="arial" w:cs="arial"/>
          <w:color w:val="000000"/>
          <w:sz w:val="20"/>
          <w:lang w:val="en-US" w:eastAsia="en-US" w:bidi="ar-SA"/>
        </w:rPr>
        <w:t xml:space="preserve"> rule, or "usual or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w:t>
      </w:r>
      <w:bookmarkStart w:id="13" w:name="Backward_fnref_fnr-11"/>
      <w:hyperlink w:anchor="Forward_fnref_fnr-11" w:history="1">
        <w:r>
          <w:rPr>
            <w:rFonts w:ascii="arial" w:eastAsia="arial" w:hAnsi="arial" w:cs="arial"/>
            <w:b/>
            <w:color w:val="BE161D"/>
            <w:sz w:val="20"/>
            <w:shd w:val="clear" w:color="auto" w:fill="FFFFFF"/>
            <w:vertAlign w:val="superscript"/>
            <w:lang w:val="en-US" w:eastAsia="en-US" w:bidi="ar-SA"/>
          </w:rPr>
          <w:t>11</w:t>
        </w:r>
      </w:hyperlink>
      <w:bookmarkEnd w:id="13"/>
      <w:r>
        <w:rPr>
          <w:rFonts w:ascii="arial" w:eastAsia="arial" w:hAnsi="arial" w:cs="arial"/>
          <w:color w:val="000000"/>
          <w:sz w:val="20"/>
          <w:lang w:val="en-US" w:eastAsia="en-US" w:bidi="ar-SA"/>
        </w:rPr>
        <w:t xml:space="preserve"> rule, requires the defendant to pay two-thirds of the plaintiff's costs and disbursements, pursuant to his proportionate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Presumably, that rule is based on the tort law of this province that there is no liability without fault. However, the usual, or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rule, may be displaced if its application would result in an injustice, in the circumstances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parties have provided seven reports of previous dispositions of the issue, none of them dispositive of this case. The governing principles are the same in each of them, but the circumstances of each case are different.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Moses</w:t>
      </w:r>
      <w:r>
        <w:rPr>
          <w:rFonts w:ascii="arial" w:eastAsia="arial" w:hAnsi="arial" w:cs="arial"/>
          <w:color w:val="000000"/>
          <w:sz w:val="20"/>
          <w:lang w:val="en-US" w:eastAsia="en-US" w:bidi="ar-SA"/>
        </w:rPr>
        <w:t>,</w:t>
      </w:r>
      <w:bookmarkStart w:id="14" w:name="Backward_fnref_fnr-12"/>
      <w:hyperlink w:anchor="Forward_fnref_fnr-12" w:history="1">
        <w:r>
          <w:rPr>
            <w:rFonts w:ascii="arial" w:eastAsia="arial" w:hAnsi="arial" w:cs="arial"/>
            <w:b/>
            <w:color w:val="BE161D"/>
            <w:sz w:val="20"/>
            <w:shd w:val="clear" w:color="auto" w:fill="FFFFFF"/>
            <w:vertAlign w:val="superscript"/>
            <w:lang w:val="en-US" w:eastAsia="en-US" w:bidi="ar-SA"/>
          </w:rPr>
          <w:t>12</w:t>
        </w:r>
      </w:hyperlink>
      <w:bookmarkEnd w:id="14"/>
      <w:r>
        <w:rPr>
          <w:rFonts w:ascii="arial" w:eastAsia="arial" w:hAnsi="arial" w:cs="arial"/>
          <w:color w:val="000000"/>
          <w:sz w:val="20"/>
          <w:lang w:val="en-US" w:eastAsia="en-US" w:bidi="ar-SA"/>
        </w:rPr>
        <w:t xml:space="preserve"> Madam Justice Gray analyzed the then existing authority, and inventoried some of the factors previously considered in a determination of when an application of the usual rule would work an injustice. Except for a consideration of Madam Justice Gray of the legal fees as a factor in the determination, the Court of Appeal found no error in Madam Justice Gray's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Similar factors were considered by R.R. Holmes J. in </w:t>
      </w:r>
      <w:r>
        <w:rPr>
          <w:rFonts w:ascii="arial" w:eastAsia="arial" w:hAnsi="arial" w:cs="arial"/>
          <w:i/>
          <w:color w:val="000000"/>
          <w:sz w:val="20"/>
          <w:lang w:val="en-US" w:eastAsia="en-US" w:bidi="ar-SA"/>
        </w:rPr>
        <w:t>Ogilvie v. Mortimer</w:t>
      </w:r>
      <w:bookmarkStart w:id="15" w:name="Backward_fnref_fnr-13"/>
      <w:hyperlink w:anchor="Forward_fnref_fnr-13" w:history="1">
        <w:r>
          <w:rPr>
            <w:rFonts w:ascii="arial" w:eastAsia="arial" w:hAnsi="arial" w:cs="arial"/>
            <w:b/>
            <w:color w:val="BE161D"/>
            <w:sz w:val="20"/>
            <w:shd w:val="clear" w:color="auto" w:fill="FFFFFF"/>
            <w:vertAlign w:val="superscript"/>
            <w:lang w:val="en-US" w:eastAsia="en-US" w:bidi="ar-SA"/>
          </w:rPr>
          <w:t>13</w:t>
        </w:r>
      </w:hyperlink>
      <w:bookmarkEnd w:id="15"/>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Cohen J. applied the Gray J. inventory in </w:t>
      </w:r>
      <w:r>
        <w:rPr>
          <w:rFonts w:ascii="arial" w:eastAsia="arial" w:hAnsi="arial" w:cs="arial"/>
          <w:i/>
          <w:color w:val="000000"/>
          <w:sz w:val="20"/>
          <w:lang w:val="en-US" w:eastAsia="en-US" w:bidi="ar-SA"/>
        </w:rPr>
        <w:t>Heppner v. Zia</w:t>
      </w:r>
      <w:r>
        <w:rPr>
          <w:rFonts w:ascii="arial" w:eastAsia="arial" w:hAnsi="arial" w:cs="arial"/>
          <w:color w:val="000000"/>
          <w:sz w:val="20"/>
          <w:lang w:val="en-US" w:eastAsia="en-US" w:bidi="ar-SA"/>
        </w:rPr>
        <w:t>.</w:t>
      </w:r>
      <w:bookmarkStart w:id="16" w:name="Backward_fnref_fnr-14"/>
      <w:hyperlink w:anchor="Forward_fnref_fnr-14" w:history="1">
        <w:r>
          <w:rPr>
            <w:rFonts w:ascii="arial" w:eastAsia="arial" w:hAnsi="arial" w:cs="arial"/>
            <w:b/>
            <w:color w:val="BE161D"/>
            <w:sz w:val="20"/>
            <w:shd w:val="clear" w:color="auto" w:fill="FFFFFF"/>
            <w:vertAlign w:val="superscript"/>
            <w:lang w:val="en-US" w:eastAsia="en-US" w:bidi="ar-SA"/>
          </w:rPr>
          <w:t>14</w:t>
        </w:r>
      </w:hyperlink>
      <w:bookmarkEnd w:id="16"/>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 this case, I make the following findings on those factors identified by the judges of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First, the plaintiff suffered a disc herniation which resolved with surgery. He was left with an unresolved soft tissue injury resulting in a condition of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Second, the defendant admitted liability, prior to making his offer and prior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Third, the defendant's second offer of settlement was within the range of an action of this type, and very close to equal that of the award achieved.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Fourth, the plaintiff was not forced to go to trial to obtain recovery. He could have obtained a recovery if he had accepted the offer. He did not like the defendant's assessment of his claim and therefore, did not accept the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Fifth, I have no evidence that the costs of getting to trial were out of the ordinary in what was a conventional personal injury trial. Unlike the costs to the plaintiffs in the matter of </w:t>
      </w:r>
      <w:r>
        <w:rPr>
          <w:rFonts w:ascii="arial" w:eastAsia="arial" w:hAnsi="arial" w:cs="arial"/>
          <w:i/>
          <w:color w:val="000000"/>
          <w:sz w:val="20"/>
          <w:lang w:val="en-US" w:eastAsia="en-US" w:bidi="ar-SA"/>
        </w:rPr>
        <w:t>Forsyth v. Sikorsky Aircraft Corp.</w:t>
      </w:r>
      <w:bookmarkStart w:id="17" w:name="Backward_fnref_fnr-15"/>
      <w:hyperlink w:anchor="Forward_fnref_fnr-15" w:history="1">
        <w:r>
          <w:rPr>
            <w:rFonts w:ascii="arial" w:eastAsia="arial" w:hAnsi="arial" w:cs="arial"/>
            <w:b/>
            <w:color w:val="BE161D"/>
            <w:sz w:val="20"/>
            <w:shd w:val="clear" w:color="auto" w:fill="FFFFFF"/>
            <w:vertAlign w:val="superscript"/>
            <w:lang w:val="en-US" w:eastAsia="en-US" w:bidi="ar-SA"/>
          </w:rPr>
          <w:t>15</w:t>
        </w:r>
      </w:hyperlink>
      <w:bookmarkEnd w:id="17"/>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Sixth, the difficulty and length of this trial was equivalent to a conventional personal injury action. The estimated time of trial was 15 days. The actual time was 14 days. Except for the day lost dealing with Dr. Hunt's proposed testimony, counsel moved this matter forward with dispatch.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Seventh, I have no evidence of the cost to this plaintiff in obtaining the results he did achieve.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Eighth, the positions taken by both parties at the trial of this action were appropriate and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Ninth, the defendant made two settlement offers. Only the second offer was meaningful, in that it was extended after the defendant had received the opinion evidence marshalled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Tenth, the result of the trial was very close to the defendant's offer to settle.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Eleventh, the plaintiff's success at trial will not be defeated if liability for costs is based upon proportion of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Unless otherwise directed, the plaintiff will recover his judgment of $234,513.00, plus 66 2/3% of his costs and disbursements, for a total of $324,863.00.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If otherwise directed, as urged by the plaintiff, then he will recover this judgment, plus estimated costs and disbursements (of $135,660.00) for a total of $370,173.00. The difference is some $45,000. That is not a "punishing" costs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On this second issue, the onus is on the plaintiff, to persuade me that it would be unjust not to impose a liability on the defendant for which he was not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In all of the circumstances of the case, I am not so persuaded. The "usual" rule will prevail. The plaintiff will recover two-thirds of his costs, subject to the disallowance of the costs of one day and any disbursements associated with Dr. Hunt's involvement.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In my view, there has been divided success on the present applications. My inclination is that no costs should be payable by or to either party. However, counsel did not have an opportunity to address the costs of those applications. If necessary, the matter may be spoken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R.D. WILSON J.</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r>
        <w:pict>
          <v:line id="_x0000_s1027" style="position:absolute;z-index:251760640"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18" w:name="Forward_fnref_fnr-1"/>
      <w:hyperlink w:anchor="Backward_fnref_fnr-1" w:history="1">
        <w:r>
          <w:rPr>
            <w:rFonts w:ascii="arial" w:eastAsia="arial" w:hAnsi="arial" w:cs="arial"/>
            <w:b/>
            <w:color w:val="BE161D"/>
            <w:sz w:val="18"/>
            <w:shd w:val="clear" w:color="auto" w:fill="FFFFFF"/>
            <w:lang w:val="en-US" w:eastAsia="en-US" w:bidi="ar-SA"/>
          </w:rPr>
          <w:t>1</w:t>
        </w:r>
      </w:hyperlink>
      <w:bookmarkEnd w:id="18"/>
      <w:r>
        <w:rPr>
          <w:rFonts w:ascii="arial" w:eastAsia="arial" w:hAnsi="arial" w:cs="arial"/>
          <w:sz w:val="20"/>
          <w:lang w:val="en-US" w:eastAsia="en-US" w:bidi="ar-SA"/>
        </w:rPr>
        <w:tab/>
      </w:r>
      <w:hyperlink r:id="rId16" w:history="1">
        <w:r>
          <w:rPr>
            <w:rFonts w:ascii="arial" w:eastAsia="arial" w:hAnsi="arial" w:cs="arial"/>
            <w:i/>
            <w:color w:val="0077CC"/>
            <w:sz w:val="18"/>
            <w:u w:val="single"/>
            <w:shd w:val="clear" w:color="auto" w:fill="FFFFFF"/>
            <w:lang w:val="en-US" w:eastAsia="en-US" w:bidi="ar-SA"/>
          </w:rPr>
          <w:t>2010 BCSC 1706</w:t>
        </w:r>
      </w:hyperlink>
      <w:r>
        <w:rPr>
          <w:rFonts w:ascii="arial" w:eastAsia="arial" w:hAnsi="arial" w:cs="arial"/>
          <w:color w:val="6D6E71"/>
          <w:sz w:val="18"/>
          <w:lang w:val="en-US" w:eastAsia="en-US" w:bidi="ar-SA"/>
        </w:rPr>
        <w:t>.</w:t>
      </w:r>
    </w:p>
    <w:p>
      <w:pPr>
        <w:spacing w:before="120" w:after="20" w:line="240" w:lineRule="atLeast"/>
        <w:ind w:left="720" w:hanging="360"/>
        <w:jc w:val="both"/>
        <w:rPr>
          <w:rFonts w:ascii="arial" w:eastAsia="arial" w:hAnsi="arial" w:cs="arial"/>
          <w:sz w:val="20"/>
          <w:lang w:val="en-US" w:eastAsia="en-US" w:bidi="ar-SA"/>
        </w:rPr>
      </w:pPr>
      <w:bookmarkStart w:id="19" w:name="Forward_fnref_fnr-2"/>
      <w:hyperlink w:anchor="Backward_fnref_fnr-2" w:history="1">
        <w:r>
          <w:rPr>
            <w:rFonts w:ascii="arial" w:eastAsia="arial" w:hAnsi="arial" w:cs="arial"/>
            <w:b/>
            <w:color w:val="BE161D"/>
            <w:sz w:val="18"/>
            <w:shd w:val="clear" w:color="auto" w:fill="FFFFFF"/>
            <w:lang w:val="en-US" w:eastAsia="en-US" w:bidi="ar-SA"/>
          </w:rPr>
          <w:t>2</w:t>
        </w:r>
      </w:hyperlink>
      <w:bookmarkEnd w:id="19"/>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An example, among many others, recognizing this proposition is found in </w:t>
      </w:r>
      <w:r>
        <w:rPr>
          <w:rFonts w:ascii="arial" w:eastAsia="arial" w:hAnsi="arial" w:cs="arial"/>
          <w:i/>
          <w:color w:val="6D6E71"/>
          <w:sz w:val="18"/>
          <w:lang w:val="en-US" w:eastAsia="en-US" w:bidi="ar-SA"/>
        </w:rPr>
        <w:t>Grassi v. WIC Radio Ltd.</w:t>
      </w:r>
      <w:r>
        <w:rPr>
          <w:rFonts w:ascii="arial" w:eastAsia="arial" w:hAnsi="arial" w:cs="arial"/>
          <w:color w:val="6D6E71"/>
          <w:sz w:val="18"/>
          <w:lang w:val="en-US" w:eastAsia="en-US" w:bidi="ar-SA"/>
        </w:rPr>
        <w:t xml:space="preserve">, </w:t>
      </w:r>
      <w:hyperlink r:id="rId17" w:history="1">
        <w:r>
          <w:rPr>
            <w:rFonts w:ascii="arial" w:eastAsia="arial" w:hAnsi="arial" w:cs="arial"/>
            <w:i/>
            <w:color w:val="0077CC"/>
            <w:sz w:val="18"/>
            <w:u w:val="single"/>
            <w:shd w:val="clear" w:color="auto" w:fill="FFFFFF"/>
            <w:lang w:val="en-US" w:eastAsia="en-US" w:bidi="ar-SA"/>
          </w:rPr>
          <w:t>2001 BCCA 376</w:t>
        </w:r>
      </w:hyperlink>
      <w:r>
        <w:rPr>
          <w:rFonts w:ascii="arial" w:eastAsia="arial" w:hAnsi="arial" w:cs="arial"/>
          <w:color w:val="6D6E71"/>
          <w:sz w:val="18"/>
          <w:lang w:val="en-US" w:eastAsia="en-US" w:bidi="ar-SA"/>
        </w:rPr>
        <w:t>, at para. 24.</w:t>
      </w:r>
    </w:p>
    <w:p>
      <w:pPr>
        <w:spacing w:before="120" w:after="20" w:line="240" w:lineRule="atLeast"/>
        <w:ind w:left="720" w:hanging="360"/>
        <w:jc w:val="both"/>
        <w:rPr>
          <w:rFonts w:ascii="arial" w:eastAsia="arial" w:hAnsi="arial" w:cs="arial"/>
          <w:sz w:val="20"/>
          <w:lang w:val="en-US" w:eastAsia="en-US" w:bidi="ar-SA"/>
        </w:rPr>
      </w:pPr>
      <w:bookmarkStart w:id="20" w:name="Forward_fnref_fnr-3"/>
      <w:hyperlink w:anchor="Backward_fnref_fnr-3" w:history="1">
        <w:r>
          <w:rPr>
            <w:rFonts w:ascii="arial" w:eastAsia="arial" w:hAnsi="arial" w:cs="arial"/>
            <w:b/>
            <w:color w:val="BE161D"/>
            <w:sz w:val="18"/>
            <w:shd w:val="clear" w:color="auto" w:fill="FFFFFF"/>
            <w:lang w:val="en-US" w:eastAsia="en-US" w:bidi="ar-SA"/>
          </w:rPr>
          <w:t>3</w:t>
        </w:r>
      </w:hyperlink>
      <w:bookmarkEnd w:id="20"/>
      <w:r>
        <w:rPr>
          <w:rFonts w:ascii="arial" w:eastAsia="arial" w:hAnsi="arial" w:cs="arial"/>
          <w:sz w:val="20"/>
          <w:lang w:val="en-US" w:eastAsia="en-US" w:bidi="ar-SA"/>
        </w:rPr>
        <w:tab/>
      </w:r>
      <w:hyperlink r:id="rId18" w:history="1">
        <w:r>
          <w:rPr>
            <w:rFonts w:ascii="arial" w:eastAsia="arial" w:hAnsi="arial" w:cs="arial"/>
            <w:i/>
            <w:color w:val="0077CC"/>
            <w:sz w:val="18"/>
            <w:u w:val="single"/>
            <w:shd w:val="clear" w:color="auto" w:fill="FFFFFF"/>
            <w:lang w:val="en-US" w:eastAsia="en-US" w:bidi="ar-SA"/>
          </w:rPr>
          <w:t>(1989), 38 B.C.L.R. (2d) 307</w:t>
        </w:r>
      </w:hyperlink>
      <w:r>
        <w:rPr>
          <w:rFonts w:ascii="arial" w:eastAsia="arial" w:hAnsi="arial" w:cs="arial"/>
          <w:color w:val="6D6E71"/>
          <w:sz w:val="18"/>
          <w:lang w:val="en-US" w:eastAsia="en-US" w:bidi="ar-SA"/>
        </w:rPr>
        <w:t xml:space="preserve">, at 310, cited in </w:t>
      </w:r>
      <w:r>
        <w:rPr>
          <w:rFonts w:ascii="arial" w:eastAsia="arial" w:hAnsi="arial" w:cs="arial"/>
          <w:i/>
          <w:color w:val="6D6E71"/>
          <w:sz w:val="18"/>
          <w:lang w:val="en-US" w:eastAsia="en-US" w:bidi="ar-SA"/>
        </w:rPr>
        <w:t>A.E. v. D.W.J.</w:t>
      </w:r>
      <w:r>
        <w:rPr>
          <w:rFonts w:ascii="arial" w:eastAsia="arial" w:hAnsi="arial" w:cs="arial"/>
          <w:color w:val="6D6E71"/>
          <w:sz w:val="18"/>
          <w:lang w:val="en-US" w:eastAsia="en-US" w:bidi="ar-SA"/>
        </w:rPr>
        <w:t xml:space="preserve">, </w:t>
      </w:r>
      <w:hyperlink r:id="rId19" w:history="1">
        <w:r>
          <w:rPr>
            <w:rFonts w:ascii="arial" w:eastAsia="arial" w:hAnsi="arial" w:cs="arial"/>
            <w:i/>
            <w:color w:val="0077CC"/>
            <w:sz w:val="18"/>
            <w:u w:val="single"/>
            <w:shd w:val="clear" w:color="auto" w:fill="FFFFFF"/>
            <w:lang w:val="en-US" w:eastAsia="en-US" w:bidi="ar-SA"/>
          </w:rPr>
          <w:t>2009 BCSC 505</w:t>
        </w:r>
      </w:hyperlink>
      <w:r>
        <w:rPr>
          <w:rFonts w:ascii="arial" w:eastAsia="arial" w:hAnsi="arial" w:cs="arial"/>
          <w:color w:val="6D6E71"/>
          <w:sz w:val="18"/>
          <w:lang w:val="en-US" w:eastAsia="en-US" w:bidi="ar-SA"/>
        </w:rPr>
        <w:t>.</w:t>
      </w:r>
    </w:p>
    <w:p>
      <w:pPr>
        <w:spacing w:before="120" w:after="20" w:line="240" w:lineRule="atLeast"/>
        <w:ind w:left="720" w:hanging="360"/>
        <w:jc w:val="both"/>
        <w:rPr>
          <w:rFonts w:ascii="arial" w:eastAsia="arial" w:hAnsi="arial" w:cs="arial"/>
          <w:sz w:val="20"/>
          <w:lang w:val="en-US" w:eastAsia="en-US" w:bidi="ar-SA"/>
        </w:rPr>
      </w:pPr>
      <w:bookmarkStart w:id="21" w:name="Forward_fnref_fnr-4"/>
      <w:hyperlink w:anchor="Backward_fnref_fnr-4" w:history="1">
        <w:r>
          <w:rPr>
            <w:rFonts w:ascii="arial" w:eastAsia="arial" w:hAnsi="arial" w:cs="arial"/>
            <w:b/>
            <w:color w:val="BE161D"/>
            <w:sz w:val="18"/>
            <w:shd w:val="clear" w:color="auto" w:fill="FFFFFF"/>
            <w:lang w:val="en-US" w:eastAsia="en-US" w:bidi="ar-SA"/>
          </w:rPr>
          <w:t>4</w:t>
        </w:r>
      </w:hyperlink>
      <w:bookmarkEnd w:id="21"/>
      <w:r>
        <w:rPr>
          <w:rFonts w:ascii="arial" w:eastAsia="arial" w:hAnsi="arial" w:cs="arial"/>
          <w:sz w:val="20"/>
          <w:lang w:val="en-US" w:eastAsia="en-US" w:bidi="ar-SA"/>
        </w:rPr>
        <w:tab/>
      </w:r>
      <w:hyperlink r:id="rId20" w:history="1">
        <w:r>
          <w:rPr>
            <w:rFonts w:ascii="arial" w:eastAsia="arial" w:hAnsi="arial" w:cs="arial"/>
            <w:i/>
            <w:color w:val="0077CC"/>
            <w:sz w:val="18"/>
            <w:u w:val="single"/>
            <w:shd w:val="clear" w:color="auto" w:fill="FFFFFF"/>
            <w:lang w:val="en-US" w:eastAsia="en-US" w:bidi="ar-SA"/>
          </w:rPr>
          <w:t>2010 BCCA 282</w:t>
        </w:r>
      </w:hyperlink>
      <w:r>
        <w:rPr>
          <w:rFonts w:ascii="arial" w:eastAsia="arial" w:hAnsi="arial" w:cs="arial"/>
          <w:color w:val="6D6E71"/>
          <w:sz w:val="18"/>
          <w:lang w:val="en-US" w:eastAsia="en-US" w:bidi="ar-SA"/>
        </w:rPr>
        <w:t>, at para. 74.</w:t>
      </w:r>
    </w:p>
    <w:p>
      <w:pPr>
        <w:spacing w:before="120" w:after="20" w:line="240" w:lineRule="atLeast"/>
        <w:ind w:left="720" w:hanging="360"/>
        <w:jc w:val="both"/>
        <w:rPr>
          <w:rFonts w:ascii="arial" w:eastAsia="arial" w:hAnsi="arial" w:cs="arial"/>
          <w:sz w:val="20"/>
          <w:lang w:val="en-US" w:eastAsia="en-US" w:bidi="ar-SA"/>
        </w:rPr>
      </w:pPr>
      <w:bookmarkStart w:id="22" w:name="Forward_fnref_fnr-5"/>
      <w:hyperlink w:anchor="Backward_fnref_fnr-5" w:history="1">
        <w:r>
          <w:rPr>
            <w:rFonts w:ascii="arial" w:eastAsia="arial" w:hAnsi="arial" w:cs="arial"/>
            <w:b/>
            <w:color w:val="BE161D"/>
            <w:sz w:val="18"/>
            <w:shd w:val="clear" w:color="auto" w:fill="FFFFFF"/>
            <w:lang w:val="en-US" w:eastAsia="en-US" w:bidi="ar-SA"/>
          </w:rPr>
          <w:t>5</w:t>
        </w:r>
      </w:hyperlink>
      <w:bookmarkEnd w:id="22"/>
      <w:r>
        <w:rPr>
          <w:rFonts w:ascii="arial" w:eastAsia="arial" w:hAnsi="arial" w:cs="arial"/>
          <w:sz w:val="20"/>
          <w:lang w:val="en-US" w:eastAsia="en-US" w:bidi="ar-SA"/>
        </w:rPr>
        <w:tab/>
      </w:r>
      <w:hyperlink r:id="rId21" w:history="1">
        <w:r>
          <w:rPr>
            <w:rFonts w:ascii="arial" w:eastAsia="arial" w:hAnsi="arial" w:cs="arial"/>
            <w:i/>
            <w:color w:val="0077CC"/>
            <w:sz w:val="18"/>
            <w:u w:val="single"/>
            <w:shd w:val="clear" w:color="auto" w:fill="FFFFFF"/>
            <w:lang w:val="en-US" w:eastAsia="en-US" w:bidi="ar-SA"/>
          </w:rPr>
          <w:t>2009 BCSC 1497</w:t>
        </w:r>
      </w:hyperlink>
      <w:r>
        <w:rPr>
          <w:rFonts w:ascii="arial" w:eastAsia="arial" w:hAnsi="arial" w:cs="arial"/>
          <w:color w:val="6D6E71"/>
          <w:sz w:val="18"/>
          <w:lang w:val="en-US" w:eastAsia="en-US" w:bidi="ar-SA"/>
        </w:rPr>
        <w:t>.</w:t>
      </w:r>
    </w:p>
    <w:p>
      <w:pPr>
        <w:spacing w:before="120" w:after="20" w:line="240" w:lineRule="atLeast"/>
        <w:ind w:left="720" w:hanging="360"/>
        <w:jc w:val="both"/>
        <w:rPr>
          <w:rFonts w:ascii="arial" w:eastAsia="arial" w:hAnsi="arial" w:cs="arial"/>
          <w:sz w:val="20"/>
          <w:lang w:val="en-US" w:eastAsia="en-US" w:bidi="ar-SA"/>
        </w:rPr>
      </w:pPr>
      <w:bookmarkStart w:id="23" w:name="Forward_fnref_fnr-6"/>
      <w:hyperlink w:anchor="Backward_fnref_fnr-6" w:history="1">
        <w:r>
          <w:rPr>
            <w:rFonts w:ascii="arial" w:eastAsia="arial" w:hAnsi="arial" w:cs="arial"/>
            <w:b/>
            <w:color w:val="BE161D"/>
            <w:sz w:val="18"/>
            <w:shd w:val="clear" w:color="auto" w:fill="FFFFFF"/>
            <w:lang w:val="en-US" w:eastAsia="en-US" w:bidi="ar-SA"/>
          </w:rPr>
          <w:t>6</w:t>
        </w:r>
      </w:hyperlink>
      <w:bookmarkEnd w:id="23"/>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This proposition is confirmed in, among other authorities, </w:t>
      </w:r>
      <w:r>
        <w:rPr>
          <w:rFonts w:ascii="arial" w:eastAsia="arial" w:hAnsi="arial" w:cs="arial"/>
          <w:i/>
          <w:color w:val="6D6E71"/>
          <w:sz w:val="18"/>
          <w:lang w:val="en-US" w:eastAsia="en-US" w:bidi="ar-SA"/>
        </w:rPr>
        <w:t>Bailey v. Jang</w:t>
      </w:r>
      <w:r>
        <w:rPr>
          <w:rFonts w:ascii="arial" w:eastAsia="arial" w:hAnsi="arial" w:cs="arial"/>
          <w:color w:val="6D6E71"/>
          <w:sz w:val="18"/>
          <w:lang w:val="en-US" w:eastAsia="en-US" w:bidi="ar-SA"/>
        </w:rPr>
        <w:t xml:space="preserve">, </w:t>
      </w:r>
      <w:hyperlink r:id="rId22" w:history="1">
        <w:r>
          <w:rPr>
            <w:rFonts w:ascii="arial" w:eastAsia="arial" w:hAnsi="arial" w:cs="arial"/>
            <w:i/>
            <w:color w:val="0077CC"/>
            <w:sz w:val="18"/>
            <w:u w:val="single"/>
            <w:shd w:val="clear" w:color="auto" w:fill="FFFFFF"/>
            <w:lang w:val="en-US" w:eastAsia="en-US" w:bidi="ar-SA"/>
          </w:rPr>
          <w:t>2008 BCSC 1372</w:t>
        </w:r>
      </w:hyperlink>
      <w:r>
        <w:rPr>
          <w:rFonts w:ascii="arial" w:eastAsia="arial" w:hAnsi="arial" w:cs="arial"/>
          <w:color w:val="6D6E71"/>
          <w:sz w:val="18"/>
          <w:lang w:val="en-US" w:eastAsia="en-US" w:bidi="ar-SA"/>
        </w:rPr>
        <w:t>, at para. 24.</w:t>
      </w:r>
    </w:p>
    <w:p>
      <w:pPr>
        <w:spacing w:before="120" w:after="20" w:line="240" w:lineRule="atLeast"/>
        <w:ind w:left="720" w:hanging="360"/>
        <w:jc w:val="both"/>
        <w:rPr>
          <w:rFonts w:ascii="arial" w:eastAsia="arial" w:hAnsi="arial" w:cs="arial"/>
          <w:sz w:val="20"/>
          <w:lang w:val="en-US" w:eastAsia="en-US" w:bidi="ar-SA"/>
        </w:rPr>
      </w:pPr>
      <w:bookmarkStart w:id="24" w:name="Forward_fnref_fnr-7"/>
      <w:hyperlink w:anchor="Backward_fnref_fnr-7" w:history="1">
        <w:r>
          <w:rPr>
            <w:rFonts w:ascii="arial" w:eastAsia="arial" w:hAnsi="arial" w:cs="arial"/>
            <w:b/>
            <w:color w:val="BE161D"/>
            <w:sz w:val="18"/>
            <w:shd w:val="clear" w:color="auto" w:fill="FFFFFF"/>
            <w:lang w:val="en-US" w:eastAsia="en-US" w:bidi="ar-SA"/>
          </w:rPr>
          <w:t>7</w:t>
        </w:r>
      </w:hyperlink>
      <w:bookmarkEnd w:id="24"/>
      <w:r>
        <w:rPr>
          <w:rFonts w:ascii="arial" w:eastAsia="arial" w:hAnsi="arial" w:cs="arial"/>
          <w:sz w:val="20"/>
          <w:lang w:val="en-US" w:eastAsia="en-US" w:bidi="ar-SA"/>
        </w:rPr>
        <w:tab/>
      </w:r>
      <w:hyperlink r:id="rId23" w:history="1">
        <w:r>
          <w:rPr>
            <w:rFonts w:ascii="arial" w:eastAsia="arial" w:hAnsi="arial" w:cs="arial"/>
            <w:i/>
            <w:color w:val="0077CC"/>
            <w:sz w:val="18"/>
            <w:u w:val="single"/>
            <w:shd w:val="clear" w:color="auto" w:fill="FFFFFF"/>
            <w:lang w:val="en-US" w:eastAsia="en-US" w:bidi="ar-SA"/>
          </w:rPr>
          <w:t>2009 BCSC 142</w:t>
        </w:r>
      </w:hyperlink>
      <w:r>
        <w:rPr>
          <w:rFonts w:ascii="arial" w:eastAsia="arial" w:hAnsi="arial" w:cs="arial"/>
          <w:color w:val="6D6E71"/>
          <w:sz w:val="18"/>
          <w:lang w:val="en-US" w:eastAsia="en-US" w:bidi="ar-SA"/>
        </w:rPr>
        <w:t>, at para. 35.</w:t>
      </w:r>
    </w:p>
    <w:p>
      <w:pPr>
        <w:spacing w:before="120" w:after="20" w:line="240" w:lineRule="atLeast"/>
        <w:ind w:left="720" w:hanging="360"/>
        <w:jc w:val="both"/>
        <w:rPr>
          <w:rFonts w:ascii="arial" w:eastAsia="arial" w:hAnsi="arial" w:cs="arial"/>
          <w:sz w:val="20"/>
          <w:lang w:val="en-US" w:eastAsia="en-US" w:bidi="ar-SA"/>
        </w:rPr>
      </w:pPr>
      <w:bookmarkStart w:id="25" w:name="Forward_fnref_fnr-8"/>
      <w:hyperlink w:anchor="Backward_fnref_fnr-8" w:history="1">
        <w:r>
          <w:rPr>
            <w:rFonts w:ascii="arial" w:eastAsia="arial" w:hAnsi="arial" w:cs="arial"/>
            <w:b/>
            <w:color w:val="BE161D"/>
            <w:sz w:val="18"/>
            <w:shd w:val="clear" w:color="auto" w:fill="FFFFFF"/>
            <w:lang w:val="en-US" w:eastAsia="en-US" w:bidi="ar-SA"/>
          </w:rPr>
          <w:t>8</w:t>
        </w:r>
      </w:hyperlink>
      <w:bookmarkEnd w:id="25"/>
      <w:r>
        <w:rPr>
          <w:rFonts w:ascii="arial" w:eastAsia="arial" w:hAnsi="arial" w:cs="arial"/>
          <w:sz w:val="20"/>
          <w:lang w:val="en-US" w:eastAsia="en-US" w:bidi="ar-SA"/>
        </w:rPr>
        <w:tab/>
      </w:r>
      <w:hyperlink r:id="rId24" w:history="1">
        <w:r>
          <w:rPr>
            <w:rFonts w:ascii="arial" w:eastAsia="arial" w:hAnsi="arial" w:cs="arial"/>
            <w:i/>
            <w:color w:val="0077CC"/>
            <w:sz w:val="18"/>
            <w:u w:val="single"/>
            <w:shd w:val="clear" w:color="auto" w:fill="FFFFFF"/>
            <w:lang w:val="en-US" w:eastAsia="en-US" w:bidi="ar-SA"/>
          </w:rPr>
          <w:t>2003 BCSC 525</w:t>
        </w:r>
      </w:hyperlink>
      <w:r>
        <w:rPr>
          <w:rFonts w:ascii="arial" w:eastAsia="arial" w:hAnsi="arial" w:cs="arial"/>
          <w:color w:val="6D6E71"/>
          <w:sz w:val="18"/>
          <w:lang w:val="en-US" w:eastAsia="en-US" w:bidi="ar-SA"/>
        </w:rPr>
        <w:t xml:space="preserve">, applying </w:t>
      </w:r>
      <w:r>
        <w:rPr>
          <w:rFonts w:ascii="arial" w:eastAsia="arial" w:hAnsi="arial" w:cs="arial"/>
          <w:i/>
          <w:color w:val="6D6E71"/>
          <w:sz w:val="18"/>
          <w:lang w:val="en-US" w:eastAsia="en-US" w:bidi="ar-SA"/>
        </w:rPr>
        <w:t>Forrest v. Gaidner and Company (No. 2)</w:t>
      </w:r>
      <w:r>
        <w:rPr>
          <w:rFonts w:ascii="arial" w:eastAsia="arial" w:hAnsi="arial" w:cs="arial"/>
          <w:color w:val="6D6E71"/>
          <w:sz w:val="18"/>
          <w:lang w:val="en-US" w:eastAsia="en-US" w:bidi="ar-SA"/>
        </w:rPr>
        <w:t xml:space="preserve"> (1961), 36 W.W.R. 204 (B.C.S.C.) and </w:t>
      </w:r>
      <w:r>
        <w:rPr>
          <w:rFonts w:ascii="arial" w:eastAsia="arial" w:hAnsi="arial" w:cs="arial"/>
          <w:i/>
          <w:color w:val="6D6E71"/>
          <w:sz w:val="18"/>
          <w:lang w:val="en-US" w:eastAsia="en-US" w:bidi="ar-SA"/>
        </w:rPr>
        <w:t>Waterhouse v. Fedor</w:t>
      </w:r>
      <w:r>
        <w:rPr>
          <w:rFonts w:ascii="arial" w:eastAsia="arial" w:hAnsi="arial" w:cs="arial"/>
          <w:color w:val="6D6E71"/>
          <w:sz w:val="18"/>
          <w:lang w:val="en-US" w:eastAsia="en-US" w:bidi="ar-SA"/>
        </w:rPr>
        <w:t xml:space="preserve">, </w:t>
      </w:r>
      <w:hyperlink r:id="rId25" w:history="1">
        <w:r>
          <w:rPr>
            <w:rFonts w:ascii="arial" w:eastAsia="arial" w:hAnsi="arial" w:cs="arial"/>
            <w:i/>
            <w:color w:val="0077CC"/>
            <w:sz w:val="18"/>
            <w:u w:val="single"/>
            <w:shd w:val="clear" w:color="auto" w:fill="FFFFFF"/>
            <w:lang w:val="en-US" w:eastAsia="en-US" w:bidi="ar-SA"/>
          </w:rPr>
          <w:t>[1987] B.C.J. No. 1033</w:t>
        </w:r>
      </w:hyperlink>
      <w:r>
        <w:rPr>
          <w:rFonts w:ascii="arial" w:eastAsia="arial" w:hAnsi="arial" w:cs="arial"/>
          <w:color w:val="6D6E71"/>
          <w:sz w:val="18"/>
          <w:lang w:val="en-US" w:eastAsia="en-US" w:bidi="ar-SA"/>
        </w:rPr>
        <w:t xml:space="preserve"> (B.C.S.C.).</w:t>
      </w:r>
    </w:p>
    <w:p>
      <w:pPr>
        <w:spacing w:before="120" w:after="20" w:line="240" w:lineRule="atLeast"/>
        <w:ind w:left="720" w:hanging="360"/>
        <w:jc w:val="both"/>
        <w:rPr>
          <w:rFonts w:ascii="arial" w:eastAsia="arial" w:hAnsi="arial" w:cs="arial"/>
          <w:sz w:val="20"/>
          <w:lang w:val="en-US" w:eastAsia="en-US" w:bidi="ar-SA"/>
        </w:rPr>
      </w:pPr>
      <w:bookmarkStart w:id="26" w:name="Forward_fnref_fnr-9"/>
      <w:hyperlink w:anchor="Backward_fnref_fnr-9" w:history="1">
        <w:r>
          <w:rPr>
            <w:rFonts w:ascii="arial" w:eastAsia="arial" w:hAnsi="arial" w:cs="arial"/>
            <w:b/>
            <w:color w:val="BE161D"/>
            <w:sz w:val="18"/>
            <w:shd w:val="clear" w:color="auto" w:fill="FFFFFF"/>
            <w:lang w:val="en-US" w:eastAsia="en-US" w:bidi="ar-SA"/>
          </w:rPr>
          <w:t>9</w:t>
        </w:r>
      </w:hyperlink>
      <w:bookmarkEnd w:id="26"/>
      <w:r>
        <w:rPr>
          <w:rFonts w:ascii="arial" w:eastAsia="arial" w:hAnsi="arial" w:cs="arial"/>
          <w:sz w:val="20"/>
          <w:lang w:val="en-US" w:eastAsia="en-US" w:bidi="ar-SA"/>
        </w:rPr>
        <w:tab/>
      </w:r>
      <w:r>
        <w:rPr>
          <w:rFonts w:ascii="arial" w:eastAsia="arial" w:hAnsi="arial" w:cs="arial"/>
          <w:i/>
          <w:color w:val="6D6E71"/>
          <w:sz w:val="18"/>
          <w:lang w:val="en-US" w:eastAsia="en-US" w:bidi="ar-SA"/>
        </w:rPr>
        <w:t>R.S.B.C. 1996, c. 333</w:t>
      </w:r>
      <w:r>
        <w:rPr>
          <w:rFonts w:ascii="arial" w:eastAsia="arial" w:hAnsi="arial" w:cs="arial"/>
          <w:color w:val="6D6E71"/>
          <w:sz w:val="18"/>
          <w:lang w:val="en-US" w:eastAsia="en-US" w:bidi="ar-SA"/>
        </w:rPr>
        <w:t>.</w:t>
      </w:r>
    </w:p>
    <w:p>
      <w:pPr>
        <w:spacing w:before="120" w:after="20" w:line="240" w:lineRule="atLeast"/>
        <w:ind w:left="720" w:hanging="360"/>
        <w:jc w:val="both"/>
        <w:rPr>
          <w:rFonts w:ascii="arial" w:eastAsia="arial" w:hAnsi="arial" w:cs="arial"/>
          <w:sz w:val="20"/>
          <w:lang w:val="en-US" w:eastAsia="en-US" w:bidi="ar-SA"/>
        </w:rPr>
      </w:pPr>
      <w:bookmarkStart w:id="27" w:name="Forward_fnref_fnr-10"/>
      <w:hyperlink w:anchor="Backward_fnref_fnr-10" w:history="1">
        <w:r>
          <w:rPr>
            <w:rFonts w:ascii="arial" w:eastAsia="arial" w:hAnsi="arial" w:cs="arial"/>
            <w:b/>
            <w:color w:val="BE161D"/>
            <w:sz w:val="18"/>
            <w:shd w:val="clear" w:color="auto" w:fill="FFFFFF"/>
            <w:lang w:val="en-US" w:eastAsia="en-US" w:bidi="ar-SA"/>
          </w:rPr>
          <w:t>10</w:t>
        </w:r>
      </w:hyperlink>
      <w:bookmarkEnd w:id="27"/>
      <w:r>
        <w:rPr>
          <w:rFonts w:ascii="arial" w:eastAsia="arial" w:hAnsi="arial" w:cs="arial"/>
          <w:sz w:val="20"/>
          <w:lang w:val="en-US" w:eastAsia="en-US" w:bidi="ar-SA"/>
        </w:rPr>
        <w:tab/>
      </w:r>
      <w:r>
        <w:rPr>
          <w:rFonts w:ascii="arial" w:eastAsia="arial" w:hAnsi="arial" w:cs="arial"/>
          <w:i/>
          <w:color w:val="6D6E71"/>
          <w:sz w:val="18"/>
          <w:lang w:val="en-US" w:eastAsia="en-US" w:bidi="ar-SA"/>
        </w:rPr>
        <w:t>Moses v. Kim</w:t>
      </w:r>
      <w:r>
        <w:rPr>
          <w:rFonts w:ascii="arial" w:eastAsia="arial" w:hAnsi="arial" w:cs="arial"/>
          <w:color w:val="6D6E71"/>
          <w:sz w:val="18"/>
          <w:lang w:val="en-US" w:eastAsia="en-US" w:bidi="ar-SA"/>
        </w:rPr>
        <w:t xml:space="preserve">, </w:t>
      </w:r>
      <w:hyperlink r:id="rId26" w:history="1">
        <w:r>
          <w:rPr>
            <w:rFonts w:ascii="arial" w:eastAsia="arial" w:hAnsi="arial" w:cs="arial"/>
            <w:i/>
            <w:color w:val="0077CC"/>
            <w:sz w:val="18"/>
            <w:u w:val="single"/>
            <w:shd w:val="clear" w:color="auto" w:fill="FFFFFF"/>
            <w:lang w:val="en-US" w:eastAsia="en-US" w:bidi="ar-SA"/>
          </w:rPr>
          <w:t>2007 BCSC 1820</w:t>
        </w:r>
      </w:hyperlink>
      <w:r>
        <w:rPr>
          <w:rFonts w:ascii="arial" w:eastAsia="arial" w:hAnsi="arial" w:cs="arial"/>
          <w:color w:val="6D6E71"/>
          <w:sz w:val="18"/>
          <w:lang w:val="en-US" w:eastAsia="en-US" w:bidi="ar-SA"/>
        </w:rPr>
        <w:t xml:space="preserve"> and </w:t>
      </w:r>
      <w:r>
        <w:rPr>
          <w:rFonts w:ascii="arial" w:eastAsia="arial" w:hAnsi="arial" w:cs="arial"/>
          <w:i/>
          <w:color w:val="6D6E71"/>
          <w:sz w:val="18"/>
          <w:lang w:val="en-US" w:eastAsia="en-US" w:bidi="ar-SA"/>
        </w:rPr>
        <w:t>Heppner v. Zia</w:t>
      </w:r>
      <w:r>
        <w:rPr>
          <w:rFonts w:ascii="arial" w:eastAsia="arial" w:hAnsi="arial" w:cs="arial"/>
          <w:color w:val="6D6E71"/>
          <w:sz w:val="18"/>
          <w:lang w:val="en-US" w:eastAsia="en-US" w:bidi="ar-SA"/>
        </w:rPr>
        <w:t xml:space="preserve">, </w:t>
      </w:r>
      <w:hyperlink r:id="rId27" w:history="1">
        <w:r>
          <w:rPr>
            <w:rFonts w:ascii="arial" w:eastAsia="arial" w:hAnsi="arial" w:cs="arial"/>
            <w:i/>
            <w:color w:val="0077CC"/>
            <w:sz w:val="18"/>
            <w:u w:val="single"/>
            <w:shd w:val="clear" w:color="auto" w:fill="FFFFFF"/>
            <w:lang w:val="en-US" w:eastAsia="en-US" w:bidi="ar-SA"/>
          </w:rPr>
          <w:t>2009 BCSC 369</w:t>
        </w:r>
      </w:hyperlink>
      <w:r>
        <w:rPr>
          <w:rFonts w:ascii="arial" w:eastAsia="arial" w:hAnsi="arial" w:cs="arial"/>
          <w:color w:val="6D6E71"/>
          <w:sz w:val="18"/>
          <w:lang w:val="en-US" w:eastAsia="en-US" w:bidi="ar-SA"/>
        </w:rPr>
        <w:t>.</w:t>
      </w:r>
    </w:p>
    <w:p>
      <w:pPr>
        <w:spacing w:before="120" w:after="20" w:line="240" w:lineRule="atLeast"/>
        <w:ind w:left="720" w:hanging="360"/>
        <w:jc w:val="both"/>
        <w:rPr>
          <w:rFonts w:ascii="arial" w:eastAsia="arial" w:hAnsi="arial" w:cs="arial"/>
          <w:sz w:val="20"/>
          <w:lang w:val="en-US" w:eastAsia="en-US" w:bidi="ar-SA"/>
        </w:rPr>
      </w:pPr>
      <w:bookmarkStart w:id="28" w:name="Forward_fnref_fnr-11"/>
      <w:hyperlink w:anchor="Backward_fnref_fnr-11" w:history="1">
        <w:r>
          <w:rPr>
            <w:rFonts w:ascii="arial" w:eastAsia="arial" w:hAnsi="arial" w:cs="arial"/>
            <w:b/>
            <w:color w:val="BE161D"/>
            <w:sz w:val="18"/>
            <w:shd w:val="clear" w:color="auto" w:fill="FFFFFF"/>
            <w:lang w:val="en-US" w:eastAsia="en-US" w:bidi="ar-SA"/>
          </w:rPr>
          <w:t>11</w:t>
        </w:r>
      </w:hyperlink>
      <w:bookmarkEnd w:id="28"/>
      <w:r>
        <w:rPr>
          <w:rFonts w:ascii="arial" w:eastAsia="arial" w:hAnsi="arial" w:cs="arial"/>
          <w:sz w:val="20"/>
          <w:lang w:val="en-US" w:eastAsia="en-US" w:bidi="ar-SA"/>
        </w:rPr>
        <w:tab/>
      </w:r>
      <w:r>
        <w:rPr>
          <w:rFonts w:ascii="arial" w:eastAsia="arial" w:hAnsi="arial" w:cs="arial"/>
          <w:i/>
          <w:color w:val="6D6E71"/>
          <w:sz w:val="18"/>
          <w:lang w:val="en-US" w:eastAsia="en-US" w:bidi="ar-SA"/>
        </w:rPr>
        <w:t>Forsyth v. Sikorsky Aircraft Corp.</w:t>
      </w:r>
      <w:r>
        <w:rPr>
          <w:rFonts w:ascii="arial" w:eastAsia="arial" w:hAnsi="arial" w:cs="arial"/>
          <w:color w:val="6D6E71"/>
          <w:sz w:val="18"/>
          <w:lang w:val="en-US" w:eastAsia="en-US" w:bidi="ar-SA"/>
        </w:rPr>
        <w:t xml:space="preserve">, </w:t>
      </w:r>
      <w:hyperlink r:id="rId28" w:history="1">
        <w:r>
          <w:rPr>
            <w:rFonts w:ascii="arial" w:eastAsia="arial" w:hAnsi="arial" w:cs="arial"/>
            <w:i/>
            <w:color w:val="0077CC"/>
            <w:sz w:val="18"/>
            <w:u w:val="single"/>
            <w:shd w:val="clear" w:color="auto" w:fill="FFFFFF"/>
            <w:lang w:val="en-US" w:eastAsia="en-US" w:bidi="ar-SA"/>
          </w:rPr>
          <w:t>2002 BCCA 231</w:t>
        </w:r>
      </w:hyperlink>
      <w:r>
        <w:rPr>
          <w:rFonts w:ascii="arial" w:eastAsia="arial" w:hAnsi="arial" w:cs="arial"/>
          <w:color w:val="6D6E71"/>
          <w:sz w:val="18"/>
          <w:lang w:val="en-US" w:eastAsia="en-US" w:bidi="ar-SA"/>
        </w:rPr>
        <w:t>.</w:t>
      </w:r>
    </w:p>
    <w:p>
      <w:pPr>
        <w:spacing w:before="120" w:after="20" w:line="240" w:lineRule="atLeast"/>
        <w:ind w:left="720" w:hanging="360"/>
        <w:jc w:val="both"/>
        <w:rPr>
          <w:rFonts w:ascii="arial" w:eastAsia="arial" w:hAnsi="arial" w:cs="arial"/>
          <w:sz w:val="20"/>
          <w:lang w:val="en-US" w:eastAsia="en-US" w:bidi="ar-SA"/>
        </w:rPr>
      </w:pPr>
      <w:bookmarkStart w:id="29" w:name="Forward_fnref_fnr-12"/>
      <w:hyperlink w:anchor="Backward_fnref_fnr-12" w:history="1">
        <w:r>
          <w:rPr>
            <w:rFonts w:ascii="arial" w:eastAsia="arial" w:hAnsi="arial" w:cs="arial"/>
            <w:b/>
            <w:color w:val="BE161D"/>
            <w:sz w:val="18"/>
            <w:shd w:val="clear" w:color="auto" w:fill="FFFFFF"/>
            <w:lang w:val="en-US" w:eastAsia="en-US" w:bidi="ar-SA"/>
          </w:rPr>
          <w:t>12</w:t>
        </w:r>
      </w:hyperlink>
      <w:bookmarkEnd w:id="29"/>
      <w:r>
        <w:rPr>
          <w:rFonts w:ascii="arial" w:eastAsia="arial" w:hAnsi="arial" w:cs="arial"/>
          <w:sz w:val="20"/>
          <w:lang w:val="en-US" w:eastAsia="en-US" w:bidi="ar-SA"/>
        </w:rPr>
        <w:tab/>
      </w:r>
      <w:r>
        <w:rPr>
          <w:rFonts w:ascii="arial" w:eastAsia="arial" w:hAnsi="arial" w:cs="arial"/>
          <w:color w:val="6D6E71"/>
          <w:sz w:val="18"/>
          <w:lang w:val="en-US" w:eastAsia="en-US" w:bidi="ar-SA"/>
        </w:rPr>
        <w:t>Above, footnote 9.</w:t>
      </w:r>
    </w:p>
    <w:p>
      <w:pPr>
        <w:spacing w:before="120" w:after="20" w:line="240" w:lineRule="atLeast"/>
        <w:ind w:left="720" w:hanging="360"/>
        <w:jc w:val="both"/>
        <w:rPr>
          <w:rFonts w:ascii="arial" w:eastAsia="arial" w:hAnsi="arial" w:cs="arial"/>
          <w:sz w:val="20"/>
          <w:lang w:val="en-US" w:eastAsia="en-US" w:bidi="ar-SA"/>
        </w:rPr>
      </w:pPr>
      <w:bookmarkStart w:id="30" w:name="Forward_fnref_fnr-13"/>
      <w:hyperlink w:anchor="Backward_fnref_fnr-13" w:history="1">
        <w:r>
          <w:rPr>
            <w:rFonts w:ascii="arial" w:eastAsia="arial" w:hAnsi="arial" w:cs="arial"/>
            <w:b/>
            <w:color w:val="BE161D"/>
            <w:sz w:val="18"/>
            <w:shd w:val="clear" w:color="auto" w:fill="FFFFFF"/>
            <w:lang w:val="en-US" w:eastAsia="en-US" w:bidi="ar-SA"/>
          </w:rPr>
          <w:t>13</w:t>
        </w:r>
      </w:hyperlink>
      <w:bookmarkEnd w:id="30"/>
      <w:r>
        <w:rPr>
          <w:rFonts w:ascii="arial" w:eastAsia="arial" w:hAnsi="arial" w:cs="arial"/>
          <w:sz w:val="20"/>
          <w:lang w:val="en-US" w:eastAsia="en-US" w:bidi="ar-SA"/>
        </w:rPr>
        <w:tab/>
      </w:r>
      <w:hyperlink r:id="rId29" w:history="1">
        <w:r>
          <w:rPr>
            <w:rFonts w:ascii="arial" w:eastAsia="arial" w:hAnsi="arial" w:cs="arial"/>
            <w:i/>
            <w:color w:val="0077CC"/>
            <w:sz w:val="18"/>
            <w:u w:val="single"/>
            <w:shd w:val="clear" w:color="auto" w:fill="FFFFFF"/>
            <w:lang w:val="en-US" w:eastAsia="en-US" w:bidi="ar-SA"/>
          </w:rPr>
          <w:t>2008 BCSC 634</w:t>
        </w:r>
      </w:hyperlink>
      <w:r>
        <w:rPr>
          <w:rFonts w:ascii="arial" w:eastAsia="arial" w:hAnsi="arial" w:cs="arial"/>
          <w:color w:val="6D6E71"/>
          <w:sz w:val="18"/>
          <w:lang w:val="en-US" w:eastAsia="en-US" w:bidi="ar-SA"/>
        </w:rPr>
        <w:t>.</w:t>
      </w:r>
    </w:p>
    <w:p>
      <w:pPr>
        <w:spacing w:before="120" w:after="20" w:line="240" w:lineRule="atLeast"/>
        <w:ind w:left="720" w:hanging="360"/>
        <w:jc w:val="both"/>
        <w:rPr>
          <w:rFonts w:ascii="arial" w:eastAsia="arial" w:hAnsi="arial" w:cs="arial"/>
          <w:sz w:val="20"/>
          <w:lang w:val="en-US" w:eastAsia="en-US" w:bidi="ar-SA"/>
        </w:rPr>
      </w:pPr>
      <w:bookmarkStart w:id="31" w:name="Forward_fnref_fnr-14"/>
      <w:hyperlink w:anchor="Backward_fnref_fnr-14" w:history="1">
        <w:r>
          <w:rPr>
            <w:rFonts w:ascii="arial" w:eastAsia="arial" w:hAnsi="arial" w:cs="arial"/>
            <w:b/>
            <w:color w:val="BE161D"/>
            <w:sz w:val="18"/>
            <w:shd w:val="clear" w:color="auto" w:fill="FFFFFF"/>
            <w:lang w:val="en-US" w:eastAsia="en-US" w:bidi="ar-SA"/>
          </w:rPr>
          <w:t>14</w:t>
        </w:r>
      </w:hyperlink>
      <w:bookmarkEnd w:id="31"/>
      <w:r>
        <w:rPr>
          <w:rFonts w:ascii="arial" w:eastAsia="arial" w:hAnsi="arial" w:cs="arial"/>
          <w:sz w:val="20"/>
          <w:lang w:val="en-US" w:eastAsia="en-US" w:bidi="ar-SA"/>
        </w:rPr>
        <w:tab/>
      </w:r>
      <w:r>
        <w:rPr>
          <w:rFonts w:ascii="arial" w:eastAsia="arial" w:hAnsi="arial" w:cs="arial"/>
          <w:color w:val="6D6E71"/>
          <w:sz w:val="18"/>
          <w:lang w:val="en-US" w:eastAsia="en-US" w:bidi="ar-SA"/>
        </w:rPr>
        <w:t>Above, footnote 9.</w:t>
      </w:r>
    </w:p>
    <w:p>
      <w:pPr>
        <w:spacing w:before="120" w:after="20" w:line="240" w:lineRule="atLeast"/>
        <w:ind w:left="720" w:hanging="360"/>
        <w:jc w:val="both"/>
        <w:rPr>
          <w:rFonts w:ascii="arial" w:eastAsia="arial" w:hAnsi="arial" w:cs="arial"/>
          <w:sz w:val="20"/>
          <w:lang w:val="en-US" w:eastAsia="en-US" w:bidi="ar-SA"/>
        </w:rPr>
      </w:pPr>
      <w:bookmarkStart w:id="32" w:name="Forward_fnref_fnr-15"/>
      <w:hyperlink w:anchor="Backward_fnref_fnr-15" w:history="1">
        <w:r>
          <w:rPr>
            <w:rFonts w:ascii="arial" w:eastAsia="arial" w:hAnsi="arial" w:cs="arial"/>
            <w:b/>
            <w:color w:val="BE161D"/>
            <w:sz w:val="18"/>
            <w:shd w:val="clear" w:color="auto" w:fill="FFFFFF"/>
            <w:lang w:val="en-US" w:eastAsia="en-US" w:bidi="ar-SA"/>
          </w:rPr>
          <w:t>15</w:t>
        </w:r>
      </w:hyperlink>
      <w:bookmarkEnd w:id="32"/>
      <w:r>
        <w:rPr>
          <w:rFonts w:ascii="arial" w:eastAsia="arial" w:hAnsi="arial" w:cs="arial"/>
          <w:sz w:val="20"/>
          <w:lang w:val="en-US" w:eastAsia="en-US" w:bidi="ar-SA"/>
        </w:rPr>
        <w:tab/>
      </w:r>
      <w:r>
        <w:rPr>
          <w:rFonts w:ascii="arial" w:eastAsia="arial" w:hAnsi="arial" w:cs="arial"/>
          <w:color w:val="6D6E71"/>
          <w:sz w:val="18"/>
          <w:lang w:val="en-US" w:eastAsia="en-US" w:bidi="ar-SA"/>
        </w:rPr>
        <w:t>Above, footnote 10.</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28" style="position:absolute;z-index:2518118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0"/>
          <w:headerReference w:type="default" r:id="rId31"/>
          <w:footerReference w:type="even" r:id="rId32"/>
          <w:footerReference w:type="default" r:id="rId33"/>
          <w:headerReference w:type="first" r:id="rId34"/>
          <w:footerReference w:type="first" r:id="rId3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6" w:history="1">
        <w:r>
          <w:rPr>
            <w:rFonts w:ascii="arial" w:eastAsia="arial" w:hAnsi="arial" w:cs="arial"/>
            <w:b/>
            <w:bCs/>
            <w:i/>
            <w:color w:val="0077CC"/>
            <w:kern w:val="32"/>
            <w:sz w:val="28"/>
            <w:szCs w:val="32"/>
            <w:u w:val="single"/>
            <w:shd w:val="clear" w:color="auto" w:fill="FFFFFF"/>
            <w:lang w:val="en-US" w:eastAsia="en-US" w:bidi="ar-SA"/>
          </w:rPr>
          <w:t>Shebaylo v. Fradet, [2006] B.C.J. No. 3104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Hyslop</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20,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Kamloops Registry No. 38653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3104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1784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153 A.C.W.S. (3d) 824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George William Jackson Shebaylo, Plaintiff, and Dr. Guy Fradet, Dr. John Doe, and Vancouver Coastal Health Authority, operating as Vancouver General Hospital and the said Vancouver General Hospital,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(23 paras.)</w:t>
      </w:r>
    </w:p>
    <w:p>
      <w:pPr>
        <w:jc w:val="both"/>
        <w:rPr>
          <w:rFonts w:ascii="arial" w:eastAsia="arial" w:hAnsi="arial" w:cs="arial"/>
          <w:sz w:val="20"/>
          <w:lang w:val="en-US" w:eastAsia="en-US" w:bidi="ar-SA"/>
        </w:rPr>
      </w:pPr>
      <w:bookmarkStart w:id="33" w:name="Counsel_0"/>
      <w:bookmarkEnd w:id="3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29" style="position:absolute;z-index:251659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J.A. Carroll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and proposed Defendants: C.L. Khanna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4" w:name="Judgment_0"/>
      <w:bookmarkEnd w:id="34"/>
      <w:r>
        <w:pict>
          <v:line id="_x0000_s1030" style="position:absolute;z-index:25171046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5" w:name="MASTER HYSLOP"/>
            <w:bookmarkEnd w:id="35"/>
            <w:r>
              <w:rPr>
                <w:rFonts w:ascii="arial" w:eastAsia="arial" w:hAnsi="arial" w:cs="arial"/>
                <w:b/>
                <w:color w:val="000000"/>
                <w:sz w:val="30"/>
                <w:lang w:val="en-US" w:eastAsia="en-US" w:bidi="ar-SA"/>
              </w:rPr>
              <w:t>MASTER HYSLOP</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seeks the following:</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JOHN JUE and Dr. PETER FRY be substituted as Defendants in place of Dr. JOHN DOE to the action herein;</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be at liberty to amend the Amended Writ of Summons filed herein to substitute Dr. JOHN JUE and Dr. PETER FRY as Defendants in place of Dr. JOHN DOE;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be at liberty to file a Statement of Claim naming Dr. JOHN JUE and Dr. PETER FRY in place of Dr. JOHN DOE;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extend the time for filing the Statement of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applicant will rely on Rule 15(5)(a), Rule 15(6), Rule 15(7), Rule 24(1), Rule 20, and Rule 3(2) of the Supreme Court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support of this application is the affidavit of Jamie D. Ashby and the proposed statement of claim in this action. Counsel for the plaintiff provided background information not contained in the affidavit of Jamie Ashby or the proposed statement of claim. No objection was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In August 2003, it was discovered that the plaintiff had an enlarged heart, a hole in and a clefted valve of the heart. The plaintiff, on May 31, 2004, was operated on by Dr. Guy Fradet. Within days of the operation, the plaintiff developed a blood clot in his leg. Dr. Peter Fry operated on the plaintiff to remove the clot. Subsequent to this, Dr. Jue read and interpreted an echogram relating to the likely existence of another blood clot. Within approximately a day, the plaintiff suffered a stroke for which he seeks damages, claiming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present defendants and the proposed defendants, Drs. Jue and Fry, whom he seeks to substitute in place of Dr. John Doe.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May 29, 2006, this action was commenced by issuing a writ to preserve time limitations. The writ was amended on June 6, 2006, without opposition, to properly describe Vancouver Coast Health Authority (the "health authority"). Counsel for the plaintiff stated that the need to issue the writ occurred due to information that was uncovered as a result of an examination for discovery in another action wherein the plaintiff in this action is a plaintiff, and other doctors are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is alleged to have been born with a heart condition that went undetected throughout his childhood and early adult life until August 2003. As a result, an action was commenced against doctors who provided care to the plaintiff during this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Jamie Ashby swears in her affidavit:</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necessary to obtain and subsequently review the Plaintiff's extensive medical information from multiple sources and to discuss with the Plaintiff's mother on numerous occasions this material in order to determine the appropriate parties to be named as Defendants herein.</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recently determined that Dr. JOHN JUE and Dr. PETER FRY were involved in the treatment of the Plaintiff and they are in fact the doctors referred to as Dr. JOHN DOE in the action herein and as such should be made parties to this action and substituted as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defendants and proposed defendants oppose the plaintiff's application. The defendants and the proposed defendants, in their written submissions, state the issues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III</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THE ISSUES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Plaintiff satisfied the requirements of Rule 15(5)(a)(ii) in order to allow the joinder of Dr. Jue and Dr. Fry as Defendants?</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Plaintiff satisfied the requirements of Rule 15(5)(a)(iii) in order to allow the joinder of Dr. Jue and Dr. Fry as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relevant portions of Rule 15(5)(a)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on application by any person may</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party, who is not or has ceased to be a proper or necessary party, cease to be a party,</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who ought to have been joined as a party or who participation in the proceeding is necessary to ensure that all matters in the proceeding may be effectually adjudicated upon, be added or substituted as a party, 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be added as a party where there may exist, between the person and any party to the proceeding, a question or issue relating to or connected</w:t>
      </w:r>
    </w:p>
    <w:p>
      <w:pPr>
        <w:numPr>
          <w:numId w:val="7"/>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any relief claimed in the proceeding, or</w:t>
      </w:r>
    </w:p>
    <w:p>
      <w:pPr>
        <w:numPr>
          <w:numId w:val="8"/>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the subject matter of the proceeding,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which in the opinion of the court it would be just and convenient to determine as between the person and that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defendants and proposed defendants argue that the action against Drs. Jue and Fry are statute barred. Although that part of Rule 15(5)(a)(iii) is not determinative of an application under this part, but it is a significant factor to be considered by the court. The significant factor, the defence argues, is presumed prejudice to the proposed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During submissions, I asked counsel to read </w:t>
      </w:r>
      <w:r>
        <w:rPr>
          <w:rFonts w:ascii="arial" w:eastAsia="arial" w:hAnsi="arial" w:cs="arial"/>
          <w:b/>
          <w:i/>
          <w:color w:val="000000"/>
          <w:sz w:val="20"/>
          <w:lang w:val="en-US" w:eastAsia="en-US" w:bidi="ar-SA"/>
        </w:rPr>
        <w:t>McIntosh v. Nilsson Bros. Inc.</w:t>
      </w:r>
      <w:r>
        <w:rPr>
          <w:rFonts w:ascii="arial" w:eastAsia="arial" w:hAnsi="arial" w:cs="arial"/>
          <w:color w:val="000000"/>
          <w:sz w:val="20"/>
          <w:lang w:val="en-US" w:eastAsia="en-US" w:bidi="ar-SA"/>
        </w:rPr>
        <w:t xml:space="preserve">, </w:t>
      </w:r>
      <w:hyperlink r:id="rId37" w:history="1">
        <w:r>
          <w:rPr>
            <w:rFonts w:ascii="arial" w:eastAsia="arial" w:hAnsi="arial" w:cs="arial"/>
            <w:i/>
            <w:color w:val="0077CC"/>
            <w:sz w:val="20"/>
            <w:u w:val="single"/>
            <w:shd w:val="clear" w:color="auto" w:fill="FFFFFF"/>
            <w:lang w:val="en-US" w:eastAsia="en-US" w:bidi="ar-SA"/>
          </w:rPr>
          <w:t>2005 BCCA 297</w:t>
        </w:r>
      </w:hyperlink>
      <w:r>
        <w:rPr>
          <w:rFonts w:ascii="arial" w:eastAsia="arial" w:hAnsi="arial" w:cs="arial"/>
          <w:color w:val="000000"/>
          <w:sz w:val="20"/>
          <w:lang w:val="en-US" w:eastAsia="en-US" w:bidi="ar-SA"/>
        </w:rPr>
        <w:t xml:space="preserve">, </w:t>
      </w:r>
      <w:hyperlink r:id="rId37" w:history="1">
        <w:r>
          <w:rPr>
            <w:rFonts w:ascii="arial" w:eastAsia="arial" w:hAnsi="arial" w:cs="arial"/>
            <w:i/>
            <w:color w:val="0077CC"/>
            <w:sz w:val="20"/>
            <w:u w:val="single"/>
            <w:shd w:val="clear" w:color="auto" w:fill="FFFFFF"/>
            <w:lang w:val="en-US" w:eastAsia="en-US" w:bidi="ar-SA"/>
          </w:rPr>
          <w:t>[2005] B.C.J. No. 1203</w:t>
        </w:r>
      </w:hyperlink>
      <w:r>
        <w:rPr>
          <w:rFonts w:ascii="arial" w:eastAsia="arial" w:hAnsi="arial" w:cs="arial"/>
          <w:color w:val="000000"/>
          <w:sz w:val="20"/>
          <w:lang w:val="en-US" w:eastAsia="en-US" w:bidi="ar-SA"/>
        </w:rPr>
        <w:t>. Counsel for the defence conceded that the facts of this case do not raise a presumption of prejudice.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defendants and the proposed defendants deny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Dr. Jue claims that the only role he played in this matter was to read and interpret an echogram after Dr. Fry performed surgery. Counsel of record for Dr. Fradet, Kimberly J. Jakeman, in her affidavit attaches a letter she wrote to plaintiff's counsel, stating, amongst other matters, that the opinion of Dr. LeBlanc, an expert retained by Dr. Fradet, is the clot was a risk in having this surgery, although rare.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considering an application under Rule 15(5)(a)(ii) and (iii), a judge or master must not weigh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the writ, the plaintiff also joins Dr. John Doe as a nominal defendant. In the endorsement of the writ and amended writ, the plaintiff's claim is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for damages for injuries incurred following surgery performed at VANCOUVER GENERAL HOSPITAL by DR. GUY FRADET and others as a result of the failure to provide an adequate standard of post-operative care including inadequate anticoagulant allowing blood clots to damage the Plaintiff's brain.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the proposed statement of claim, the plaintiff alleges both Drs. Fry and Jue performed an echogram from which they ought to have detected a thrombosis in the plaintiff's heart, or that they failed, together with Dr. Fradet, to locate other clots which the plaintiff claims to have caused the stroke. The plaintiff also alleges that Dr. Fradet and Drs. Fry and Jue did not provide proper treatment to the plaintiff to prevent the clots.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Counsel for the defendants and proposed defendants argues that in order for the plaintiff to successfully add the proposed defendants pursuant to Rule 15(5)(a)(ii), a narrow construction of the Rule must be given. Mr. Justice Esson in </w:t>
      </w:r>
      <w:r>
        <w:rPr>
          <w:rFonts w:ascii="arial" w:eastAsia="arial" w:hAnsi="arial" w:cs="arial"/>
          <w:b/>
          <w:i/>
          <w:color w:val="000000"/>
          <w:sz w:val="20"/>
          <w:lang w:val="en-US" w:eastAsia="en-US" w:bidi="ar-SA"/>
        </w:rPr>
        <w:t>Letvad v. Fenwick</w:t>
      </w:r>
      <w:r>
        <w:rPr>
          <w:rFonts w:ascii="arial" w:eastAsia="arial" w:hAnsi="arial" w:cs="arial"/>
          <w:color w:val="000000"/>
          <w:sz w:val="20"/>
          <w:lang w:val="en-US" w:eastAsia="en-US" w:bidi="ar-SA"/>
        </w:rPr>
        <w:t xml:space="preserve">, </w:t>
      </w:r>
      <w:hyperlink r:id="rId38" w:history="1">
        <w:r>
          <w:rPr>
            <w:rFonts w:ascii="arial" w:eastAsia="arial" w:hAnsi="arial" w:cs="arial"/>
            <w:i/>
            <w:color w:val="0077CC"/>
            <w:sz w:val="20"/>
            <w:u w:val="single"/>
            <w:shd w:val="clear" w:color="auto" w:fill="FFFFFF"/>
            <w:lang w:val="en-US" w:eastAsia="en-US" w:bidi="ar-SA"/>
          </w:rPr>
          <w:t>2000 BCCA 630</w:t>
        </w:r>
      </w:hyperlink>
      <w:r>
        <w:rPr>
          <w:rFonts w:ascii="arial" w:eastAsia="arial" w:hAnsi="arial" w:cs="arial"/>
          <w:color w:val="000000"/>
          <w:sz w:val="20"/>
          <w:lang w:val="en-US" w:eastAsia="en-US" w:bidi="ar-SA"/>
        </w:rPr>
        <w:t xml:space="preserve">, </w:t>
      </w:r>
      <w:hyperlink r:id="rId38" w:history="1">
        <w:r>
          <w:rPr>
            <w:rFonts w:ascii="arial" w:eastAsia="arial" w:hAnsi="arial" w:cs="arial"/>
            <w:i/>
            <w:color w:val="0077CC"/>
            <w:sz w:val="20"/>
            <w:u w:val="single"/>
            <w:shd w:val="clear" w:color="auto" w:fill="FFFFFF"/>
            <w:lang w:val="en-US" w:eastAsia="en-US" w:bidi="ar-SA"/>
          </w:rPr>
          <w:t>[2000] B.C.J. No. 2369</w:t>
        </w:r>
      </w:hyperlink>
      <w:r>
        <w:rPr>
          <w:rFonts w:ascii="arial" w:eastAsia="arial" w:hAnsi="arial" w:cs="arial"/>
          <w:color w:val="000000"/>
          <w:sz w:val="20"/>
          <w:lang w:val="en-US" w:eastAsia="en-US" w:bidi="ar-SA"/>
        </w:rPr>
        <w:t xml:space="preserve"> at [paragraph] 17-18 stated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leading authority on this rule is Enterprise Realty Ltd. v. Barnes Lake Cattle Co. Ltd. </w:t>
      </w:r>
      <w:hyperlink r:id="rId39" w:history="1">
        <w:r>
          <w:rPr>
            <w:rFonts w:ascii="arial" w:eastAsia="arial" w:hAnsi="arial" w:cs="arial"/>
            <w:i/>
            <w:color w:val="0077CC"/>
            <w:sz w:val="20"/>
            <w:u w:val="single"/>
            <w:shd w:val="clear" w:color="auto" w:fill="FFFFFF"/>
            <w:lang w:val="en-US" w:eastAsia="en-US" w:bidi="ar-SA"/>
          </w:rPr>
          <w:t>(1979), 13 B.C.L.R. 293</w:t>
        </w:r>
      </w:hyperlink>
      <w:r>
        <w:rPr>
          <w:rFonts w:ascii="arial" w:eastAsia="arial" w:hAnsi="arial" w:cs="arial"/>
          <w:color w:val="000000"/>
          <w:sz w:val="20"/>
          <w:lang w:val="en-US" w:eastAsia="en-US" w:bidi="ar-SA"/>
        </w:rPr>
        <w:t xml:space="preserve"> (C.A.), which settled the question whether the rule should be given a broad or a narrow construction. Lambert J.A. for the court held that the narrow construction must continue to prevail. In so doing, he applied the reasoning of Devlin J. (as he then was) in Amon v. Raphael Tuck &amp; Sons Ltd., [1956] 1 Q.B. 357. Lambert J.A. said at 298: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propose to turn first to the English cases. In Amon v. Raphael Tuck &amp; Sons Ltd., [1956] 1 Q.B. 357, [1956] 1 All E.R. 273, in a most thorough historical analysis of the jurisprudence, Devlin J. concluded that the first condition, "ought to have been joined", had its origin in common law, with its relatively simple remedies, and applied to cases such as joint contractors and that the second condition, "necessary that all matters in the proceeding be effectually adjudicated", had its origin in equity, with its more complex remedies, and that it covered cases where a remedy such as specific performance could not be awarded without additional parties being added to make the remedy effective. Devlin J. then traced the two lines of authority and decided that the narrow construction was to be preferred. He did so for what I consider to be five reasons.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passage illustrates the kind of issues which may be taken into account in deciding whether the application is within subrule (ii). The gist of the matter is that the plaintiff must establish either that the persons sought to be added "ought to have been joined as a party" or that their "participation in the proceeding is necessary" in order to permit the issues between the existing parties to be effectually adjudicated. Here, the issues to the point of the application were, as between the plaintiff and Dr. Finley, whether the latter had been negligent and, as between the plaintiff and the Hospital, whether it was vicariously liable for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perhaps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others. Those issues could have been effectually adjudicated between the original parties.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[paragraph]</w:t>
      </w:r>
      <w:r>
        <w:rPr>
          <w:rFonts w:ascii="arial" w:eastAsia="arial" w:hAnsi="arial" w:cs="arial"/>
          <w:color w:val="000000"/>
          <w:sz w:val="20"/>
          <w:lang w:val="en-US" w:eastAsia="en-US" w:bidi="ar-SA"/>
        </w:rPr>
        <w:t xml:space="preserve"> 18 That is not to say that if Drs. Fenwick and Evans had been joined as defendants at the outset, that would have been an improper joinder. But that is an entirely different question from that as to whether they ought to have been joined or whether their joinder was necessary in order for the issues between the original parties to be adjudicated upon. The chambers judge having erred in holding that subrule (ii) applied, no element of discretion arises. That finding must be set aside on the basis that there was no jurisdiction to add the parties under subrule (ii).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facts in </w:t>
      </w:r>
      <w:r>
        <w:rPr>
          <w:rFonts w:ascii="arial" w:eastAsia="arial" w:hAnsi="arial" w:cs="arial"/>
          <w:b/>
          <w:i/>
          <w:color w:val="000000"/>
          <w:sz w:val="20"/>
          <w:lang w:val="en-US" w:eastAsia="en-US" w:bidi="ar-SA"/>
        </w:rPr>
        <w:t>Letvad</w:t>
      </w:r>
      <w:r>
        <w:rPr>
          <w:rFonts w:ascii="arial" w:eastAsia="arial" w:hAnsi="arial" w:cs="arial"/>
          <w:color w:val="000000"/>
          <w:sz w:val="20"/>
          <w:lang w:val="en-US" w:eastAsia="en-US" w:bidi="ar-SA"/>
        </w:rPr>
        <w:t xml:space="preserve"> are similar to those in this application. The plaintiff wished to add two physicians involved in the plaintiff's care after surgery was performed by the physician named in the action. The test as set out in </w:t>
      </w:r>
      <w:r>
        <w:rPr>
          <w:rFonts w:ascii="arial" w:eastAsia="arial" w:hAnsi="arial" w:cs="arial"/>
          <w:b/>
          <w:i/>
          <w:color w:val="000000"/>
          <w:sz w:val="20"/>
          <w:lang w:val="en-US" w:eastAsia="en-US" w:bidi="ar-SA"/>
        </w:rPr>
        <w:t>Letvad</w:t>
      </w:r>
      <w:r>
        <w:rPr>
          <w:rFonts w:ascii="arial" w:eastAsia="arial" w:hAnsi="arial" w:cs="arial"/>
          <w:color w:val="000000"/>
          <w:sz w:val="20"/>
          <w:lang w:val="en-US" w:eastAsia="en-US" w:bidi="ar-SA"/>
        </w:rPr>
        <w:t xml:space="preserve">, as between the plaintiff and Dr. Fradet, is whether Dr. Fradet was negligent. As between the plaintiff and the hospital, whether the hospital is vicariously liable for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others, and can it be litigated without the addition or substitution of Drs. Jue and Fry.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adding of, or substitution of Drs. Fry and Jue, is not required or necessary for the plaintiff's cause of action as against the hospital and Dr. Fradet to be tried.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RULE 15(5)(a)(iii)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limitation period for commencing an action against the proposed defendants has expired. At the hearing of this application, it was approximately five months beyond the limitation period. As I have already stated, there can be no presumed prejudice against the plaintiff. There was no prejudice alleged on behalf of Drs. Fry and Jue.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this matter, like the facts in </w:t>
      </w:r>
      <w:r>
        <w:rPr>
          <w:rFonts w:ascii="arial" w:eastAsia="arial" w:hAnsi="arial" w:cs="arial"/>
          <w:b/>
          <w:i/>
          <w:color w:val="000000"/>
          <w:sz w:val="20"/>
          <w:lang w:val="en-US" w:eastAsia="en-US" w:bidi="ar-SA"/>
        </w:rPr>
        <w:t>Letvad</w:t>
      </w:r>
      <w:r>
        <w:rPr>
          <w:rFonts w:ascii="arial" w:eastAsia="arial" w:hAnsi="arial" w:cs="arial"/>
          <w:color w:val="000000"/>
          <w:sz w:val="20"/>
          <w:lang w:val="en-US" w:eastAsia="en-US" w:bidi="ar-SA"/>
        </w:rPr>
        <w:t xml:space="preserve">, there exists between the plaintiff and the proposed defendants, and the existing parties to the action, an issue regarding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which the plaintiff claims damages. These allegations all relate to the original surgery performed by Dr. Fradet, and in the cases of Drs. Jue and Fry, further surgery, treatment and advice was performed and given after post-operative complications of the surgery performed by Dr. Fradet.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Letvad</w:t>
      </w:r>
      <w:r>
        <w:rPr>
          <w:rFonts w:ascii="arial" w:eastAsia="arial" w:hAnsi="arial" w:cs="arial"/>
          <w:color w:val="000000"/>
          <w:sz w:val="20"/>
          <w:lang w:val="en-US" w:eastAsia="en-US" w:bidi="ar-SA"/>
        </w:rPr>
        <w:t xml:space="preserve">, Rule 15(5)(a)(iii) was also considered. In </w:t>
      </w:r>
      <w:r>
        <w:rPr>
          <w:rFonts w:ascii="arial" w:eastAsia="arial" w:hAnsi="arial" w:cs="arial"/>
          <w:b/>
          <w:i/>
          <w:color w:val="000000"/>
          <w:sz w:val="20"/>
          <w:lang w:val="en-US" w:eastAsia="en-US" w:bidi="ar-SA"/>
        </w:rPr>
        <w:t>Strata Plan LMS 1816 v. Acastina Investments Ltd.</w:t>
      </w:r>
      <w:r>
        <w:rPr>
          <w:rFonts w:ascii="arial" w:eastAsia="arial" w:hAnsi="arial" w:cs="arial"/>
          <w:color w:val="000000"/>
          <w:sz w:val="20"/>
          <w:lang w:val="en-US" w:eastAsia="en-US" w:bidi="ar-SA"/>
        </w:rPr>
        <w:t xml:space="preserve">, </w:t>
      </w:r>
      <w:hyperlink r:id="rId40" w:history="1">
        <w:r>
          <w:rPr>
            <w:rFonts w:ascii="arial" w:eastAsia="arial" w:hAnsi="arial" w:cs="arial"/>
            <w:i/>
            <w:color w:val="0077CC"/>
            <w:sz w:val="20"/>
            <w:u w:val="single"/>
            <w:shd w:val="clear" w:color="auto" w:fill="FFFFFF"/>
            <w:lang w:val="en-US" w:eastAsia="en-US" w:bidi="ar-SA"/>
          </w:rPr>
          <w:t>2004 BCCA 578</w:t>
        </w:r>
      </w:hyperlink>
      <w:r>
        <w:rPr>
          <w:rFonts w:ascii="arial" w:eastAsia="arial" w:hAnsi="arial" w:cs="arial"/>
          <w:color w:val="000000"/>
          <w:sz w:val="20"/>
          <w:lang w:val="en-US" w:eastAsia="en-US" w:bidi="ar-SA"/>
        </w:rPr>
        <w:t xml:space="preserve">, </w:t>
      </w:r>
      <w:hyperlink r:id="rId40" w:history="1">
        <w:r>
          <w:rPr>
            <w:rFonts w:ascii="arial" w:eastAsia="arial" w:hAnsi="arial" w:cs="arial"/>
            <w:i/>
            <w:color w:val="0077CC"/>
            <w:sz w:val="20"/>
            <w:u w:val="single"/>
            <w:shd w:val="clear" w:color="auto" w:fill="FFFFFF"/>
            <w:lang w:val="en-US" w:eastAsia="en-US" w:bidi="ar-SA"/>
          </w:rPr>
          <w:t>[2004] B.C.J. No. 2372</w:t>
        </w:r>
      </w:hyperlink>
      <w:r>
        <w:rPr>
          <w:rFonts w:ascii="arial" w:eastAsia="arial" w:hAnsi="arial" w:cs="arial"/>
          <w:color w:val="000000"/>
          <w:sz w:val="20"/>
          <w:lang w:val="en-US" w:eastAsia="en-US" w:bidi="ar-SA"/>
        </w:rPr>
        <w:t xml:space="preserve">, Mr. Justice Mackenzie, speaking on behalf of the court, comments on </w:t>
      </w:r>
      <w:r>
        <w:rPr>
          <w:rFonts w:ascii="arial" w:eastAsia="arial" w:hAnsi="arial" w:cs="arial"/>
          <w:b/>
          <w:i/>
          <w:color w:val="000000"/>
          <w:sz w:val="20"/>
          <w:lang w:val="en-US" w:eastAsia="en-US" w:bidi="ar-SA"/>
        </w:rPr>
        <w:t>Letvad</w:t>
      </w:r>
      <w:r>
        <w:rPr>
          <w:rFonts w:ascii="arial" w:eastAsia="arial" w:hAnsi="arial" w:cs="arial"/>
          <w:color w:val="000000"/>
          <w:sz w:val="20"/>
          <w:lang w:val="en-US" w:eastAsia="en-US" w:bidi="ar-SA"/>
        </w:rPr>
        <w:t xml:space="preserve"> at [paragraph] 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issue on appeal turned on the significance of delay and prejudice in the determination of whether it was "just and convenient" to add them as parties. This Court allowed the doctors' appeal and dismissed the application for joinder on the ground that it was not just and convenient because of the delay and prejudice to the doctors. The application was supported by evidence and the issue was not decided on the pleadings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evidentiary basis of an application under Rule 15(5)(a)(iii) is met: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where the material facts as pleaded establish a real issue between the parties (see </w:t>
      </w:r>
      <w:r>
        <w:rPr>
          <w:rFonts w:ascii="arial" w:eastAsia="arial" w:hAnsi="arial" w:cs="arial"/>
          <w:b/>
          <w:i/>
          <w:color w:val="000000"/>
          <w:sz w:val="20"/>
          <w:lang w:val="en-US" w:eastAsia="en-US" w:bidi="ar-SA"/>
        </w:rPr>
        <w:t>Strata Plan LMS 1816</w:t>
      </w:r>
      <w:r>
        <w:rPr>
          <w:rFonts w:ascii="arial" w:eastAsia="arial" w:hAnsi="arial" w:cs="arial"/>
          <w:color w:val="000000"/>
          <w:sz w:val="20"/>
          <w:lang w:val="en-US" w:eastAsia="en-US" w:bidi="ar-SA"/>
        </w:rPr>
        <w:t>, [paragraph]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proposed statement of claim establishes an issue between the plaintiff and Drs. Fry and Jue.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It is just and convenient to add or substitute for Dr. John Doe, Drs. Fry and Jue as defendants in this action, amending the writ accordingly. The plaintiff may file the proposed statement of claim and I extend the time for filing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costs of this application shall be costs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HYSLOP</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1" style="position:absolute;z-index:2517616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1"/>
          <w:headerReference w:type="default" r:id="rId42"/>
          <w:footerReference w:type="even" r:id="rId43"/>
          <w:footerReference w:type="default" r:id="rId44"/>
          <w:headerReference w:type="first" r:id="rId45"/>
          <w:footerReference w:type="first" r:id="rId4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7" w:history="1">
        <w:r>
          <w:rPr>
            <w:rFonts w:ascii="arial" w:eastAsia="arial" w:hAnsi="arial" w:cs="arial"/>
            <w:b/>
            <w:bCs/>
            <w:i/>
            <w:color w:val="0077CC"/>
            <w:kern w:val="32"/>
            <w:sz w:val="28"/>
            <w:szCs w:val="32"/>
            <w:u w:val="single"/>
            <w:shd w:val="clear" w:color="auto" w:fill="FFFFFF"/>
            <w:lang w:val="en-US" w:eastAsia="en-US" w:bidi="ar-SA"/>
          </w:rPr>
          <w:t>Sidhu v. Hiebert, [2020] B.C.J. No. 225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C.L. Forth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3, 5 and 6, 2020.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14, 2020.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M082472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[2020] B.C.J. No. 225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2020 BCSC 183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Arshdeep Singh Sidhu, Plaintiff, and Jan Abram Hiebert, Balwinder Kaur Sidhu, Rajvinder Singh Sidhu, Surinder Singh Rattan, Nissan Canada Inc., Nissan Motor Co., Ltd., Nissan North America, Inc., Abbotsford Nissan Ltd., Defendants, and Insurance Corporation of British Columbia, Jan Abram Hiebert, Balwinder Kaur Sidhu, Rajvinder Singh Sidhu, Surinder Singh Rattan, Nissan Canada Inc., Nissan Motor Co., Ltd., Nissan North America, Inc. and Abbotsford Nissan Ltd.,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(71 paras.)</w:t>
      </w:r>
    </w:p>
    <w:p>
      <w:pPr>
        <w:jc w:val="both"/>
        <w:rPr>
          <w:rFonts w:ascii="arial" w:eastAsia="arial" w:hAnsi="arial" w:cs="arial"/>
          <w:sz w:val="20"/>
          <w:lang w:val="en-US" w:eastAsia="en-US" w:bidi="ar-SA"/>
        </w:rPr>
      </w:pPr>
      <w:bookmarkStart w:id="36" w:name="Counsel_1"/>
      <w:bookmarkEnd w:id="3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2" style="position:absolute;z-index:251660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M.J. Slater Q.C., S. Jaworski.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and Third Parties, Nissan Canada Inc., Nissan Motor Co., Ltd., Nissan North America, Inc., and Abbotsford Nissan Ltd.: M. Parrish, G. McDonell.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and Third Parties, Balwinder Kaur Sidhu and Rajvinder Singh Sidhu: L. Dineley.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and Third Party, Surinder Singh Rattan: P. Miller.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Insurance Corporation of British Columbia: D.D. Nugent.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7" w:name="Judgment_1"/>
      <w:bookmarkEnd w:id="37"/>
      <w:r>
        <w:pict>
          <v:line id="_x0000_s1033" style="position:absolute;z-index:25171148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on Application to Strike Jury Notice</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8" w:name="C.L. FORTH J."/>
            <w:bookmarkEnd w:id="38"/>
            <w:r>
              <w:rPr>
                <w:rFonts w:ascii="arial" w:eastAsia="arial" w:hAnsi="arial" w:cs="arial"/>
                <w:b/>
                <w:color w:val="000000"/>
                <w:sz w:val="30"/>
                <w:lang w:val="en-US" w:eastAsia="en-US" w:bidi="ar-SA"/>
              </w:rPr>
              <w:t>C.L. FORTH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defendants, Nissan Canada Inc., Nissan Motor Co. Ltd., Nissan North America, Inc., and Abbotsford Nissan Ltd. (collectively, "Nissan" or "the Nissan defendants"), apply for an order pursuant to R. 12-6(5)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that the trial of this action be heard without a jury. The defendant, Surinder Singh Rattan, supports Nissan's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Arshdeep Singh Sidhu, opposes the application. He is supported by the defendants, Balwinder Kaur Sidhu and Rajvinder Singh Sidhu, and the third party, the Insurance Corporation of British Columbia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underlying action (the "Action"), together with B.C. Supreme Court Action No. M125363, (collectively, the "Actions"), are scheduled to be heard in a 73-day trial beginning on March 23, 2020. The Actions involve the following claims:</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motor vehicle tort claim against the defendants Jan Abram Hiebert, Balwinder Kaur Sidhu, and Rajvinder Singh Sidhu relating to a motor vehicle accident on March 31, 2008 (the "Collision");</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product liability claim against the Nissan defendants relating to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design, manufacture, distribution, and sale of the 2006 Nissan Pathfinder vehicle involved in the Collision;</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social host tort claim against the defendant Surinder Singh Rattan relating to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Rattan as social host of the defendant Hiebert prior to the Collision; and</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motor vehicle accident tort claim against the defendants, Robert Vivier, Williams Roofing &amp; Drainage Ltd., Rajvinder Singh Sidhu, and Balwinder Kaur Sidhu, in a second motor vehicle accident on April 15, 2011 (the "Second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 have been the judicial management and trial judge assigned to the Actions since June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Nissan argues that the Actions should not be tried before a jury because the issues require a prolonged examination of documents and a scientific investigation, neither of which can be made conveniently with a jury, and because the issues are of an intricate or complex character.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argues that the examination of documents and factual investigations can be done conveniently with a jury, that the issues are simple to understand, and that the time and cost involved in preserving the plaintiff's right to a jury trial is proportionate to the amount involved in the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For the reasons that follow, I grant Nissan's application and order that the trial of this action be heard by judge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 Facts and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Collision that underlies the Action occurred on March 30, 2008, when the plaintiff was nine years old. He was seated in the rear, driver-side seat of a 2006 Nissan Pathfinder (the "Pathfinder") owned by his father, Rajvinder Singh Sidhu, and being driven by his mother, Balwinder Kaur Sidhu. The Pathfinder was struck by a vehicle driven by the defendant Hiebert, who had been drinking alcohol at a party hosted by the defendant Rattan prior to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is a ventilator-dependent quadriplegic as a result of the injuries he suffered in the Collision. How and why those injuries occurred are key issues to be resolved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concedes that he was wearing his seatbelt improperly at the time of the Collision, although the exact manner in which he was wearing it, and why, are in dispute. The plaintiff says that he had the lap belt bucked and was wearing the shoulder belt over his right shoulder instead of his left shoulder, as it was designed to be worn. He says the reason he was wearing his seatbelt this way was that it did not fit him properly and was uncomfortable because it touched his face and neck. Nissan says that the plaintiff's lap belt was not buckled. As the plaintiff has no memory of how he was wearing his seatbelt, this finding of fact will be the result of inferences made from circumstantial evidence, largely with the support of expert opinion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alleges that his injuries were the result of a defect in the Pathfinder's seatbelt. He says that Nissan installed seatbelts in the Pathfinder knowing they did not fit children and were likely to cross their face and necks, causing discomfort, which in turn caused children to wear the seatbelt improperly and expose them to increased risk in the event of an accident. The plaintiff says that Nissan knew or ought to have known of this defect, but negligently failed to install countermeasures to improve the fit and prevent misuse. In particular, he says that Nissan should have designed, manufactured, and/or installed a seatbelt adjustment device called a "comfort guide" and a seatbelt retraction mechanism called a "pretensioner". The plaintiff alleges that if these devices had been incorporated into the Pathfinder, the plaintiff would have worn his seatbelt properly and his injuries would have been avoided or greatly reduced.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also alleges that Nissan negligently failed to warn purchasers and users of the Pathfinder of the dangers with respect to the seatbelt defect.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remainder of the plaintiff's claims in the Action include:</w:t>
      </w:r>
      <w:r>
        <w:rPr>
          <w:rFonts w:ascii="arial" w:eastAsia="arial" w:hAnsi="arial" w:cs="arial"/>
          <w:sz w:val="20"/>
          <w:lang w:val="en-US" w:eastAsia="en-US" w:bidi="ar-SA"/>
        </w:rPr>
        <w:cr/>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claims against the defendant Hiebert for causing the Collision by driving too fast while impaired and failing to stop at a stop sign;</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claims against the defendant Rattan as the social host of the party at which the defendant Hiebert had been drinking prior to the Collision;</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claims against his mother, Balwinder Kaur Sidhu, for permitting him to misuse his seatbelt; and</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claims against his father, Rajvinder Singh Sidhu, for vicarious liability as owner of the Pathfinder.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At the hearing of this application, counsel informed that ICBC will seek to amend its response to civil claim to admit that the Collision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Hiebert. The remainder of the defendants contest liability. In particular, Nissan denies all of the allegations against it on the basis that the design of the Pathfinder and the seatbelt were reasonably safe and the plaintiff's discomfort and decision to remove the seatbelt were unrelated to the seatbelt design and manufacture. It says that the plaintiff's injuries were caused by:</w:t>
      </w:r>
      <w:r>
        <w:rPr>
          <w:rFonts w:ascii="arial" w:eastAsia="arial" w:hAnsi="arial" w:cs="arial"/>
          <w:sz w:val="20"/>
          <w:lang w:val="en-US" w:eastAsia="en-US" w:bidi="ar-SA"/>
        </w:rPr>
        <w:cr/>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his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failing to properly wear the seatbelt;</w:t>
      </w:r>
    </w:p>
    <w:p>
      <w:pPr>
        <w:numPr>
          <w:numId w:val="1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his parents'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failing to ensure his seatbelt was properly adjusted and buckled;</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his mother's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allowing him to improperly wear the seatbelt;</w:t>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Hiebert, for driving while impaired and running a stop sign immediately before the Collision; and</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Rattan, for overserving the defendant Hiebert and allowing him to drive while impaired.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Nissan has further raised an issue whether the conduct of the plaintiff's mother, in giving the plaintiff permission to move the seatbelt, is a </w:t>
      </w:r>
      <w:r>
        <w:rPr>
          <w:rFonts w:ascii="arial" w:eastAsia="arial" w:hAnsi="arial" w:cs="arial"/>
          <w:i/>
          <w:color w:val="000000"/>
          <w:sz w:val="20"/>
          <w:lang w:val="en-US" w:eastAsia="en-US" w:bidi="ar-SA"/>
        </w:rPr>
        <w:t>novus actus interveniens</w:t>
      </w:r>
      <w:r>
        <w:rPr>
          <w:rFonts w:ascii="arial" w:eastAsia="arial" w:hAnsi="arial" w:cs="arial"/>
          <w:color w:val="000000"/>
          <w:sz w:val="20"/>
          <w:lang w:val="en-US" w:eastAsia="en-US" w:bidi="ar-SA"/>
        </w:rPr>
        <w:t xml:space="preserve"> severing the chain of causation from any alleged defect in the seatbelt or a failure to warn.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defendants have brought third party claims against each other. ICBC has been added as a third party pursuant to the provisions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because it denies liability to indemnify the defendant Hiebert as a result of his breach of the statutory conditions of his insurance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General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Under R. 12-6(5)(a) (the "Rule"), the court may strike a jury notice and order that the trial be heard by judge alone on any of the following grounds:</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require prolonged examination of documents or accounts or a scientific or local investigation that cannot be made conveniently with a jury;</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are of an intricate or complex character; or</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extra time and cost involved in requiring that the trial be heard by the court with a jury would be disproportionate to the amount involved in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plaintiff has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right to have his case tried by a jury. It is a substantive right that should not be taken away without cogent reasons: </w:t>
      </w:r>
      <w:r>
        <w:rPr>
          <w:rFonts w:ascii="arial" w:eastAsia="arial" w:hAnsi="arial" w:cs="arial"/>
          <w:i/>
          <w:color w:val="000000"/>
          <w:sz w:val="20"/>
          <w:lang w:val="en-US" w:eastAsia="en-US" w:bidi="ar-SA"/>
        </w:rPr>
        <w:t>Cliff v. Dahl</w:t>
      </w:r>
      <w:r>
        <w:rPr>
          <w:rFonts w:ascii="arial" w:eastAsia="arial" w:hAnsi="arial" w:cs="arial"/>
          <w:color w:val="000000"/>
          <w:sz w:val="20"/>
          <w:lang w:val="en-US" w:eastAsia="en-US" w:bidi="ar-SA"/>
        </w:rPr>
        <w:t xml:space="preserve">, </w:t>
      </w:r>
      <w:hyperlink r:id="rId48" w:history="1">
        <w:r>
          <w:rPr>
            <w:rFonts w:ascii="arial" w:eastAsia="arial" w:hAnsi="arial" w:cs="arial"/>
            <w:i/>
            <w:color w:val="0077CC"/>
            <w:sz w:val="20"/>
            <w:u w:val="single"/>
            <w:shd w:val="clear" w:color="auto" w:fill="FFFFFF"/>
            <w:lang w:val="en-US" w:eastAsia="en-US" w:bidi="ar-SA"/>
          </w:rPr>
          <w:t>2012 BCSC 276</w:t>
        </w:r>
      </w:hyperlink>
      <w:r>
        <w:rPr>
          <w:rFonts w:ascii="arial" w:eastAsia="arial" w:hAnsi="arial" w:cs="arial"/>
          <w:color w:val="000000"/>
          <w:sz w:val="20"/>
          <w:lang w:val="en-US" w:eastAsia="en-US" w:bidi="ar-SA"/>
        </w:rPr>
        <w:t xml:space="preserve"> at para. 20. The onus is on the applicant to satisfy the court that it should use its discretion to order that the trial proceed by judge alone. The case law recognizes this is a heavy burden that is not easily satisfied: </w:t>
      </w:r>
      <w:r>
        <w:rPr>
          <w:rFonts w:ascii="arial" w:eastAsia="arial" w:hAnsi="arial" w:cs="arial"/>
          <w:i/>
          <w:color w:val="000000"/>
          <w:sz w:val="20"/>
          <w:lang w:val="en-US" w:eastAsia="en-US" w:bidi="ar-SA"/>
        </w:rPr>
        <w:t>Cliff</w:t>
      </w:r>
      <w:r>
        <w:rPr>
          <w:rFonts w:ascii="arial" w:eastAsia="arial" w:hAnsi="arial" w:cs="arial"/>
          <w:color w:val="000000"/>
          <w:sz w:val="20"/>
          <w:lang w:val="en-US" w:eastAsia="en-US" w:bidi="ar-SA"/>
        </w:rPr>
        <w:t xml:space="preserve"> at para. 28; </w:t>
      </w:r>
      <w:r>
        <w:rPr>
          <w:rFonts w:ascii="arial" w:eastAsia="arial" w:hAnsi="arial" w:cs="arial"/>
          <w:i/>
          <w:color w:val="000000"/>
          <w:sz w:val="20"/>
          <w:lang w:val="en-US" w:eastAsia="en-US" w:bidi="ar-SA"/>
        </w:rPr>
        <w:t>Rados v. Pannu</w:t>
      </w:r>
      <w:r>
        <w:rPr>
          <w:rFonts w:ascii="arial" w:eastAsia="arial" w:hAnsi="arial" w:cs="arial"/>
          <w:color w:val="000000"/>
          <w:sz w:val="20"/>
          <w:lang w:val="en-US" w:eastAsia="en-US" w:bidi="ar-SA"/>
        </w:rPr>
        <w:t xml:space="preserve">, </w:t>
      </w:r>
      <w:hyperlink r:id="rId49" w:history="1">
        <w:r>
          <w:rPr>
            <w:rFonts w:ascii="arial" w:eastAsia="arial" w:hAnsi="arial" w:cs="arial"/>
            <w:i/>
            <w:color w:val="0077CC"/>
            <w:sz w:val="20"/>
            <w:u w:val="single"/>
            <w:shd w:val="clear" w:color="auto" w:fill="FFFFFF"/>
            <w:lang w:val="en-US" w:eastAsia="en-US" w:bidi="ar-SA"/>
          </w:rPr>
          <w:t>2015 BCSC 453</w:t>
        </w:r>
      </w:hyperlink>
      <w:r>
        <w:rPr>
          <w:rFonts w:ascii="arial" w:eastAsia="arial" w:hAnsi="arial" w:cs="arial"/>
          <w:color w:val="000000"/>
          <w:sz w:val="20"/>
          <w:lang w:val="en-US" w:eastAsia="en-US" w:bidi="ar-SA"/>
        </w:rPr>
        <w:t xml:space="preserve"> at para. 30 [</w:t>
      </w:r>
      <w:r>
        <w:rPr>
          <w:rFonts w:ascii="arial" w:eastAsia="arial" w:hAnsi="arial" w:cs="arial"/>
          <w:i/>
          <w:color w:val="000000"/>
          <w:sz w:val="20"/>
          <w:lang w:val="en-US" w:eastAsia="en-US" w:bidi="ar-SA"/>
        </w:rPr>
        <w:t>Rados</w:t>
      </w:r>
      <w:r>
        <w:rPr>
          <w:rFonts w:ascii="arial" w:eastAsia="arial" w:hAnsi="arial" w:cs="arial"/>
          <w:color w:val="000000"/>
          <w:sz w:val="20"/>
          <w:lang w:val="en-US" w:eastAsia="en-US" w:bidi="ar-SA"/>
        </w:rPr>
        <w:t xml:space="preserve"> BCSC], aff'd </w:t>
      </w:r>
      <w:hyperlink r:id="rId50" w:history="1">
        <w:r>
          <w:rPr>
            <w:rFonts w:ascii="arial" w:eastAsia="arial" w:hAnsi="arial" w:cs="arial"/>
            <w:i/>
            <w:color w:val="0077CC"/>
            <w:sz w:val="20"/>
            <w:u w:val="single"/>
            <w:shd w:val="clear" w:color="auto" w:fill="FFFFFF"/>
            <w:lang w:val="en-US" w:eastAsia="en-US" w:bidi="ar-SA"/>
          </w:rPr>
          <w:t>2015 BCCA 459</w:t>
        </w:r>
      </w:hyperlink>
      <w:r>
        <w:rPr>
          <w:rFonts w:ascii="arial" w:eastAsia="arial" w:hAnsi="arial" w:cs="arial"/>
          <w:color w:val="000000"/>
          <w:sz w:val="20"/>
          <w:lang w:val="en-US" w:eastAsia="en-US" w:bidi="ar-SA"/>
        </w:rPr>
        <w:t xml:space="preserve"> at para. 22 [</w:t>
      </w:r>
      <w:r>
        <w:rPr>
          <w:rFonts w:ascii="arial" w:eastAsia="arial" w:hAnsi="arial" w:cs="arial"/>
          <w:i/>
          <w:color w:val="000000"/>
          <w:sz w:val="20"/>
          <w:lang w:val="en-US" w:eastAsia="en-US" w:bidi="ar-SA"/>
        </w:rPr>
        <w:t>Rados</w:t>
      </w:r>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court's exercise of discretion is premised on the understanding that juries are informed, intelligent, and capable of assessing properly presented evidence, even in a long trial with difficult legal questions: </w:t>
      </w:r>
      <w:r>
        <w:rPr>
          <w:rFonts w:ascii="arial" w:eastAsia="arial" w:hAnsi="arial" w:cs="arial"/>
          <w:i/>
          <w:color w:val="000000"/>
          <w:sz w:val="20"/>
          <w:lang w:val="en-US" w:eastAsia="en-US" w:bidi="ar-SA"/>
        </w:rPr>
        <w:t>Gulamani v. Chandra</w:t>
      </w:r>
      <w:r>
        <w:rPr>
          <w:rFonts w:ascii="arial" w:eastAsia="arial" w:hAnsi="arial" w:cs="arial"/>
          <w:color w:val="000000"/>
          <w:sz w:val="20"/>
          <w:lang w:val="en-US" w:eastAsia="en-US" w:bidi="ar-SA"/>
        </w:rPr>
        <w:t xml:space="preserve">, </w:t>
      </w:r>
      <w:hyperlink r:id="rId51" w:history="1">
        <w:r>
          <w:rPr>
            <w:rFonts w:ascii="arial" w:eastAsia="arial" w:hAnsi="arial" w:cs="arial"/>
            <w:i/>
            <w:color w:val="0077CC"/>
            <w:sz w:val="20"/>
            <w:u w:val="single"/>
            <w:shd w:val="clear" w:color="auto" w:fill="FFFFFF"/>
            <w:lang w:val="en-US" w:eastAsia="en-US" w:bidi="ar-SA"/>
          </w:rPr>
          <w:t>2009 BCSC 1042</w:t>
        </w:r>
      </w:hyperlink>
      <w:r>
        <w:rPr>
          <w:rFonts w:ascii="arial" w:eastAsia="arial" w:hAnsi="arial" w:cs="arial"/>
          <w:color w:val="000000"/>
          <w:sz w:val="20"/>
          <w:lang w:val="en-US" w:eastAsia="en-US" w:bidi="ar-SA"/>
        </w:rPr>
        <w:t xml:space="preserve"> at para. 43. The collective education and life experience of jurors means that a jury's ability to evaluate, analyze, and reason in the cases before them "must be, with rare exception, at least equal to that of any single individual": </w:t>
      </w:r>
      <w:r>
        <w:rPr>
          <w:rFonts w:ascii="arial" w:eastAsia="arial" w:hAnsi="arial" w:cs="arial"/>
          <w:i/>
          <w:color w:val="000000"/>
          <w:sz w:val="20"/>
          <w:lang w:val="en-US" w:eastAsia="en-US" w:bidi="ar-SA"/>
        </w:rPr>
        <w:t>Cahoon v. Brideaux</w:t>
      </w:r>
      <w:r>
        <w:rPr>
          <w:rFonts w:ascii="arial" w:eastAsia="arial" w:hAnsi="arial" w:cs="arial"/>
          <w:color w:val="000000"/>
          <w:sz w:val="20"/>
          <w:lang w:val="en-US" w:eastAsia="en-US" w:bidi="ar-SA"/>
        </w:rPr>
        <w:t xml:space="preserve">, </w:t>
      </w:r>
      <w:hyperlink r:id="rId52" w:history="1">
        <w:r>
          <w:rPr>
            <w:rFonts w:ascii="arial" w:eastAsia="arial" w:hAnsi="arial" w:cs="arial"/>
            <w:i/>
            <w:color w:val="0077CC"/>
            <w:sz w:val="20"/>
            <w:u w:val="single"/>
            <w:shd w:val="clear" w:color="auto" w:fill="FFFFFF"/>
            <w:lang w:val="en-US" w:eastAsia="en-US" w:bidi="ar-SA"/>
          </w:rPr>
          <w:t>2010 BCCA 228</w:t>
        </w:r>
      </w:hyperlink>
      <w:r>
        <w:rPr>
          <w:rFonts w:ascii="arial" w:eastAsia="arial" w:hAnsi="arial" w:cs="arial"/>
          <w:color w:val="000000"/>
          <w:sz w:val="20"/>
          <w:lang w:val="en-US" w:eastAsia="en-US" w:bidi="ar-SA"/>
        </w:rPr>
        <w:t xml:space="preserve"> at para.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Court of Appeal in </w:t>
      </w:r>
      <w:r>
        <w:rPr>
          <w:rFonts w:ascii="arial" w:eastAsia="arial" w:hAnsi="arial" w:cs="arial"/>
          <w:i/>
          <w:color w:val="000000"/>
          <w:sz w:val="20"/>
          <w:lang w:val="en-US" w:eastAsia="en-US" w:bidi="ar-SA"/>
        </w:rPr>
        <w:t>Cochrane v. Insurance Corp. of British Columbia</w:t>
      </w:r>
      <w:r>
        <w:rPr>
          <w:rFonts w:ascii="arial" w:eastAsia="arial" w:hAnsi="arial" w:cs="arial"/>
          <w:color w:val="000000"/>
          <w:sz w:val="20"/>
          <w:lang w:val="en-US" w:eastAsia="en-US" w:bidi="ar-SA"/>
        </w:rPr>
        <w:t xml:space="preserve">, </w:t>
      </w:r>
      <w:hyperlink r:id="rId53" w:history="1">
        <w:r>
          <w:rPr>
            <w:rFonts w:ascii="arial" w:eastAsia="arial" w:hAnsi="arial" w:cs="arial"/>
            <w:i/>
            <w:color w:val="0077CC"/>
            <w:sz w:val="20"/>
            <w:u w:val="single"/>
            <w:shd w:val="clear" w:color="auto" w:fill="FFFFFF"/>
            <w:lang w:val="en-US" w:eastAsia="en-US" w:bidi="ar-SA"/>
          </w:rPr>
          <w:t>2005 BCCA 399</w:t>
        </w:r>
      </w:hyperlink>
      <w:r>
        <w:rPr>
          <w:rFonts w:ascii="arial" w:eastAsia="arial" w:hAnsi="arial" w:cs="arial"/>
          <w:color w:val="000000"/>
          <w:sz w:val="20"/>
          <w:lang w:val="en-US" w:eastAsia="en-US" w:bidi="ar-SA"/>
        </w:rPr>
        <w:t xml:space="preserve"> at para. 23, endorsed a two-part test under the former version of the Rule, which corresponds to paragraphs (i) and (ii) of the current Rule. First, the court must decide whether, as a matter of fact on the basis of the evidence presented: (1) the issues require prolonged examination of documents or accounts, (2) the issues require a scientific or local investigation, or (3) the issues are of an intricate or complex character. Second, if one of these findings is made, the court must decide whether it ought to exercise its discretion to strike the jury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If the finding is that the issues require a prolonged examination of documents or require a scientific or local investigation, the judge's discretion must be exercised in relation to the question of whether such an examination or investigation can be made conveniently with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If the finding is that the issues are of an intricate or complex character, the discretion is exercised with respect to the broader question of whether the trial should be heard by judge alone: </w:t>
      </w:r>
      <w:r>
        <w:rPr>
          <w:rFonts w:ascii="arial" w:eastAsia="arial" w:hAnsi="arial" w:cs="arial"/>
          <w:i/>
          <w:color w:val="000000"/>
          <w:sz w:val="20"/>
          <w:lang w:val="en-US" w:eastAsia="en-US" w:bidi="ar-SA"/>
        </w:rPr>
        <w:t>Rados</w:t>
      </w:r>
      <w:r>
        <w:rPr>
          <w:rFonts w:ascii="arial" w:eastAsia="arial" w:hAnsi="arial" w:cs="arial"/>
          <w:color w:val="000000"/>
          <w:sz w:val="20"/>
          <w:lang w:val="en-US" w:eastAsia="en-US" w:bidi="ar-SA"/>
        </w:rPr>
        <w:t xml:space="preserve"> BCCA at paras. 7-8. Although it was not addressed by the Court of Appeal in </w:t>
      </w:r>
      <w:r>
        <w:rPr>
          <w:rFonts w:ascii="arial" w:eastAsia="arial" w:hAnsi="arial" w:cs="arial"/>
          <w:i/>
          <w:color w:val="000000"/>
          <w:sz w:val="20"/>
          <w:lang w:val="en-US" w:eastAsia="en-US" w:bidi="ar-SA"/>
        </w:rPr>
        <w:t>Cochrane</w:t>
      </w:r>
      <w:r>
        <w:rPr>
          <w:rFonts w:ascii="arial" w:eastAsia="arial" w:hAnsi="arial" w:cs="arial"/>
          <w:color w:val="000000"/>
          <w:sz w:val="20"/>
          <w:lang w:val="en-US" w:eastAsia="en-US" w:bidi="ar-SA"/>
        </w:rPr>
        <w:t>, it is clear from the structure of the Rule that this broader question also guides the exercise of discretion with respect to the proportionality ground in paragraph (iii).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my view, Nissan has met its burden of demonstrating that the issues in this case require a prolonged examination of documents and a scientific investigation that cannot be made conveniently with a jury, and that the issues are of an intricate or complex character, such that I should exercise my discretion to strike the jury notice. Given these findings, and since Nissan does not rely on it, I will not consider the proportionality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Will the issues require a prolonged examination of documents?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Nissan's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Nissan submits that there will be extensive documents in this case. Although the parties have yet to propose lists or documents for a common book of documents at trial, the parties' lists of documents, the plaintiff's notice to admit, and the parties' instructing letters and related indices of documents for their experts indicate that the documentary exhibits at trial will be voluminous and require prolonged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Nissan's counsel estimates that the documents marked as exhibits at trial will be roughly 10,000 to 15,000 pages. This estimate is based primarily on the parties' expert reports and the instructing letters and documents relied upon by the experts in their reports, but also includes selected documents relating to the Pathfinder's design, testing and documents relied upon by the plaintiff relating to the United States National Transportation Safety Board recommendations.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Nissan submits that these documents will require prolonged examination. It points to the fact that the plaintiff's negligent design claim relies upon Nissan's knowledge of literature on risks relating to child restraints and safety defects in the Pathfinder's seatbelt spanning a period of over 30 years. Nissan will be relying on extensive documents relating to its design, testing, and certification in its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With respect to the expert evidence, Nissan points to the extensive factual assumptions and documents upon which the experts base their opinions. Nissan objects to the factual assumptions and documents forming the basis of the plaintiff's expert opinions, and it anticipates that the nature and admissibility of the information in these documents will be a highly contested issue at trial. Furthermore, the scientific literature relied upon by the experts is highly contested and will require counsel to put the authoritative passages to the experts in direct examination, followed by cross-examination by the opposing counsel. Nissan submits that this procedure will not only require prolonged examination of documents, but also an investigation into scientific issues.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plaintiff submits that prolonged examination of documents is not necessary in this case. Many of the issues will be dealt with primarily through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evidence and will not be document intensive. While the volume of documents exchanged by the parties may be large, the number of documents that Nissan says the trier of fact will have to examine, and the nature of the examination required, is speculative.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 submits that only select key documents need to be provided to the jury, and that only particular pages of those documents will need to be examined in detail. For documents of a more technical nature, the jury will have the benefit of expert opinion to explain and synthesize the concepts.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find that this case will involve a prolonged examination of documents, and that the volume of those documents is likely to be extensive. While I accept that the likelihood of lengthy materials being filed does not necessarily mean that a prolonged examination of them will be required, the nature of the issues in this case are such that prolonged examination will be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do not accept that Nissan's estimate of the volume of documents that are likely to be entered as exhibits at trial is purely speculative. Counsel has provided a clear basis for the estimate that is supported by the key issues raised in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Cochrane</w:t>
      </w:r>
      <w:r>
        <w:rPr>
          <w:rFonts w:ascii="arial" w:eastAsia="arial" w:hAnsi="arial" w:cs="arial"/>
          <w:color w:val="000000"/>
          <w:sz w:val="20"/>
          <w:lang w:val="en-US" w:eastAsia="en-US" w:bidi="ar-SA"/>
        </w:rPr>
        <w:t xml:space="preserve"> at para. 25, the Court of Appeal held that judges may consider the number and character of documents, as well as the complexity of the matters dealt with in the documents and their legal consequences, to determine whether a prolonged examination of documents would be required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At this stage, 100 expert reports have been served, authored by 55 different experts. All of the experts have been requested for cross-examination. Like in </w:t>
      </w:r>
      <w:r>
        <w:rPr>
          <w:rFonts w:ascii="arial" w:eastAsia="arial" w:hAnsi="arial" w:cs="arial"/>
          <w:i/>
          <w:color w:val="000000"/>
          <w:sz w:val="20"/>
          <w:lang w:val="en-US" w:eastAsia="en-US" w:bidi="ar-SA"/>
        </w:rPr>
        <w:t>Campbell v. McDougall</w:t>
      </w:r>
      <w:r>
        <w:rPr>
          <w:rFonts w:ascii="arial" w:eastAsia="arial" w:hAnsi="arial" w:cs="arial"/>
          <w:color w:val="000000"/>
          <w:sz w:val="20"/>
          <w:lang w:val="en-US" w:eastAsia="en-US" w:bidi="ar-SA"/>
        </w:rPr>
        <w:t xml:space="preserve">, </w:t>
      </w:r>
      <w:hyperlink r:id="rId54" w:history="1">
        <w:r>
          <w:rPr>
            <w:rFonts w:ascii="arial" w:eastAsia="arial" w:hAnsi="arial" w:cs="arial"/>
            <w:i/>
            <w:color w:val="0077CC"/>
            <w:sz w:val="20"/>
            <w:u w:val="single"/>
            <w:shd w:val="clear" w:color="auto" w:fill="FFFFFF"/>
            <w:lang w:val="en-US" w:eastAsia="en-US" w:bidi="ar-SA"/>
          </w:rPr>
          <w:t>2011 BCSC 1864</w:t>
        </w:r>
      </w:hyperlink>
      <w:r>
        <w:rPr>
          <w:rFonts w:ascii="arial" w:eastAsia="arial" w:hAnsi="arial" w:cs="arial"/>
          <w:color w:val="000000"/>
          <w:sz w:val="20"/>
          <w:lang w:val="en-US" w:eastAsia="en-US" w:bidi="ar-SA"/>
        </w:rPr>
        <w:t xml:space="preserve"> at para. 14, the jury will be faced with the prospect of examining, considering, digesting, and retaining information from these experts. The parties' expert reports exceed 2,500 pages, and the instructing letters, factual assumptions, and lists of documents are of a similar length. The specialities of the experts include: paediatrics, general medicine, urology, occupational therapy, psychiatry, architecture, physiotherapy, vocational therapy, economic actuarial analysis, accounting, epidemiology, physiatry, collision analysis, blood alcohol analysis, injury biomechanics, accident reconstruction, occupant kinematics, occupant crash protection, ergonomics, occupant restraint system performance, vehicle inspection, electronic data recorder ("EDR") analysis, life expectancy, and radiology.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accept that the documents in this case will be voluminous, of a complex nature, and of great consequence to the analysis with respect to the plaintiff's claims such that a prolonged examination will be required. In particular, the documents dealing with Nissan's product design and testing will be central to the analysis in determining whether the Pathfinder's seatbelt design was negligent. Further, an examination of the factual assumptions and scientific literature underlying the experts' reports will be key to the trier of fact's assessment of their opinions. These opinions are key evidence that the trier of fact will use to determine issues, like the manner in which the plaintiff was wearing (or not wearing) his seatbelt at the time of the Collision, which will be critical in determining the liability of various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Will the issues require a scientific investigation?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Nissan's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Nissan submits that the issues in this case will require extensive, detailed, and highly technical scientific examination. As noted above, at the time of this application, 100 expert reports had been served from 55 different experts. In its written submissions, Nissan listed the following contested issues in the expert reports requiring extensive scientific investigation at trial:</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and interpretation of the Pathfinder's EDR data;</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competing accident reconstruction analyses, including the reliability and accuracy of the experts' mathematical modelling and analysis respecting the Delta-V (change of speed) of the Pathfinder in the Collison;</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competing forensic engineering examinations and analyses of the physical evidence, including the Pathfinder and seatbelt, and the scientific literature on which those competing opinions are based;</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methodology, validity, and reliability of competing occupant kinematic and injury biomechanics analyses, including:</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physics and forces generated during the Collision and how such physics and forces caused the plaintiff's injuries;</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methodology, validity, and reliability of the MADYMO computer modelling analysis performed by Nissan's expert Dr. Bain; and</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methodology, validity, and reliability of the NASS statistical analysis performed by Nissan's expert Dr. Bain;</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methodology, validity, and reliability of the competing medical, radiology, and injury biomechanics opinions based on the physical injuries and markings on the plaintiff subsequent to the Collision, including the following:</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and type of the medical imaging of the plaintiff's injuries post-collision;</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methodology, validity, and reliability of the 3D computer rendering performed by Nissan's expert Dr. Day based on the plaintiff's medical imaging; and</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methodology, validity, and reliability of Dr. Day's analysis and opinion that the plaintiff was not wearing his lap belt based on the medical imaging;</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methodology, validity, and reliability of competing surrogate studies and analyses respecting the plaintiff's asserted seatbelt use, fit, configuration, and performance;</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state of knowledge, validity, and reliability of scientific studies and literature respecting the asserted risks of child occupant misuse of seatbelts related to seatbelt design and fit;</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scientific principles and engineering standards and regulations relating to motor vehicle and motor vehicle seat restraint design, performance and safety, including the following:</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government technical and engineering safety regulations and standards applicable to the design and manufacture of seatbelts;</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design, engineering, prevalence, and performance of "comfort guides"; and</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design, engineering, prevalence, and performance of rear seat pretensioners;</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competing human factors and warnings analyses and opinions relating to vehicle operator and occupant behaviours, including the scientific and psychology principles relating to operator and occupant behaviours;</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medical diagnosis and prognosis of the plaintiff's injuries and condition; and</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methodology, validity, and reliability of epidemiological data and studies relating to life expectancy of quadriplegics.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Nissan submits that the jury will be required to understand the specialties of the competing experts and the nature and methodology of their tests and analyses in order to weight the validity and reliability of their opinions. Key disputes among the experts relate to scientific literature upon which they base their opinions, particularly with respect to knowledge of the risk of child-occupant seatbelt misuse and the effectiveness of comfort guides and pretensioners in increasing occupant safety at the relevant times. The experts also conflict with respect to the methodology and merit of the testing and analyses performed, which necessarily engages a scientific investigation.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 does not appear to dispute that the issues in this trial require scientific investigation. His submissions focus on the jury's ability to conduct these examinations with the assistance of the experts and skilled counsel doing their job. I will consider these submissions in the following section with respect to the question of whether the investigation can be made conveniently with a jury.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accept that this trial will require extensive scientific examination. The list of scientific issues prepared by Nissan is an accurate representation of the extent of scientific inquiry that the trier of fact will have to undertake in this case. Not only are the factual assumptions and documents that the expert opinions rely on in dispute, the methodologies used by various experts are also contested. The trier of fact will need to compare the factual assumptions with the actual facts proved and then determine the weight to be given to the various opinions. I find, on the evidence presented to me, that this trial will require significant scientific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Can the issues requiring prolonged examination of documents and scientific investigation be made conveniently with a jury?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Nissan's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Nissan submits that a proper, meaning fair, trial cannot be achieved with a jury in this case. It is not reasonable to expect a jury to retain the voluminous, complex information it will receive in a manner that will allow it to fairly investigate and consider the issues raised. It relies on the following statement from Holmes J., as she then was, in </w:t>
      </w:r>
      <w:r>
        <w:rPr>
          <w:rFonts w:ascii="arial" w:eastAsia="arial" w:hAnsi="arial" w:cs="arial"/>
          <w:i/>
          <w:color w:val="000000"/>
          <w:sz w:val="20"/>
          <w:lang w:val="en-US" w:eastAsia="en-US" w:bidi="ar-SA"/>
        </w:rPr>
        <w:t>Steinebach v. Fraser Health Authority</w:t>
      </w:r>
      <w:r>
        <w:rPr>
          <w:rFonts w:ascii="arial" w:eastAsia="arial" w:hAnsi="arial" w:cs="arial"/>
          <w:color w:val="000000"/>
          <w:sz w:val="20"/>
          <w:lang w:val="en-US" w:eastAsia="en-US" w:bidi="ar-SA"/>
        </w:rPr>
        <w:t xml:space="preserve">, </w:t>
      </w:r>
      <w:hyperlink r:id="rId55" w:history="1">
        <w:r>
          <w:rPr>
            <w:rFonts w:ascii="arial" w:eastAsia="arial" w:hAnsi="arial" w:cs="arial"/>
            <w:i/>
            <w:color w:val="0077CC"/>
            <w:sz w:val="20"/>
            <w:u w:val="single"/>
            <w:shd w:val="clear" w:color="auto" w:fill="FFFFFF"/>
            <w:lang w:val="en-US" w:eastAsia="en-US" w:bidi="ar-SA"/>
          </w:rPr>
          <w:t>2009 BCSC 1577</w:t>
        </w:r>
      </w:hyperlink>
      <w:r>
        <w:rPr>
          <w:rFonts w:ascii="arial" w:eastAsia="arial" w:hAnsi="arial" w:cs="arial"/>
          <w:color w:val="000000"/>
          <w:sz w:val="20"/>
          <w:lang w:val="en-US" w:eastAsia="en-US" w:bidi="ar-SA"/>
        </w:rPr>
        <w:t xml:space="preserve"> at para. 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neither reasonable nor practicable to expect a jury to determine a series of challenging issues based on weeks of complex oral testimony, much of it expert evidence, and voluminous written expert reports. The case authorities note the challenges to a jury of retaining through a lengthy trial its understanding and impression of the evidence. The realities of the single and usually continuous process of deliberation would, in a case such as this, increase the challenges and would, in my view, place an unreasonable burden on the members of the public who serve.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particular, Nissan says that the case cannot be conveniently tried by a jury because:</w:t>
      </w:r>
      <w:r>
        <w:rPr>
          <w:rFonts w:ascii="arial" w:eastAsia="arial" w:hAnsi="arial" w:cs="arial"/>
          <w:sz w:val="20"/>
          <w:lang w:val="en-US" w:eastAsia="en-US" w:bidi="ar-SA"/>
        </w:rPr>
        <w:cr/>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jury will have to weigh and assess the credibility, demeanour, and reliability of 55 expert witnesses and 25-50 fact witnesses on key issues months apart;</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jury will need to determine whether the parties have proven the factual assumptions and documents relied upon by the experts and, if not proven, the appropriate reduction in weight to be given to the specific expert's report;</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the responsibility of experts and counsel to simplify and explain technical terms and concepts, the number and nature of technical issues in this case means that there is a risk the jury may not understand or retain the understanding of technical terms and concepts, which could lead to inappropriate weight being given to experts;</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complexity of the evidence and the law in this case will make charging the jury particularly difficult, especially on a condensed time frame with the number of complicated and novel issues;</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even with perfect instructions, it is unreasonable to expect a jury to fairly analyze the evidence, find the necessary facts, draw the necessary inferences, and reach conclusions on all of the issues in the case within a reasonable period of time without derogating from their duty to the parties;</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will be numerous </w:t>
      </w:r>
      <w:r>
        <w:rPr>
          <w:rFonts w:ascii="arial" w:eastAsia="arial" w:hAnsi="arial" w:cs="arial"/>
          <w:i/>
          <w:color w:val="000000"/>
          <w:sz w:val="20"/>
          <w:lang w:val="en-US" w:eastAsia="en-US" w:bidi="ar-SA"/>
        </w:rPr>
        <w:t>voir dires</w:t>
      </w:r>
      <w:r>
        <w:rPr>
          <w:rFonts w:ascii="arial" w:eastAsia="arial" w:hAnsi="arial" w:cs="arial"/>
          <w:color w:val="000000"/>
          <w:sz w:val="20"/>
          <w:lang w:val="en-US" w:eastAsia="en-US" w:bidi="ar-SA"/>
        </w:rPr>
        <w:t xml:space="preserve"> dealing with expert reports, admissibility of documents, and determinations of legal issues which will interrupt the continuous narrative of the trial;</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number of documents entered as exhibits cannot be conveniently managed, transported to and from the courtroom, stored, or reviewed for the jury; and</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scheduling of experts and other witnesses, many of whom are not from British Columbia, will be greatly hampered and constrained in a jury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Nissan submits that there is a real danger that the jury will become lost in the volume and complexity of the expert evidence and will rush to a premature decision without giving proper consideration to all of the evidence and issues. While it could be that each report, considered on its own, might be understood by a jury with the assistance of the expert's testimony, a retention of all of this information, including the fine detail, over a protracted period, is likely to be so difficult that a proper analysis will be impossible.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 submits that a prolonged examination of documents or scientific investigation can conveniently be done with a jury in this case. The fact that there are multiple, competing experts does not create a presumption that the jury cannot conveniently assess their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He submits that the role of counsel and experts is to explain difficult concepts in a simple manner that is easy for the jury to digest. Experts are able to provide ready-made inferences for the jury such that it is unnecessary to go into detail with respect to the raw data and more technical elements of their analysis. He points to examples in the expert reports involving diagrams and images to assist the reader.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 submits that several issues, such as automotive industry standards and Nissan's knowledge thereof, can be decided without the assistance of experts using non-technical articles and communications. Further, the issues that do require expert evidence are similar to those routinely undertaken by juries in motor vehicle litigation.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 accept that the prolonged examination of documents and scientific inquiry required to resolve the issues in this case cannot be made conveniently with a jury. The case law is clear that the question of "convenience" is a question of what is required to have a proper trial: </w:t>
      </w:r>
      <w:r>
        <w:rPr>
          <w:rFonts w:ascii="arial" w:eastAsia="arial" w:hAnsi="arial" w:cs="arial"/>
          <w:i/>
          <w:color w:val="000000"/>
          <w:sz w:val="20"/>
          <w:lang w:val="en-US" w:eastAsia="en-US" w:bidi="ar-SA"/>
        </w:rPr>
        <w:t>Rados</w:t>
      </w:r>
      <w:r>
        <w:rPr>
          <w:rFonts w:ascii="arial" w:eastAsia="arial" w:hAnsi="arial" w:cs="arial"/>
          <w:color w:val="000000"/>
          <w:sz w:val="20"/>
          <w:lang w:val="en-US" w:eastAsia="en-US" w:bidi="ar-SA"/>
        </w:rPr>
        <w:t xml:space="preserve"> BCSC at para. 36. It is a question of the jury's ability not only to understand the evidence, but to retain the understanding throughout the entire trial in a form that permits it to conduct a meaningful analysis of the evidence in relation to the questions which must be decided at the end of the case: </w:t>
      </w:r>
      <w:r>
        <w:rPr>
          <w:rFonts w:ascii="arial" w:eastAsia="arial" w:hAnsi="arial" w:cs="arial"/>
          <w:i/>
          <w:color w:val="000000"/>
          <w:sz w:val="20"/>
          <w:lang w:val="en-US" w:eastAsia="en-US" w:bidi="ar-SA"/>
        </w:rPr>
        <w:t>Salehi v. Chu</w:t>
      </w:r>
      <w:r>
        <w:rPr>
          <w:rFonts w:ascii="arial" w:eastAsia="arial" w:hAnsi="arial" w:cs="arial"/>
          <w:color w:val="000000"/>
          <w:sz w:val="20"/>
          <w:lang w:val="en-US" w:eastAsia="en-US" w:bidi="ar-SA"/>
        </w:rPr>
        <w:t xml:space="preserve">, </w:t>
      </w:r>
      <w:hyperlink r:id="rId56" w:history="1">
        <w:r>
          <w:rPr>
            <w:rFonts w:ascii="arial" w:eastAsia="arial" w:hAnsi="arial" w:cs="arial"/>
            <w:i/>
            <w:color w:val="0077CC"/>
            <w:sz w:val="20"/>
            <w:u w:val="single"/>
            <w:shd w:val="clear" w:color="auto" w:fill="FFFFFF"/>
            <w:lang w:val="en-US" w:eastAsia="en-US" w:bidi="ar-SA"/>
          </w:rPr>
          <w:t>2014 BCSC 2275</w:t>
        </w:r>
      </w:hyperlink>
      <w:r>
        <w:rPr>
          <w:rFonts w:ascii="arial" w:eastAsia="arial" w:hAnsi="arial" w:cs="arial"/>
          <w:color w:val="000000"/>
          <w:sz w:val="20"/>
          <w:lang w:val="en-US" w:eastAsia="en-US" w:bidi="ar-SA"/>
        </w:rPr>
        <w:t xml:space="preserve"> at paras. 7-9; </w:t>
      </w:r>
      <w:r>
        <w:rPr>
          <w:rFonts w:ascii="arial" w:eastAsia="arial" w:hAnsi="arial" w:cs="arial"/>
          <w:i/>
          <w:color w:val="000000"/>
          <w:sz w:val="20"/>
          <w:lang w:val="en-US" w:eastAsia="en-US" w:bidi="ar-SA"/>
        </w:rPr>
        <w:t>Adamson v. Charity</w:t>
      </w:r>
      <w:r>
        <w:rPr>
          <w:rFonts w:ascii="arial" w:eastAsia="arial" w:hAnsi="arial" w:cs="arial"/>
          <w:color w:val="000000"/>
          <w:sz w:val="20"/>
          <w:lang w:val="en-US" w:eastAsia="en-US" w:bidi="ar-SA"/>
        </w:rPr>
        <w:t xml:space="preserve">, </w:t>
      </w:r>
      <w:hyperlink r:id="rId57" w:history="1">
        <w:r>
          <w:rPr>
            <w:rFonts w:ascii="arial" w:eastAsia="arial" w:hAnsi="arial" w:cs="arial"/>
            <w:i/>
            <w:color w:val="0077CC"/>
            <w:sz w:val="20"/>
            <w:u w:val="single"/>
            <w:shd w:val="clear" w:color="auto" w:fill="FFFFFF"/>
            <w:lang w:val="en-US" w:eastAsia="en-US" w:bidi="ar-SA"/>
          </w:rPr>
          <w:t>2006 BCSC 1642</w:t>
        </w:r>
      </w:hyperlink>
      <w:r>
        <w:rPr>
          <w:rFonts w:ascii="arial" w:eastAsia="arial" w:hAnsi="arial" w:cs="arial"/>
          <w:color w:val="000000"/>
          <w:sz w:val="20"/>
          <w:lang w:val="en-US" w:eastAsia="en-US" w:bidi="ar-SA"/>
        </w:rPr>
        <w:t xml:space="preserve"> at para.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In my view, there is a real risk that the parties will not be able to have a fair trial with a jury. As I have canvassed above, the document evidence and the scientific inquiries in this case are extensive, overlapping, technical, and complex. They go to the heart of the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this case, and to the parties' ability to defend them. It would be unrealistic to expect even highly intelligent, thoughtful jurors, with capable and articulate counsel and experts, to retain the evidence that will be presented at this trial over the course of several months in a manner that would permit meaningful deliberation on 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This concern is magnified in this case given the issues with respect to expert evidence. I do not accept the plaintiff's suggestion that it will be unnecessary for the jury to consider the data and methodology behind the reports and to merely accept the ready-made inferences on complex subjects presented to them. The data and methodology of the reports themselves are highly contested among the different experts and will need to be assessed by the trier of fact in deciding whether to accept and how to weigh the competing opinions presented. Even with simplified language and visual aids, the fact that there are layers of intricate scientific issues that are vital to the trier of fact's ability to make the key findings of fact in this case leads me to the conclusion that this is not a case which could be conveniently tried by a jury, as that word has been defined in the case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 am concerned that the jury will become lost in the volume and complexity of the expert evidence and in the end will face an insurmountable hurdle to try to grapple with this evidence at the end of many months of trial. Justice Willcock's comment in </w:t>
      </w:r>
      <w:r>
        <w:rPr>
          <w:rFonts w:ascii="arial" w:eastAsia="arial" w:hAnsi="arial" w:cs="arial"/>
          <w:i/>
          <w:color w:val="000000"/>
          <w:sz w:val="20"/>
          <w:lang w:val="en-US" w:eastAsia="en-US" w:bidi="ar-SA"/>
        </w:rPr>
        <w:t>Wallman v. ICBC</w:t>
      </w:r>
      <w:r>
        <w:rPr>
          <w:rFonts w:ascii="arial" w:eastAsia="arial" w:hAnsi="arial" w:cs="arial"/>
          <w:color w:val="000000"/>
          <w:sz w:val="20"/>
          <w:lang w:val="en-US" w:eastAsia="en-US" w:bidi="ar-SA"/>
        </w:rPr>
        <w:t xml:space="preserve">, </w:t>
      </w:r>
      <w:hyperlink r:id="rId58" w:history="1">
        <w:r>
          <w:rPr>
            <w:rFonts w:ascii="arial" w:eastAsia="arial" w:hAnsi="arial" w:cs="arial"/>
            <w:i/>
            <w:color w:val="0077CC"/>
            <w:sz w:val="20"/>
            <w:u w:val="single"/>
            <w:shd w:val="clear" w:color="auto" w:fill="FFFFFF"/>
            <w:lang w:val="en-US" w:eastAsia="en-US" w:bidi="ar-SA"/>
          </w:rPr>
          <w:t>2012 BCSC 1849</w:t>
        </w:r>
      </w:hyperlink>
      <w:r>
        <w:rPr>
          <w:rFonts w:ascii="arial" w:eastAsia="arial" w:hAnsi="arial" w:cs="arial"/>
          <w:color w:val="000000"/>
          <w:sz w:val="20"/>
          <w:lang w:val="en-US" w:eastAsia="en-US" w:bidi="ar-SA"/>
        </w:rPr>
        <w:t xml:space="preserve"> at para. 57, aff'd </w:t>
      </w:r>
      <w:hyperlink r:id="rId59" w:history="1">
        <w:r>
          <w:rPr>
            <w:rFonts w:ascii="arial" w:eastAsia="arial" w:hAnsi="arial" w:cs="arial"/>
            <w:i/>
            <w:color w:val="0077CC"/>
            <w:sz w:val="20"/>
            <w:u w:val="single"/>
            <w:shd w:val="clear" w:color="auto" w:fill="FFFFFF"/>
            <w:lang w:val="en-US" w:eastAsia="en-US" w:bidi="ar-SA"/>
          </w:rPr>
          <w:t>2013 BCCA 409</w:t>
        </w:r>
      </w:hyperlink>
      <w:r>
        <w:rPr>
          <w:rFonts w:ascii="arial" w:eastAsia="arial" w:hAnsi="arial" w:cs="arial"/>
          <w:color w:val="000000"/>
          <w:sz w:val="20"/>
          <w:lang w:val="en-US" w:eastAsia="en-US" w:bidi="ar-SA"/>
        </w:rPr>
        <w:t xml:space="preserve"> best captures this concern: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issues will also require careful consideration of scientific evidence by the jury. In my view, that scientific investigation cannot conveniently be undertaken by a jury. The trier of fact in this case, as in </w:t>
      </w:r>
      <w:r>
        <w:rPr>
          <w:rFonts w:ascii="arial" w:eastAsia="arial" w:hAnsi="arial" w:cs="arial"/>
          <w:i/>
          <w:color w:val="000000"/>
          <w:sz w:val="20"/>
          <w:lang w:val="en-US" w:eastAsia="en-US" w:bidi="ar-SA"/>
        </w:rPr>
        <w:t>Gulamani</w:t>
      </w:r>
      <w:r>
        <w:rPr>
          <w:rFonts w:ascii="arial" w:eastAsia="arial" w:hAnsi="arial" w:cs="arial"/>
          <w:color w:val="000000"/>
          <w:sz w:val="20"/>
          <w:lang w:val="en-US" w:eastAsia="en-US" w:bidi="ar-SA"/>
        </w:rPr>
        <w:t>, will have to consider evidence going to many issues over a protracted period. It may be necessary to retain fine detail from the examination in chief and cross-examination of many witnesses on multiple issues for weeks before those issues are traversed by defence witnesses. Considered on their own, most, but not all, of the expert reports in this case may be understood by a jury in light of the full examination in chief and cross-examination of the experts, but retention of that understanding over several weeks is likely to be so difficult, in my view, that fruitful analysis at the end of the day may be impossible.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This concern is compounded by the length of the trial, which is currently scheduled for 73 days. In my view, this is an unrealistic estimate if this matter is heard with a jury. It may also be an unrealistic estimate if heard by judge alone. The current estimates for witnesses in the trial briefs already amount to well over 100 days of court time, even without including time for jury selection, charge, and deliberation; the numerous expected </w:t>
      </w:r>
      <w:r>
        <w:rPr>
          <w:rFonts w:ascii="arial" w:eastAsia="arial" w:hAnsi="arial" w:cs="arial"/>
          <w:i/>
          <w:color w:val="000000"/>
          <w:sz w:val="20"/>
          <w:lang w:val="en-US" w:eastAsia="en-US" w:bidi="ar-SA"/>
        </w:rPr>
        <w:t>voir dires</w:t>
      </w:r>
      <w:r>
        <w:rPr>
          <w:rFonts w:ascii="arial" w:eastAsia="arial" w:hAnsi="arial" w:cs="arial"/>
          <w:color w:val="000000"/>
          <w:sz w:val="20"/>
          <w:lang w:val="en-US" w:eastAsia="en-US" w:bidi="ar-SA"/>
        </w:rPr>
        <w:t>; and extensive read-ins from discovery transcripts.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am satisfied that the prolonged examination of documents and the scientific inquiries required to resolve the issues in this case are of such a nature that it would be impractical and unfair to try this case with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Are the issues of an intricate or complex nature?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Nissan's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Nissan submits that the issues in this case are numerous, complex, intricate, and subtle. In particular, it points to: the number of defendants in this case, the different standards of care that apply to each of them (including to each of the Nissan defendants) and whether they were breached, the competing inferences to be drawn from the evidence with respect to the position of the plaintiff's lap belt at the time of the Collision, whether alternative seatbelt designs would have prevented or reduced the injuries and whether the plaintiff would have used them, whether there was a duty to warn and if a warning would have modified the plaintiff's behaviour, the apportionment of fault among the various defendants, and the competing medical prognoses respecting the plaintiff's estimate life span, among others. In total, Nissan's counsel identify 53 factual and legal issues to be resolved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Nissan submits that the number, nature, type, novelty, complexity, and inter-related nature of the issues, viewed globally, strongly support this case being tried by judge alone. It says that permitting the trial of this action to proceed before a jury would do an injustice both to the parties, and to the jury burdened with the task of trying to hear and render a verdict in a case of this magnitude and complexity.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plaintiff submits that the issues in this case are of a character that a jury can understand, retain, and analyze through the length of the trial. Several of the claims are routine motor vehicle accident claims of a sort that B.C. juries are regularly tasked with assessing. The social host and product liability claims can be explained in a manner that need not be overly complex, and can be assisted by the use of visuals.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plaintiff submits that Nissan has not articulated why the jury will have difficulty understanding, analyzing, and retaining the issues raised in this case. It is the role of counsel and the judge to simplify the evidence for the jury and to restrict the amount of documentary evidence presented to it. He submits that the volume of document and expert evidence presented by Nissan is a trial tactic that ought not to be used to deprive the opposing party to its fundamental right to a trial by jury. He further says that the complexity presented by Nissan is an illusion presented to avoid a jury trial.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Andersen v. Porter et al.</w:t>
      </w:r>
      <w:r>
        <w:rPr>
          <w:rFonts w:ascii="arial" w:eastAsia="arial" w:hAnsi="arial" w:cs="arial"/>
          <w:color w:val="000000"/>
          <w:sz w:val="20"/>
          <w:lang w:val="en-US" w:eastAsia="en-US" w:bidi="ar-SA"/>
        </w:rPr>
        <w:t xml:space="preserve">, </w:t>
      </w:r>
      <w:hyperlink r:id="rId60" w:history="1">
        <w:r>
          <w:rPr>
            <w:rFonts w:ascii="arial" w:eastAsia="arial" w:hAnsi="arial" w:cs="arial"/>
            <w:i/>
            <w:color w:val="0077CC"/>
            <w:sz w:val="20"/>
            <w:u w:val="single"/>
            <w:shd w:val="clear" w:color="auto" w:fill="FFFFFF"/>
            <w:lang w:val="en-US" w:eastAsia="en-US" w:bidi="ar-SA"/>
          </w:rPr>
          <w:t>2000 BCSC 1000</w:t>
        </w:r>
      </w:hyperlink>
      <w:r>
        <w:rPr>
          <w:rFonts w:ascii="arial" w:eastAsia="arial" w:hAnsi="arial" w:cs="arial"/>
          <w:color w:val="000000"/>
          <w:sz w:val="20"/>
          <w:lang w:val="en-US" w:eastAsia="en-US" w:bidi="ar-SA"/>
        </w:rPr>
        <w:t xml:space="preserve"> at para. 14, Wilson J. compiled the following qualitative and quantitative factors that may indicate intricate or complex issues:</w:t>
      </w:r>
      <w:r>
        <w:rPr>
          <w:rFonts w:ascii="arial" w:eastAsia="arial" w:hAnsi="arial" w:cs="arial"/>
          <w:sz w:val="20"/>
          <w:lang w:val="en-US" w:eastAsia="en-US" w:bidi="ar-SA"/>
        </w:rPr>
        <w:cr/>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Multiplicity of parties</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Duration of trial</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Volume of expert testimony</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Multiplicity of standards of care</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use of unfamiliar medical terms</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Apportionment of fault</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assessment of future loss</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Novel applications of the law</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Deliberation time</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Preservation of the civil jury system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While the presence of some of these factors in isolation may not be enough to raise a sufficient concern over intricacy or complexity, courts must be attentive to the difficulties arising from the interaction of the issues in assessing the complexity of the case. The inquiry with respect to complexity was thoughtfully explained in </w:t>
      </w:r>
      <w:r>
        <w:rPr>
          <w:rFonts w:ascii="arial" w:eastAsia="arial" w:hAnsi="arial" w:cs="arial"/>
          <w:i/>
          <w:color w:val="000000"/>
          <w:sz w:val="20"/>
          <w:lang w:val="en-US" w:eastAsia="en-US" w:bidi="ar-SA"/>
        </w:rPr>
        <w:t>Rados</w:t>
      </w:r>
      <w:r>
        <w:rPr>
          <w:rFonts w:ascii="arial" w:eastAsia="arial" w:hAnsi="arial" w:cs="arial"/>
          <w:color w:val="000000"/>
          <w:sz w:val="20"/>
          <w:lang w:val="en-US" w:eastAsia="en-US" w:bidi="ar-SA"/>
        </w:rPr>
        <w:t xml:space="preserve"> BCSC at para. 34: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fact that there will be a considerable amount of evidence led does not necessarily make the issues intricate or complex. Issues may be intricate or complex if, for example, the judge would experience difficulty in framing questions for the jury. It is the character of the issues that is the focus of the inquiry. The number of issues in play is not necessarily an accurate gauge of intricacy or complexity: </w:t>
      </w:r>
      <w:r>
        <w:rPr>
          <w:rFonts w:ascii="arial" w:eastAsia="arial" w:hAnsi="arial" w:cs="arial"/>
          <w:i/>
          <w:color w:val="000000"/>
          <w:sz w:val="20"/>
          <w:lang w:val="en-US" w:eastAsia="en-US" w:bidi="ar-SA"/>
        </w:rPr>
        <w:t>MacDonald v. Smith</w:t>
      </w:r>
      <w:r>
        <w:rPr>
          <w:rFonts w:ascii="arial" w:eastAsia="arial" w:hAnsi="arial" w:cs="arial"/>
          <w:color w:val="000000"/>
          <w:sz w:val="20"/>
          <w:lang w:val="en-US" w:eastAsia="en-US" w:bidi="ar-SA"/>
        </w:rPr>
        <w:t xml:space="preserve"> </w:t>
      </w:r>
      <w:hyperlink r:id="rId61" w:history="1">
        <w:r>
          <w:rPr>
            <w:rFonts w:ascii="arial" w:eastAsia="arial" w:hAnsi="arial" w:cs="arial"/>
            <w:i/>
            <w:color w:val="0077CC"/>
            <w:sz w:val="20"/>
            <w:u w:val="single"/>
            <w:shd w:val="clear" w:color="auto" w:fill="FFFFFF"/>
            <w:lang w:val="en-US" w:eastAsia="en-US" w:bidi="ar-SA"/>
          </w:rPr>
          <w:t>(1983), 48 B.C.L.R. 285</w:t>
        </w:r>
      </w:hyperlink>
      <w:r>
        <w:rPr>
          <w:rFonts w:ascii="arial" w:eastAsia="arial" w:hAnsi="arial" w:cs="arial"/>
          <w:color w:val="000000"/>
          <w:sz w:val="20"/>
          <w:lang w:val="en-US" w:eastAsia="en-US" w:bidi="ar-SA"/>
        </w:rPr>
        <w:t xml:space="preserve"> (B.C.S.C.) at para. 18. Finally, complexity must be assessed cumulatively, with the whole of the trial in mind, and with an appreciation of the extent to which factual findings will impact on the weight that may be given to other expert reports and guide the assessment of other issues, including the quantification of damages. As Chief Justice McEachern observed in </w:t>
      </w:r>
      <w:r>
        <w:rPr>
          <w:rFonts w:ascii="arial" w:eastAsia="arial" w:hAnsi="arial" w:cs="arial"/>
          <w:i/>
          <w:color w:val="000000"/>
          <w:sz w:val="20"/>
          <w:lang w:val="en-US" w:eastAsia="en-US" w:bidi="ar-SA"/>
        </w:rPr>
        <w:t>MacDonald v. Smith</w:t>
      </w:r>
      <w:r>
        <w:rPr>
          <w:rFonts w:ascii="arial" w:eastAsia="arial" w:hAnsi="arial" w:cs="arial"/>
          <w:color w:val="000000"/>
          <w:sz w:val="20"/>
          <w:lang w:val="en-US" w:eastAsia="en-US" w:bidi="ar-SA"/>
        </w:rPr>
        <w:t>, while it may be the case that individual issues viewed in isolation could be tried conveniently with a jury, attention must also be paid to difficulties that are likely to arise from the interaction of and between different issues. Put differently, where multiple issues are to be considered, the interplay between otherwise relatively uncomplicated issues can make them intricate or complex in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am satisfied that this is a case of a sufficiently intricate and complex nature that it should not be tried by a jury. While I accept that certain aspects of the Action are of the nature routinely decided by civil juries, there are also aspects of this case that are highly complex, both legally and factually, which make them unsuitable to be tried by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 agree with Nissan's submission that the number of defendants in this case and the various duties and standards of care that apply to each of them, including with respect to each of the different Nissan Defendants, would be very difficult for a jury to keep track of. Further, the analysis with respect to certain of the plaintiff's product liability claims involve nuanced concepts with respect to risk and alternative realities which, when considered in combination with the complex factual inferences that must be drawn in this case, are not manageable for a jury to handle, even when considering the high level of intelligence and thoughtfulness juries are presumed to possess. As noted by Justice Verhoeven in another product liability case, </w:t>
      </w:r>
      <w:r>
        <w:rPr>
          <w:rFonts w:ascii="arial" w:eastAsia="arial" w:hAnsi="arial" w:cs="arial"/>
          <w:i/>
          <w:color w:val="000000"/>
          <w:sz w:val="20"/>
          <w:lang w:val="en-US" w:eastAsia="en-US" w:bidi="ar-SA"/>
        </w:rPr>
        <w:t>Skretting Canada Inc. v. Westaqua Commodity Canada Group Ltd.</w:t>
      </w:r>
      <w:r>
        <w:rPr>
          <w:rFonts w:ascii="arial" w:eastAsia="arial" w:hAnsi="arial" w:cs="arial"/>
          <w:color w:val="000000"/>
          <w:sz w:val="20"/>
          <w:lang w:val="en-US" w:eastAsia="en-US" w:bidi="ar-SA"/>
        </w:rPr>
        <w:t xml:space="preserve">, </w:t>
      </w:r>
      <w:hyperlink r:id="rId62" w:history="1">
        <w:r>
          <w:rPr>
            <w:rFonts w:ascii="arial" w:eastAsia="arial" w:hAnsi="arial" w:cs="arial"/>
            <w:i/>
            <w:color w:val="0077CC"/>
            <w:sz w:val="20"/>
            <w:u w:val="single"/>
            <w:shd w:val="clear" w:color="auto" w:fill="FFFFFF"/>
            <w:lang w:val="en-US" w:eastAsia="en-US" w:bidi="ar-SA"/>
          </w:rPr>
          <w:t>2010 BCSC 1614</w:t>
        </w:r>
      </w:hyperlink>
      <w:r>
        <w:rPr>
          <w:rFonts w:ascii="arial" w:eastAsia="arial" w:hAnsi="arial" w:cs="arial"/>
          <w:color w:val="000000"/>
          <w:sz w:val="20"/>
          <w:lang w:val="en-US" w:eastAsia="en-US" w:bidi="ar-SA"/>
        </w:rPr>
        <w:t xml:space="preserve"> at para. 77: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 case like this it can be difficult enough for a judge sitting alone to properly instruct himself or herself as to the law applicable to the decision to be made. A judge sitting alone is able first to determine the real and necessary issues of fact and law applicable to the case. However, a judge sitting with a jury must charge the jury on one occasion on all of the law that may be applicable, depending upon what view of the numerous issues the jury may take. In this case, there is such a multiplicity of issues that the task of a judge in charging the jury would be all but impossible. In turn, the task of the jury would be overwhelming. Moreover, since the jury gives no reasons for its decision, no matter the result there is likely to be a difficult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Virtually all of the factors that the case law has identified as being indicative of a complex and intricate trial that is unsuitable for a jury are present in this case. Even if they would not be sufficient on their own to warrant striking the jury notice, it is clear that the cumulative effect of these circumstances is such that it would be unjust for both the jury and the parties not to exercise my discretion to have this trial proceed by judge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have been judicially managing these Actions for over two-and-a-half years and in that capacity, based on the judicial management conferences and applications I have presided over, the insights I have obtained further support my view that it is in the interest of justice that the jury be discharged so that a proper trial can take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disagree with the plaintiff's submission that the complexity of this case is an illusion or a trial tactic concocted by Nissan's counsel. The nature of the evidence relating to the circumstances of the Collision and the legal claims the plaintiff put forward against the various defendants require complex evidence and nuanced factual and legal analyses both to prove and to defend. It is the duty of counsel on both sides to put forward the strongest case possible for their client and to test their opponent's case to the best of their ability. Neither can, or should be, faulted for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Exercise of discretion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My analysis of the grounds identified in Rule 12-6(5) for striking a jury notice, both individually and cumulatively, leads to the clear conclusion that this is a case which cannot reasonably or fairly be tried by a jury. I therefore exercise my discretion to proceed by judge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In addition to the parameters on the exercise of discretion outlined in the Rule (particularly with respect to "convenience" in paragraph (i)), the case law has recognized several additional factors that courts may wish to take into account. The following were outlined by Fitch J. (as he then was) in </w:t>
      </w:r>
      <w:r>
        <w:rPr>
          <w:rFonts w:ascii="arial" w:eastAsia="arial" w:hAnsi="arial" w:cs="arial"/>
          <w:i/>
          <w:color w:val="000000"/>
          <w:sz w:val="20"/>
          <w:lang w:val="en-US" w:eastAsia="en-US" w:bidi="ar-SA"/>
        </w:rPr>
        <w:t>Rados</w:t>
      </w:r>
      <w:r>
        <w:rPr>
          <w:rFonts w:ascii="arial" w:eastAsia="arial" w:hAnsi="arial" w:cs="arial"/>
          <w:color w:val="000000"/>
          <w:sz w:val="20"/>
          <w:lang w:val="en-US" w:eastAsia="en-US" w:bidi="ar-SA"/>
        </w:rPr>
        <w:t xml:space="preserve"> BCSC at para. 38:</w:t>
      </w:r>
      <w:r>
        <w:rPr>
          <w:rFonts w:ascii="arial" w:eastAsia="arial" w:hAnsi="arial" w:cs="arial"/>
          <w:sz w:val="20"/>
          <w:lang w:val="en-US" w:eastAsia="en-US" w:bidi="ar-SA"/>
        </w:rPr>
        <w:cr/>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anticipated length of the trial;</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number of experts to be called;</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volume of expert evidence;</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and character of the expert evidence;</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to which there are conflicts in the expert evidence;</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inquiries the trier of fact will be asked to make to resolve those conflicts, including by having regard to scientific literature;</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to which the case necessarily involves reference to unfamiliar medical terminology;</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number of issues to be resolved by the jury;</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character of those issues; and</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complexities that may arise as a consequence of the interaction between 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These factors are similar to those that were outlined in </w:t>
      </w:r>
      <w:r>
        <w:rPr>
          <w:rFonts w:ascii="arial" w:eastAsia="arial" w:hAnsi="arial" w:cs="arial"/>
          <w:i/>
          <w:color w:val="000000"/>
          <w:sz w:val="20"/>
          <w:lang w:val="en-US" w:eastAsia="en-US" w:bidi="ar-SA"/>
        </w:rPr>
        <w:t>Andersen</w:t>
      </w:r>
      <w:r>
        <w:rPr>
          <w:rFonts w:ascii="arial" w:eastAsia="arial" w:hAnsi="arial" w:cs="arial"/>
          <w:color w:val="000000"/>
          <w:sz w:val="20"/>
          <w:lang w:val="en-US" w:eastAsia="en-US" w:bidi="ar-SA"/>
        </w:rPr>
        <w:t xml:space="preserve"> as being indicative of an intricate or complex nature. As I said above, virtually every factor listed weighs in favour of exercising my discretion to have this trial proceed by judge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Counsel has estimated that between five and ten days will be occupied by </w:t>
      </w:r>
      <w:r>
        <w:rPr>
          <w:rFonts w:ascii="arial" w:eastAsia="arial" w:hAnsi="arial" w:cs="arial"/>
          <w:i/>
          <w:color w:val="000000"/>
          <w:sz w:val="20"/>
          <w:lang w:val="en-US" w:eastAsia="en-US" w:bidi="ar-SA"/>
        </w:rPr>
        <w:t>voir dires</w:t>
      </w:r>
      <w:r>
        <w:rPr>
          <w:rFonts w:ascii="arial" w:eastAsia="arial" w:hAnsi="arial" w:cs="arial"/>
          <w:color w:val="000000"/>
          <w:sz w:val="20"/>
          <w:lang w:val="en-US" w:eastAsia="en-US" w:bidi="ar-SA"/>
        </w:rPr>
        <w:t xml:space="preserve"> to hear the parties' objections to over 50 of the expert reports. Again, I am of the view that this time estimate is optimistic. Further </w:t>
      </w:r>
      <w:r>
        <w:rPr>
          <w:rFonts w:ascii="arial" w:eastAsia="arial" w:hAnsi="arial" w:cs="arial"/>
          <w:i/>
          <w:color w:val="000000"/>
          <w:sz w:val="20"/>
          <w:lang w:val="en-US" w:eastAsia="en-US" w:bidi="ar-SA"/>
        </w:rPr>
        <w:t>voir dires</w:t>
      </w:r>
      <w:r>
        <w:rPr>
          <w:rFonts w:ascii="arial" w:eastAsia="arial" w:hAnsi="arial" w:cs="arial"/>
          <w:color w:val="000000"/>
          <w:sz w:val="20"/>
          <w:lang w:val="en-US" w:eastAsia="en-US" w:bidi="ar-SA"/>
        </w:rPr>
        <w:t xml:space="preserve"> will need to be held to determine the admissibility of documents that the parties, particularly the plaintiff, will seek to rely on, and to determine the use to which the jury can put the documents. The jury will not hear this trial in an uninterrupted manner, but in a protracted manner with frequent intermissions for </w:t>
      </w:r>
      <w:r>
        <w:rPr>
          <w:rFonts w:ascii="arial" w:eastAsia="arial" w:hAnsi="arial" w:cs="arial"/>
          <w:i/>
          <w:color w:val="000000"/>
          <w:sz w:val="20"/>
          <w:lang w:val="en-US" w:eastAsia="en-US" w:bidi="ar-SA"/>
        </w:rPr>
        <w:t>voir dires</w:t>
      </w:r>
      <w:r>
        <w:rPr>
          <w:rFonts w:ascii="arial" w:eastAsia="arial" w:hAnsi="arial" w:cs="arial"/>
          <w:color w:val="000000"/>
          <w:sz w:val="20"/>
          <w:lang w:val="en-US" w:eastAsia="en-US" w:bidi="ar-SA"/>
        </w:rPr>
        <w:t xml:space="preserve"> and time for the trial judge to consider and rule on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practical reality of managing and deciding these issues in a jury trial is a further reason for me to exercise my discretion to proceed by judge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I am convinced that even the best efforts of counsel, the experts, and myself as the trial judge to explain the factual and legal issues in as clear and simple a manner as possible will not be sufficient to remedy the risk that this case will not be fairly decided by a jury. The words of Chief Justice McEachern in </w:t>
      </w:r>
      <w:r>
        <w:rPr>
          <w:rFonts w:ascii="arial" w:eastAsia="arial" w:hAnsi="arial" w:cs="arial"/>
          <w:i/>
          <w:color w:val="000000"/>
          <w:sz w:val="20"/>
          <w:lang w:val="en-US" w:eastAsia="en-US" w:bidi="ar-SA"/>
        </w:rPr>
        <w:t>Wipfli v. Britten</w:t>
      </w:r>
      <w:r>
        <w:rPr>
          <w:rFonts w:ascii="arial" w:eastAsia="arial" w:hAnsi="arial" w:cs="arial"/>
          <w:color w:val="000000"/>
          <w:sz w:val="20"/>
          <w:lang w:val="en-US" w:eastAsia="en-US" w:bidi="ar-SA"/>
        </w:rPr>
        <w:t xml:space="preserve">, </w:t>
      </w:r>
      <w:hyperlink r:id="rId63" w:history="1">
        <w:r>
          <w:rPr>
            <w:rFonts w:ascii="arial" w:eastAsia="arial" w:hAnsi="arial" w:cs="arial"/>
            <w:i/>
            <w:color w:val="0077CC"/>
            <w:sz w:val="20"/>
            <w:u w:val="single"/>
            <w:shd w:val="clear" w:color="auto" w:fill="FFFFFF"/>
            <w:lang w:val="en-US" w:eastAsia="en-US" w:bidi="ar-SA"/>
          </w:rPr>
          <w:t>[1982] 32 B.C.L.R. 343</w:t>
        </w:r>
      </w:hyperlink>
      <w:r>
        <w:rPr>
          <w:rFonts w:ascii="arial" w:eastAsia="arial" w:hAnsi="arial" w:cs="arial"/>
          <w:color w:val="000000"/>
          <w:sz w:val="20"/>
          <w:lang w:val="en-US" w:eastAsia="en-US" w:bidi="ar-SA"/>
        </w:rPr>
        <w:t xml:space="preserve"> (S.C.) at 349, aptly apply to the complex issues in the Actions: "This case cries out for unhurried and thoughtful consideration. There must be a weighing of alternatives, and an opportunity to reflect upon these alternatives."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As Fitch J. recognized in </w:t>
      </w:r>
      <w:r>
        <w:rPr>
          <w:rFonts w:ascii="arial" w:eastAsia="arial" w:hAnsi="arial" w:cs="arial"/>
          <w:i/>
          <w:color w:val="000000"/>
          <w:sz w:val="20"/>
          <w:lang w:val="en-US" w:eastAsia="en-US" w:bidi="ar-SA"/>
        </w:rPr>
        <w:t>Rados</w:t>
      </w:r>
      <w:r>
        <w:rPr>
          <w:rFonts w:ascii="arial" w:eastAsia="arial" w:hAnsi="arial" w:cs="arial"/>
          <w:color w:val="000000"/>
          <w:sz w:val="20"/>
          <w:lang w:val="en-US" w:eastAsia="en-US" w:bidi="ar-SA"/>
        </w:rPr>
        <w:t xml:space="preserve"> BCSC at para. 32, there are limits to the ability of juries, even informed and intelligent ones, to try a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Simply put, some cases raise subtle, complex, and controversial issues, the nature and magnitude of which are such that the trial cannot conveniently or fairly be heard by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find that this case as a whole is too complex to proceed before a jury, and I exercise my discretion to proceed as judge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order that the trial of this action be heard by the court without a jury on the grounds that the issues require prolonged examination of documents and scientific investigation that cannot be conveniently made with a jury, and the issues are of an intricate or complex character.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costs of this application will be to the Nissan and Rattan defendants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C.L. FORTH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4" style="position:absolute;z-index:2517626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4"/>
          <w:headerReference w:type="default" r:id="rId65"/>
          <w:footerReference w:type="even" r:id="rId66"/>
          <w:footerReference w:type="default" r:id="rId67"/>
          <w:headerReference w:type="first" r:id="rId68"/>
          <w:footerReference w:type="first" r:id="rId6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0" w:history="1">
        <w:r>
          <w:rPr>
            <w:rFonts w:ascii="arial" w:eastAsia="arial" w:hAnsi="arial" w:cs="arial"/>
            <w:b/>
            <w:bCs/>
            <w:i/>
            <w:color w:val="0077CC"/>
            <w:kern w:val="32"/>
            <w:sz w:val="28"/>
            <w:szCs w:val="32"/>
            <w:u w:val="single"/>
            <w:shd w:val="clear" w:color="auto" w:fill="FFFFFF"/>
            <w:lang w:val="en-US" w:eastAsia="en-US" w:bidi="ar-SA"/>
          </w:rPr>
          <w:t>Siewert v. Elden, [2008] B.C.J. No. 2257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A.J. Beames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by written submissions, January 4 and 7,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23,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67971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Kelowna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2257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88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Amber Dawn Siewert, Plaintiff, and Elizabeth Elaine Elden,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 paras.)</w:t>
      </w:r>
    </w:p>
    <w:p>
      <w:pPr>
        <w:jc w:val="both"/>
        <w:rPr>
          <w:rFonts w:ascii="arial" w:eastAsia="arial" w:hAnsi="arial" w:cs="arial"/>
          <w:sz w:val="20"/>
          <w:lang w:val="en-US" w:eastAsia="en-US" w:bidi="ar-SA"/>
        </w:rPr>
      </w:pPr>
      <w:bookmarkStart w:id="39" w:name="Counsel_2"/>
      <w:bookmarkEnd w:id="3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5" style="position:absolute;z-index:251661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S.W. Turner.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M.P. Geekie.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0" w:name="Judgment_2"/>
      <w:bookmarkEnd w:id="40"/>
      <w:r>
        <w:pict>
          <v:line id="_x0000_s1036" style="position:absolute;z-index:25171251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2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1" w:name="A.J. BEAMES J."/>
            <w:bookmarkEnd w:id="41"/>
            <w:r>
              <w:rPr>
                <w:rFonts w:ascii="arial" w:eastAsia="arial" w:hAnsi="arial" w:cs="arial"/>
                <w:b/>
                <w:color w:val="000000"/>
                <w:sz w:val="30"/>
                <w:lang w:val="en-US" w:eastAsia="en-US" w:bidi="ar-SA"/>
              </w:rPr>
              <w:t>A.J. BEAMES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trial of this action was heard by a jury, together with a second action, </w:t>
      </w:r>
      <w:r>
        <w:rPr>
          <w:rFonts w:ascii="arial" w:eastAsia="arial" w:hAnsi="arial" w:cs="arial"/>
          <w:b/>
          <w:i/>
          <w:color w:val="000000"/>
          <w:sz w:val="20"/>
          <w:lang w:val="en-US" w:eastAsia="en-US" w:bidi="ar-SA"/>
        </w:rPr>
        <w:t>Siewert v. Quirk</w:t>
      </w:r>
      <w:r>
        <w:rPr>
          <w:rFonts w:ascii="arial" w:eastAsia="arial" w:hAnsi="arial" w:cs="arial"/>
          <w:color w:val="000000"/>
          <w:sz w:val="20"/>
          <w:lang w:val="en-US" w:eastAsia="en-US" w:bidi="ar-SA"/>
        </w:rPr>
        <w:t>, Kelowna Registry No. S73508. In this action, the plaintiff was found 50 percent contributorily negligent. The jury's award, before consideration of the split of liability, was $164,275.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December 2007, counsel for the parties appeared before me on the issue of costs, and raised only whether the plaintiff should or should not be entitled to claim against the defendant in this action those costs she has to pay to the defendant in the Quirk action as a result of the jury's finding that the defendant in the Quirk action was not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After my Reasons were given on the issue of costs, counsel raised the issue of costs in this action proper. I have now received and reviewed written submissions from both counsel on that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general rule, as set out in s. 3(1)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is that a party is liable for costs in the same proportion as his or her liability for damages. Application of that section in this case would result in the plaintiff being entitled to only 50 percent of her costs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However, the court has an unqualified discretion to depart from the usual rule, as long as there is some reason connected to the case to justify the exercise of the discretion to depart from the usual rule: </w:t>
      </w:r>
      <w:r>
        <w:rPr>
          <w:rFonts w:ascii="arial" w:eastAsia="arial" w:hAnsi="arial" w:cs="arial"/>
          <w:b/>
          <w:i/>
          <w:color w:val="000000"/>
          <w:sz w:val="20"/>
          <w:lang w:val="en-US" w:eastAsia="en-US" w:bidi="ar-SA"/>
        </w:rPr>
        <w:t>Peters v. Davidson</w:t>
      </w:r>
      <w:r>
        <w:rPr>
          <w:rFonts w:ascii="arial" w:eastAsia="arial" w:hAnsi="arial" w:cs="arial"/>
          <w:color w:val="000000"/>
          <w:sz w:val="20"/>
          <w:lang w:val="en-US" w:eastAsia="en-US" w:bidi="ar-SA"/>
        </w:rPr>
        <w:t xml:space="preserve">, </w:t>
      </w:r>
      <w:hyperlink r:id="rId71" w:history="1">
        <w:r>
          <w:rPr>
            <w:rFonts w:ascii="arial" w:eastAsia="arial" w:hAnsi="arial" w:cs="arial"/>
            <w:i/>
            <w:color w:val="0077CC"/>
            <w:sz w:val="20"/>
            <w:u w:val="single"/>
            <w:shd w:val="clear" w:color="auto" w:fill="FFFFFF"/>
            <w:lang w:val="en-US" w:eastAsia="en-US" w:bidi="ar-SA"/>
          </w:rPr>
          <w:t>[1981] 125 D.L.R. (3d) 753</w:t>
        </w:r>
      </w:hyperlink>
      <w:r>
        <w:rPr>
          <w:rFonts w:ascii="arial" w:eastAsia="arial" w:hAnsi="arial" w:cs="arial"/>
          <w:color w:val="000000"/>
          <w:sz w:val="20"/>
          <w:lang w:val="en-US" w:eastAsia="en-US" w:bidi="ar-SA"/>
        </w:rPr>
        <w:t xml:space="preserve"> (B.C.S.C.), aff'd </w:t>
      </w:r>
      <w:hyperlink r:id="rId72" w:history="1">
        <w:r>
          <w:rPr>
            <w:rFonts w:ascii="arial" w:eastAsia="arial" w:hAnsi="arial" w:cs="arial"/>
            <w:i/>
            <w:color w:val="0077CC"/>
            <w:sz w:val="20"/>
            <w:u w:val="single"/>
            <w:shd w:val="clear" w:color="auto" w:fill="FFFFFF"/>
            <w:lang w:val="en-US" w:eastAsia="en-US" w:bidi="ar-SA"/>
          </w:rPr>
          <w:t>(1982), 41 B.C.L.R. 330</w:t>
        </w:r>
      </w:hyperlink>
      <w:r>
        <w:rPr>
          <w:rFonts w:ascii="arial" w:eastAsia="arial" w:hAnsi="arial" w:cs="arial"/>
          <w:color w:val="000000"/>
          <w:sz w:val="20"/>
          <w:lang w:val="en-US" w:eastAsia="en-US" w:bidi="ar-SA"/>
        </w:rPr>
        <w:t xml:space="preserve"> (C.A.); </w:t>
      </w:r>
      <w:r>
        <w:rPr>
          <w:rFonts w:ascii="arial" w:eastAsia="arial" w:hAnsi="arial" w:cs="arial"/>
          <w:b/>
          <w:i/>
          <w:color w:val="000000"/>
          <w:sz w:val="20"/>
          <w:lang w:val="en-US" w:eastAsia="en-US" w:bidi="ar-SA"/>
        </w:rPr>
        <w:t>Moses v. Kim</w:t>
      </w:r>
      <w:r>
        <w:rPr>
          <w:rFonts w:ascii="arial" w:eastAsia="arial" w:hAnsi="arial" w:cs="arial"/>
          <w:color w:val="000000"/>
          <w:sz w:val="20"/>
          <w:lang w:val="en-US" w:eastAsia="en-US" w:bidi="ar-SA"/>
        </w:rPr>
        <w:t xml:space="preserve">, </w:t>
      </w:r>
      <w:hyperlink r:id="rId26" w:history="1">
        <w:r>
          <w:rPr>
            <w:rFonts w:ascii="arial" w:eastAsia="arial" w:hAnsi="arial" w:cs="arial"/>
            <w:i/>
            <w:color w:val="0077CC"/>
            <w:sz w:val="20"/>
            <w:u w:val="single"/>
            <w:shd w:val="clear" w:color="auto" w:fill="FFFFFF"/>
            <w:lang w:val="en-US" w:eastAsia="en-US" w:bidi="ar-SA"/>
          </w:rPr>
          <w:t>2007 BCSC 1820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With respect to departing from the usual rule, and the considerations which apply to the exercise of the discretion, they have been neatly summarized by Gray J. in </w:t>
      </w:r>
      <w:r>
        <w:rPr>
          <w:rFonts w:ascii="arial" w:eastAsia="arial" w:hAnsi="arial" w:cs="arial"/>
          <w:b/>
          <w:i/>
          <w:color w:val="000000"/>
          <w:sz w:val="20"/>
          <w:lang w:val="en-US" w:eastAsia="en-US" w:bidi="ar-SA"/>
        </w:rPr>
        <w:t>Moses v. Kim</w:t>
      </w:r>
      <w:r>
        <w:rPr>
          <w:rFonts w:ascii="arial" w:eastAsia="arial" w:hAnsi="arial" w:cs="arial"/>
          <w:color w:val="000000"/>
          <w:sz w:val="20"/>
          <w:lang w:val="en-US" w:eastAsia="en-US" w:bidi="ar-SA"/>
        </w:rPr>
        <w:t xml:space="preserve"> as follows (at paras. 11-13):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principal consideration for the court is whether an injustice will result by following s. 3(1): see </w:t>
      </w:r>
      <w:r>
        <w:rPr>
          <w:rFonts w:ascii="arial" w:eastAsia="arial" w:hAnsi="arial" w:cs="arial"/>
          <w:b/>
          <w:i/>
          <w:color w:val="000000"/>
          <w:sz w:val="20"/>
          <w:lang w:val="en-US" w:eastAsia="en-US" w:bidi="ar-SA"/>
        </w:rPr>
        <w:t>Forsyth v. Sikorsky Aircraft Corp.</w:t>
      </w:r>
      <w:r>
        <w:rPr>
          <w:rFonts w:ascii="arial" w:eastAsia="arial" w:hAnsi="arial" w:cs="arial"/>
          <w:color w:val="000000"/>
          <w:sz w:val="20"/>
          <w:lang w:val="en-US" w:eastAsia="en-US" w:bidi="ar-SA"/>
        </w:rPr>
        <w:t xml:space="preserve"> </w:t>
      </w:r>
      <w:hyperlink r:id="rId28" w:history="1">
        <w:r>
          <w:rPr>
            <w:rFonts w:ascii="arial" w:eastAsia="arial" w:hAnsi="arial" w:cs="arial"/>
            <w:i/>
            <w:color w:val="0077CC"/>
            <w:sz w:val="20"/>
            <w:u w:val="single"/>
            <w:shd w:val="clear" w:color="auto" w:fill="FFFFFF"/>
            <w:lang w:val="en-US" w:eastAsia="en-US" w:bidi="ar-SA"/>
          </w:rPr>
          <w:t>(2002), 100 B.C.L.R. (3d) 66</w:t>
        </w:r>
      </w:hyperlink>
      <w:r>
        <w:rPr>
          <w:rFonts w:ascii="arial" w:eastAsia="arial" w:hAnsi="arial" w:cs="arial"/>
          <w:color w:val="000000"/>
          <w:sz w:val="20"/>
          <w:lang w:val="en-US" w:eastAsia="en-US" w:bidi="ar-SA"/>
        </w:rPr>
        <w:t xml:space="preserve">, </w:t>
      </w:r>
      <w:hyperlink r:id="rId28" w:history="1">
        <w:r>
          <w:rPr>
            <w:rFonts w:ascii="arial" w:eastAsia="arial" w:hAnsi="arial" w:cs="arial"/>
            <w:i/>
            <w:color w:val="0077CC"/>
            <w:sz w:val="20"/>
            <w:u w:val="single"/>
            <w:shd w:val="clear" w:color="auto" w:fill="FFFFFF"/>
            <w:lang w:val="en-US" w:eastAsia="en-US" w:bidi="ar-SA"/>
          </w:rPr>
          <w:t>2002 BCCA 231</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lang w:val="en-US" w:eastAsia="en-US" w:bidi="ar-SA"/>
        </w:rPr>
        <w:t>Moore v. Dhillon</w:t>
      </w:r>
      <w:r>
        <w:rPr>
          <w:rFonts w:ascii="arial" w:eastAsia="arial" w:hAnsi="arial" w:cs="arial"/>
          <w:color w:val="000000"/>
          <w:sz w:val="20"/>
          <w:lang w:val="en-US" w:eastAsia="en-US" w:bidi="ar-SA"/>
        </w:rPr>
        <w:t xml:space="preserve"> </w:t>
      </w:r>
      <w:hyperlink r:id="rId73" w:history="1">
        <w:r>
          <w:rPr>
            <w:rFonts w:ascii="arial" w:eastAsia="arial" w:hAnsi="arial" w:cs="arial"/>
            <w:i/>
            <w:color w:val="0077CC"/>
            <w:sz w:val="20"/>
            <w:u w:val="single"/>
            <w:shd w:val="clear" w:color="auto" w:fill="FFFFFF"/>
            <w:lang w:val="en-US" w:eastAsia="en-US" w:bidi="ar-SA"/>
          </w:rPr>
          <w:t>(1993), 85 B.C.L.R. (2d) 69</w:t>
        </w:r>
      </w:hyperlink>
      <w:r>
        <w:rPr>
          <w:rFonts w:ascii="arial" w:eastAsia="arial" w:hAnsi="arial" w:cs="arial"/>
          <w:color w:val="000000"/>
          <w:sz w:val="20"/>
          <w:lang w:val="en-US" w:eastAsia="en-US" w:bidi="ar-SA"/>
        </w:rPr>
        <w:t xml:space="preserve"> (C.A.), Taylor J.A. explained how the usual rule, as s. 3(1)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xml:space="preserve"> was then construed, might work well in some circumstances but result in an injustice in others (at para. 13):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 s. 3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rule may work well in cases where liability is divided between defendants only, and where there are cross-claims between plaintiff and defendant, there is potential for injustice when the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rule is applied without exercise of discretion in cases, such as this, where division of fault is as between a successful personal injury plaintiff and a defendant who has suffered no injury or damage, or who has already been fully compensated for any injury or damage suffered. This is demonstrated by the Law of Reform Commission of B.C. in its 1993 report entitled 'Apportionment of Costs and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Section 3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The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rule would plainly work an injustice in the present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authorities demonstrate many factors the court has considered in exercising this discretion. Among them are the following:</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seriousness of the plaintiff's injuries;</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difficulties facing the plaintiff in establishing liability;</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 that in settlement negotiations the amount offered was substantially below the ultimate amount;</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was forced to go to trial to obtain recovery;</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costs of getting to trial;</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difficulty and length of the trial;</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costs recovery available to the plaintiff, if costs are apportioned according to liability, will bear any reasonable relationship to the party's costs in obtaining the results achieved;</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positions taken by the parties at trial, in particular whether the positions taken were appropriate and reasonable in the circumstances;</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defendants made any settlement offers;</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ultimate result of the trial; and</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whether the plaintiff achieved substantial success that would be effectively defeated if costs were awarded pursuant to s. 3(1)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w:t>
      </w:r>
      <w:r>
        <w:rPr>
          <w:rFonts w:ascii="arial" w:eastAsia="arial" w:hAnsi="arial" w:cs="arial"/>
          <w:b/>
          <w:i/>
          <w:color w:val="000000"/>
          <w:sz w:val="20"/>
          <w:lang w:val="en-US" w:eastAsia="en-US" w:bidi="ar-SA"/>
        </w:rPr>
        <w:t>Forsyth, supra</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Logeman v. Rossa</w:t>
      </w:r>
      <w:r>
        <w:rPr>
          <w:rFonts w:ascii="arial" w:eastAsia="arial" w:hAnsi="arial" w:cs="arial"/>
          <w:color w:val="000000"/>
          <w:sz w:val="20"/>
          <w:lang w:val="en-US" w:eastAsia="en-US" w:bidi="ar-SA"/>
        </w:rPr>
        <w:t xml:space="preserve">, </w:t>
      </w:r>
      <w:hyperlink r:id="rId74" w:history="1">
        <w:r>
          <w:rPr>
            <w:rFonts w:ascii="arial" w:eastAsia="arial" w:hAnsi="arial" w:cs="arial"/>
            <w:i/>
            <w:color w:val="0077CC"/>
            <w:sz w:val="20"/>
            <w:u w:val="single"/>
            <w:shd w:val="clear" w:color="auto" w:fill="FFFFFF"/>
            <w:lang w:val="en-US" w:eastAsia="en-US" w:bidi="ar-SA"/>
          </w:rPr>
          <w:t>[2006] B.C.J. No. 963</w:t>
        </w:r>
      </w:hyperlink>
      <w:r>
        <w:rPr>
          <w:rFonts w:ascii="arial" w:eastAsia="arial" w:hAnsi="arial" w:cs="arial"/>
          <w:color w:val="000000"/>
          <w:sz w:val="20"/>
          <w:lang w:val="en-US" w:eastAsia="en-US" w:bidi="ar-SA"/>
        </w:rPr>
        <w:t xml:space="preserve"> (QL), </w:t>
      </w:r>
      <w:hyperlink r:id="rId74" w:history="1">
        <w:r>
          <w:rPr>
            <w:rFonts w:ascii="arial" w:eastAsia="arial" w:hAnsi="arial" w:cs="arial"/>
            <w:i/>
            <w:color w:val="0077CC"/>
            <w:sz w:val="20"/>
            <w:u w:val="single"/>
            <w:shd w:val="clear" w:color="auto" w:fill="FFFFFF"/>
            <w:lang w:val="en-US" w:eastAsia="en-US" w:bidi="ar-SA"/>
          </w:rPr>
          <w:t>2006 BCSC 692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In this case, the plaintiff was seriously injured. Liability was hotly contested by the defendant, and no concession of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made until closing argument. I am satisfied that the plaintiff was forced to go to trial in order to obtain recovery. The costs of getting to trial were significant, and the trial lasted 15 days. If costs were apportioned according to liability, those costs would not bear any reasonable relationship to the plaintiff's costs in obtaining the results achieved. The defendant's position with respect to liability, at least as maintained up until the time of closing argument, was unreasonable, and the jury clearly rejected the defendant's argument to the effect that the plaintiff's injuries had resolved, or substantially resolved, well before the accident which gave rise to the Quirk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Taking into account all of the circumstances, I am satisfied that an injustice would result in this case if the usual rule under s. 3(1)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xml:space="preserve"> were to be applied. The vast majority of the time spent at trial was spent on damages. Under all of the circumstances, the defendant will pay to the plaintiff, in addition to 100 percent of the costs recoverable against the plaintiff by the defendant Quirk, as previously ordered, 90 percent of her taxable costs in this action and 100 percent of her taxable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A.J. BEAMES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7" style="position:absolute;z-index:2517637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5"/>
          <w:headerReference w:type="default" r:id="rId76"/>
          <w:footerReference w:type="even" r:id="rId77"/>
          <w:footerReference w:type="default" r:id="rId78"/>
          <w:headerReference w:type="first" r:id="rId79"/>
          <w:footerReference w:type="first" r:id="rId8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1" w:history="1">
        <w:r>
          <w:rPr>
            <w:rFonts w:ascii="arial" w:eastAsia="arial" w:hAnsi="arial" w:cs="arial"/>
            <w:b/>
            <w:bCs/>
            <w:i/>
            <w:color w:val="0077CC"/>
            <w:kern w:val="32"/>
            <w:sz w:val="28"/>
            <w:szCs w:val="32"/>
            <w:u w:val="single"/>
            <w:shd w:val="clear" w:color="auto" w:fill="FFFFFF"/>
            <w:lang w:val="en-US" w:eastAsia="en-US" w:bidi="ar-SA"/>
          </w:rPr>
          <w:t>Smeltzer v. Merrison, [2010] B.C.J. No. 2937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A.M. Stewart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2 and 3,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December 3,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M095170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2937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2004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Kelly Smeltzer, Plaintiff, and Krystal Merrison, Jim Pattison Industries Ltd. doing business as Jim Pattison Lease and Craftsman Collision (1981)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(14 paras.)</w:t>
      </w:r>
    </w:p>
    <w:p>
      <w:pPr>
        <w:jc w:val="both"/>
        <w:rPr>
          <w:rFonts w:ascii="arial" w:eastAsia="arial" w:hAnsi="arial" w:cs="arial"/>
          <w:sz w:val="20"/>
          <w:lang w:val="en-US" w:eastAsia="en-US" w:bidi="ar-SA"/>
        </w:rPr>
      </w:pPr>
      <w:bookmarkStart w:id="42" w:name="Counsel_3"/>
      <w:bookmarkEnd w:id="4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8" style="position:absolute;z-index:251662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Rose Keith.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Timothy Wong.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3" w:name="Judgment_3"/>
      <w:bookmarkEnd w:id="43"/>
      <w:r>
        <w:pict>
          <v:line id="_x0000_s1039" style="position:absolute;z-index:25171353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8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4" w:name="A.M. STEWART J. (orally)"/>
            <w:bookmarkEnd w:id="44"/>
            <w:r>
              <w:rPr>
                <w:rFonts w:ascii="arial" w:eastAsia="arial" w:hAnsi="arial" w:cs="arial"/>
                <w:b/>
                <w:color w:val="000000"/>
                <w:sz w:val="30"/>
                <w:lang w:val="en-US" w:eastAsia="en-US" w:bidi="ar-SA"/>
              </w:rPr>
              <w:t>A.M. STEWART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case arises out of a motor vehicle accident which occurred on November 16, 2007 on 222 Street in Maple Ridge. It was about 1:45 p.m. The weather was clear. The plaintiff was proceeding southbound on 222nd, just south of Dewdney Trunk Road. She made a left turn, intent on entering the "Ground-Level Parking" entrance to the Gordon Tower. Her vehicle was struck by a northbound vehicle driven by the defendant, Krystal Merrison, as she then was. The plaintiff's vehicle was a van, a Mazda MPV. The defendant's vehicle was a Toyota Corolla. 222nd has one marked lane in each direction until northbound traffic reaches a point just before Dewdney Trunk Road. There, a solid white line extends 95 feet south, dividing traffic into lanes for right turning vehicles and vehicles going straight through or turning left. Exhibit 3 is a diagram, and Exhibit 1 photos. They lay out all of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 alleges that she was injured in the motor vehicle accident and that but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 she would not have been injured. The defendant alleges that the plaintiff was negligent and that but for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motor vehicle accident would not have occurred. I note that the submissions of counsel ended earlier today.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By an order date stamped July 9, 2010, a judge of this court ordered the action in the case at bar "joined for the purposes of trial regarding the issue of liability only" with action number M118804. When I asked about action M118804 at the outset of this trial, counsel simply told me that I could ignore it as it was not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My task in preparing reasons for judgment at the end of a trial has been settled by the Supreme Court of Canada in a series of cases that encompasses </w:t>
      </w:r>
      <w:r>
        <w:rPr>
          <w:rFonts w:ascii="arial" w:eastAsia="arial" w:hAnsi="arial" w:cs="arial"/>
          <w:i/>
          <w:color w:val="000000"/>
          <w:sz w:val="20"/>
          <w:lang w:val="en-US" w:eastAsia="en-US" w:bidi="ar-SA"/>
        </w:rPr>
        <w:t>R. v. Sheppard</w:t>
      </w:r>
      <w:r>
        <w:rPr>
          <w:rFonts w:ascii="arial" w:eastAsia="arial" w:hAnsi="arial" w:cs="arial"/>
          <w:color w:val="000000"/>
          <w:sz w:val="20"/>
          <w:lang w:val="en-US" w:eastAsia="en-US" w:bidi="ar-SA"/>
        </w:rPr>
        <w:t xml:space="preserve">, </w:t>
      </w:r>
      <w:hyperlink r:id="rId82" w:history="1">
        <w:r>
          <w:rPr>
            <w:rFonts w:ascii="arial" w:eastAsia="arial" w:hAnsi="arial" w:cs="arial"/>
            <w:i/>
            <w:color w:val="0077CC"/>
            <w:sz w:val="20"/>
            <w:u w:val="single"/>
            <w:shd w:val="clear" w:color="auto" w:fill="FFFFFF"/>
            <w:lang w:val="en-US" w:eastAsia="en-US" w:bidi="ar-SA"/>
          </w:rPr>
          <w:t>[2002] 1 S.C.R. 869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Dinardo</w:t>
      </w:r>
      <w:r>
        <w:rPr>
          <w:rFonts w:ascii="arial" w:eastAsia="arial" w:hAnsi="arial" w:cs="arial"/>
          <w:color w:val="000000"/>
          <w:sz w:val="20"/>
          <w:lang w:val="en-US" w:eastAsia="en-US" w:bidi="ar-SA"/>
        </w:rPr>
        <w:t xml:space="preserve">, </w:t>
      </w:r>
      <w:hyperlink r:id="rId83" w:history="1">
        <w:r>
          <w:rPr>
            <w:rFonts w:ascii="arial" w:eastAsia="arial" w:hAnsi="arial" w:cs="arial"/>
            <w:i/>
            <w:color w:val="0077CC"/>
            <w:sz w:val="20"/>
            <w:u w:val="single"/>
            <w:shd w:val="clear" w:color="auto" w:fill="FFFFFF"/>
            <w:lang w:val="en-US" w:eastAsia="en-US" w:bidi="ar-SA"/>
          </w:rPr>
          <w:t>2008 SCC 24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R.E.M.</w:t>
      </w:r>
      <w:r>
        <w:rPr>
          <w:rFonts w:ascii="arial" w:eastAsia="arial" w:hAnsi="arial" w:cs="arial"/>
          <w:color w:val="000000"/>
          <w:sz w:val="20"/>
          <w:lang w:val="en-US" w:eastAsia="en-US" w:bidi="ar-SA"/>
        </w:rPr>
        <w:t xml:space="preserve">, </w:t>
      </w:r>
      <w:hyperlink r:id="rId84" w:history="1">
        <w:r>
          <w:rPr>
            <w:rFonts w:ascii="arial" w:eastAsia="arial" w:hAnsi="arial" w:cs="arial"/>
            <w:i/>
            <w:color w:val="0077CC"/>
            <w:sz w:val="20"/>
            <w:u w:val="single"/>
            <w:shd w:val="clear" w:color="auto" w:fill="FFFFFF"/>
            <w:lang w:val="en-US" w:eastAsia="en-US" w:bidi="ar-SA"/>
          </w:rPr>
          <w:t>2008 SCC 51</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 v. H.S.B.</w:t>
      </w:r>
      <w:r>
        <w:rPr>
          <w:rFonts w:ascii="arial" w:eastAsia="arial" w:hAnsi="arial" w:cs="arial"/>
          <w:color w:val="000000"/>
          <w:sz w:val="20"/>
          <w:lang w:val="en-US" w:eastAsia="en-US" w:bidi="ar-SA"/>
        </w:rPr>
        <w:t xml:space="preserve">, </w:t>
      </w:r>
      <w:hyperlink r:id="rId85" w:history="1">
        <w:r>
          <w:rPr>
            <w:rFonts w:ascii="arial" w:eastAsia="arial" w:hAnsi="arial" w:cs="arial"/>
            <w:i/>
            <w:color w:val="0077CC"/>
            <w:sz w:val="20"/>
            <w:u w:val="single"/>
            <w:shd w:val="clear" w:color="auto" w:fill="FFFFFF"/>
            <w:lang w:val="en-US" w:eastAsia="en-US" w:bidi="ar-SA"/>
          </w:rPr>
          <w:t>2008 SCC 52</w:t>
        </w:r>
      </w:hyperlink>
      <w:r>
        <w:rPr>
          <w:rFonts w:ascii="arial" w:eastAsia="arial" w:hAnsi="arial" w:cs="arial"/>
          <w:color w:val="000000"/>
          <w:sz w:val="20"/>
          <w:lang w:val="en-US" w:eastAsia="en-US" w:bidi="ar-SA"/>
        </w:rPr>
        <w:t>. In brief, I am not to produce a form of transcript of the evidence. That is what the taping system is for (</w:t>
      </w:r>
      <w:r>
        <w:rPr>
          <w:rFonts w:ascii="arial" w:eastAsia="arial" w:hAnsi="arial" w:cs="arial"/>
          <w:i/>
          <w:color w:val="000000"/>
          <w:sz w:val="20"/>
          <w:lang w:val="en-US" w:eastAsia="en-US" w:bidi="ar-SA"/>
        </w:rPr>
        <w:t>R. v. Yang</w:t>
      </w:r>
      <w:r>
        <w:rPr>
          <w:rFonts w:ascii="arial" w:eastAsia="arial" w:hAnsi="arial" w:cs="arial"/>
          <w:color w:val="000000"/>
          <w:sz w:val="20"/>
          <w:lang w:val="en-US" w:eastAsia="en-US" w:bidi="ar-SA"/>
        </w:rPr>
        <w:t xml:space="preserve">, </w:t>
      </w:r>
      <w:hyperlink r:id="rId86" w:history="1">
        <w:r>
          <w:rPr>
            <w:rFonts w:ascii="arial" w:eastAsia="arial" w:hAnsi="arial" w:cs="arial"/>
            <w:i/>
            <w:color w:val="0077CC"/>
            <w:sz w:val="20"/>
            <w:u w:val="single"/>
            <w:shd w:val="clear" w:color="auto" w:fill="FFFFFF"/>
            <w:lang w:val="en-US" w:eastAsia="en-US" w:bidi="ar-SA"/>
          </w:rPr>
          <w:t>2004 BCCA 235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McDonald</w:t>
      </w:r>
      <w:r>
        <w:rPr>
          <w:rFonts w:ascii="arial" w:eastAsia="arial" w:hAnsi="arial" w:cs="arial"/>
          <w:color w:val="000000"/>
          <w:sz w:val="20"/>
          <w:lang w:val="en-US" w:eastAsia="en-US" w:bidi="ar-SA"/>
        </w:rPr>
        <w:t xml:space="preserve">, </w:t>
      </w:r>
      <w:hyperlink r:id="rId87" w:history="1">
        <w:r>
          <w:rPr>
            <w:rFonts w:ascii="arial" w:eastAsia="arial" w:hAnsi="arial" w:cs="arial"/>
            <w:i/>
            <w:color w:val="0077CC"/>
            <w:sz w:val="20"/>
            <w:u w:val="single"/>
            <w:shd w:val="clear" w:color="auto" w:fill="FFFFFF"/>
            <w:lang w:val="en-US" w:eastAsia="en-US" w:bidi="ar-SA"/>
          </w:rPr>
          <w:t>2007 BCCA 224</w:t>
        </w:r>
      </w:hyperlink>
      <w:r>
        <w:rPr>
          <w:rFonts w:ascii="arial" w:eastAsia="arial" w:hAnsi="arial" w:cs="arial"/>
          <w:color w:val="000000"/>
          <w:sz w:val="20"/>
          <w:lang w:val="en-US" w:eastAsia="en-US" w:bidi="ar-SA"/>
        </w:rPr>
        <w:t xml:space="preserve">, paragraph 7). Nor am I to articulate the "machinations of my mind": </w:t>
      </w:r>
      <w:r>
        <w:rPr>
          <w:rFonts w:ascii="arial" w:eastAsia="arial" w:hAnsi="arial" w:cs="arial"/>
          <w:i/>
          <w:color w:val="000000"/>
          <w:sz w:val="20"/>
          <w:lang w:val="en-US" w:eastAsia="en-US" w:bidi="ar-SA"/>
        </w:rPr>
        <w:t>R. v. Jordan</w:t>
      </w:r>
      <w:r>
        <w:rPr>
          <w:rFonts w:ascii="arial" w:eastAsia="arial" w:hAnsi="arial" w:cs="arial"/>
          <w:color w:val="000000"/>
          <w:sz w:val="20"/>
          <w:lang w:val="en-US" w:eastAsia="en-US" w:bidi="ar-SA"/>
        </w:rPr>
        <w:t xml:space="preserve">, </w:t>
      </w:r>
      <w:hyperlink r:id="rId88" w:history="1">
        <w:r>
          <w:rPr>
            <w:rFonts w:ascii="arial" w:eastAsia="arial" w:hAnsi="arial" w:cs="arial"/>
            <w:i/>
            <w:color w:val="0077CC"/>
            <w:sz w:val="20"/>
            <w:u w:val="single"/>
            <w:shd w:val="clear" w:color="auto" w:fill="FFFFFF"/>
            <w:lang w:val="en-US" w:eastAsia="en-US" w:bidi="ar-SA"/>
          </w:rPr>
          <w:t>2004 BCCA 70</w:t>
        </w:r>
      </w:hyperlink>
      <w:r>
        <w:rPr>
          <w:rFonts w:ascii="arial" w:eastAsia="arial" w:hAnsi="arial" w:cs="arial"/>
          <w:color w:val="000000"/>
          <w:sz w:val="20"/>
          <w:lang w:val="en-US" w:eastAsia="en-US" w:bidi="ar-SA"/>
        </w:rPr>
        <w:t xml:space="preserve">. Instead, I must give reasons for judgment responsive to the live issue or issues and, having regard to the particular circumstances of the case, reasonably intelligible to the parties and productive of a basis for a meaningful appellate review of the correctness of my decision by an appellate court armed with the </w:t>
      </w:r>
      <w:r>
        <w:rPr>
          <w:rFonts w:ascii="arial" w:eastAsia="arial" w:hAnsi="arial" w:cs="arial"/>
          <w:color w:val="000000"/>
          <w:sz w:val="20"/>
          <w:u w:val="single"/>
          <w:lang w:val="en-US" w:eastAsia="en-US" w:bidi="ar-SA"/>
        </w:rPr>
        <w:t>combined</w:t>
      </w:r>
      <w:r>
        <w:rPr>
          <w:rFonts w:ascii="arial" w:eastAsia="arial" w:hAnsi="arial" w:cs="arial"/>
          <w:color w:val="000000"/>
          <w:sz w:val="20"/>
          <w:lang w:val="en-US" w:eastAsia="en-US" w:bidi="ar-SA"/>
        </w:rPr>
        <w:t xml:space="preserve"> effect of what I say in these reasons for judgment and the </w:t>
      </w:r>
      <w:r>
        <w:rPr>
          <w:rFonts w:ascii="arial" w:eastAsia="arial" w:hAnsi="arial" w:cs="arial"/>
          <w:color w:val="000000"/>
          <w:sz w:val="20"/>
          <w:u w:val="single"/>
          <w:lang w:val="en-US" w:eastAsia="en-US" w:bidi="ar-SA"/>
        </w:rPr>
        <w:t>record</w:t>
      </w:r>
      <w:r>
        <w:rPr>
          <w:rFonts w:ascii="arial" w:eastAsia="arial" w:hAnsi="arial" w:cs="arial"/>
          <w:color w:val="000000"/>
          <w:sz w:val="20"/>
          <w:lang w:val="en-US" w:eastAsia="en-US" w:bidi="ar-SA"/>
        </w:rPr>
        <w:t xml:space="preserve">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 v. R.E.M.</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 v. H.S.B.</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the Supreme Court of Canada reversed two decisions of our Court of Appeal. In doing so, the Supreme Court of Canada chose to lay to rest a number of misconceptions about the irreducible content of the duty of a judge in giving reasons after a trial. Both cases bear repeated reading, but the most comprehensive statement by the court appears in </w:t>
      </w:r>
      <w:r>
        <w:rPr>
          <w:rFonts w:ascii="arial" w:eastAsia="arial" w:hAnsi="arial" w:cs="arial"/>
          <w:i/>
          <w:color w:val="000000"/>
          <w:sz w:val="20"/>
          <w:lang w:val="en-US" w:eastAsia="en-US" w:bidi="ar-SA"/>
        </w:rPr>
        <w:t>R. v. R.E.M.</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paragraphs 15-57. I am bound by the whole of it and have crafted my reasons for judgment in the case at bar in light of what the Supreme Court of Canada has said.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For present purposes, I choose to note only the following. The Supreme Court of Canada has stated once and for all that the need for a judge to state </w:t>
      </w:r>
      <w:r>
        <w:rPr>
          <w:rFonts w:ascii="arial" w:eastAsia="arial" w:hAnsi="arial" w:cs="arial"/>
          <w:color w:val="000000"/>
          <w:sz w:val="20"/>
          <w:u w:val="single"/>
          <w:lang w:val="en-US" w:eastAsia="en-US" w:bidi="ar-SA"/>
        </w:rPr>
        <w:t>what</w:t>
      </w:r>
      <w:r>
        <w:rPr>
          <w:rFonts w:ascii="arial" w:eastAsia="arial" w:hAnsi="arial" w:cs="arial"/>
          <w:color w:val="000000"/>
          <w:sz w:val="20"/>
          <w:lang w:val="en-US" w:eastAsia="en-US" w:bidi="ar-SA"/>
        </w:rPr>
        <w:t xml:space="preserve"> he decided and </w:t>
      </w:r>
      <w:r>
        <w:rPr>
          <w:rFonts w:ascii="arial" w:eastAsia="arial" w:hAnsi="arial" w:cs="arial"/>
          <w:color w:val="000000"/>
          <w:sz w:val="20"/>
          <w:u w:val="single"/>
          <w:lang w:val="en-US" w:eastAsia="en-US" w:bidi="ar-SA"/>
        </w:rPr>
        <w:t>why</w:t>
      </w:r>
      <w:r>
        <w:rPr>
          <w:rFonts w:ascii="arial" w:eastAsia="arial" w:hAnsi="arial" w:cs="arial"/>
          <w:color w:val="000000"/>
          <w:sz w:val="20"/>
          <w:lang w:val="en-US" w:eastAsia="en-US" w:bidi="ar-SA"/>
        </w:rPr>
        <w:t xml:space="preserve"> does </w:t>
      </w:r>
      <w:r>
        <w:rPr>
          <w:rFonts w:ascii="arial" w:eastAsia="arial" w:hAnsi="arial" w:cs="arial"/>
          <w:color w:val="000000"/>
          <w:sz w:val="20"/>
          <w:u w:val="single"/>
          <w:lang w:val="en-US" w:eastAsia="en-US" w:bidi="ar-SA"/>
        </w:rPr>
        <w:t>not</w:t>
      </w:r>
      <w:r>
        <w:rPr>
          <w:rFonts w:ascii="arial" w:eastAsia="arial" w:hAnsi="arial" w:cs="arial"/>
          <w:color w:val="000000"/>
          <w:sz w:val="20"/>
          <w:lang w:val="en-US" w:eastAsia="en-US" w:bidi="ar-SA"/>
        </w:rPr>
        <w:t xml:space="preserve"> mean the judge must articulate </w:t>
      </w:r>
      <w:r>
        <w:rPr>
          <w:rFonts w:ascii="arial" w:eastAsia="arial" w:hAnsi="arial" w:cs="arial"/>
          <w:color w:val="000000"/>
          <w:sz w:val="20"/>
          <w:u w:val="single"/>
          <w:lang w:val="en-US" w:eastAsia="en-US" w:bidi="ar-SA"/>
        </w:rPr>
        <w:t>how</w:t>
      </w:r>
      <w:r>
        <w:rPr>
          <w:rFonts w:ascii="arial" w:eastAsia="arial" w:hAnsi="arial" w:cs="arial"/>
          <w:color w:val="000000"/>
          <w:sz w:val="20"/>
          <w:lang w:val="en-US" w:eastAsia="en-US" w:bidi="ar-SA"/>
        </w:rPr>
        <w:t xml:space="preserve"> he made the decision. The "what" is the verdict and the "why" is the basis for the verdict. The judge is not required to set out every step, finding, or conclusion taken, made, or arrived at by him in the process of arriving at the verdict. Stating the "what" and giving the "why" </w:t>
      </w:r>
      <w:r>
        <w:rPr>
          <w:rFonts w:ascii="arial" w:eastAsia="arial" w:hAnsi="arial" w:cs="arial"/>
          <w:color w:val="000000"/>
          <w:sz w:val="20"/>
          <w:u w:val="single"/>
          <w:lang w:val="en-US" w:eastAsia="en-US" w:bidi="ar-SA"/>
        </w:rPr>
        <w:t>against the background of the record</w:t>
      </w:r>
      <w:r>
        <w:rPr>
          <w:rFonts w:ascii="arial" w:eastAsia="arial" w:hAnsi="arial" w:cs="arial"/>
          <w:color w:val="000000"/>
          <w:sz w:val="20"/>
          <w:lang w:val="en-US" w:eastAsia="en-US" w:bidi="ar-SA"/>
        </w:rPr>
        <w:t xml:space="preserve"> is a matter of connecting the evidence and the law on one hand with the verdict on the other. Crucially, considering the problematic state of the law in this province prior to October 2, 2008, and the handing down by the Supreme Court of Canada of its decisions in </w:t>
      </w:r>
      <w:r>
        <w:rPr>
          <w:rFonts w:ascii="arial" w:eastAsia="arial" w:hAnsi="arial" w:cs="arial"/>
          <w:i/>
          <w:color w:val="000000"/>
          <w:sz w:val="20"/>
          <w:lang w:val="en-US" w:eastAsia="en-US" w:bidi="ar-SA"/>
        </w:rPr>
        <w:t>R. v. R.E.M.</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 v. H.S.B.</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decisions by the trial court judge as to the testimonial reliability of various witnesses need </w:t>
      </w:r>
      <w:r>
        <w:rPr>
          <w:rFonts w:ascii="arial" w:eastAsia="arial" w:hAnsi="arial" w:cs="arial"/>
          <w:color w:val="000000"/>
          <w:sz w:val="20"/>
          <w:u w:val="single"/>
          <w:lang w:val="en-US" w:eastAsia="en-US" w:bidi="ar-SA"/>
        </w:rPr>
        <w:t>not</w:t>
      </w:r>
      <w:r>
        <w:rPr>
          <w:rFonts w:ascii="arial" w:eastAsia="arial" w:hAnsi="arial" w:cs="arial"/>
          <w:color w:val="000000"/>
          <w:sz w:val="20"/>
          <w:lang w:val="en-US" w:eastAsia="en-US" w:bidi="ar-SA"/>
        </w:rPr>
        <w:t xml:space="preserve"> be "justified".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Counsel's submissions focused to such an extent on whether the plaintiff or the defendant or both were in violation of a provision contained in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that I make it clear that I am alive to the fact that the breaching of a statutory duty is not proof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that the statutory duties imposed on these drivers - and any breaching of them - can be taken into account in setting the standard of care or as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nothing more: </w:t>
      </w:r>
      <w:r>
        <w:rPr>
          <w:rFonts w:ascii="arial" w:eastAsia="arial" w:hAnsi="arial" w:cs="arial"/>
          <w:i/>
          <w:color w:val="000000"/>
          <w:sz w:val="20"/>
          <w:lang w:val="en-US" w:eastAsia="en-US" w:bidi="ar-SA"/>
        </w:rPr>
        <w:t>The Queen (Can.) v. Saskatchewan Wheat Pool</w:t>
      </w:r>
      <w:r>
        <w:rPr>
          <w:rFonts w:ascii="arial" w:eastAsia="arial" w:hAnsi="arial" w:cs="arial"/>
          <w:color w:val="000000"/>
          <w:sz w:val="20"/>
          <w:lang w:val="en-US" w:eastAsia="en-US" w:bidi="ar-SA"/>
        </w:rPr>
        <w:t xml:space="preserve">, </w:t>
      </w:r>
      <w:hyperlink r:id="rId89" w:history="1">
        <w:r>
          <w:rPr>
            <w:rFonts w:ascii="arial" w:eastAsia="arial" w:hAnsi="arial" w:cs="arial"/>
            <w:i/>
            <w:color w:val="0077CC"/>
            <w:sz w:val="20"/>
            <w:u w:val="single"/>
            <w:shd w:val="clear" w:color="auto" w:fill="FFFFFF"/>
            <w:lang w:val="en-US" w:eastAsia="en-US" w:bidi="ar-SA"/>
          </w:rPr>
          <w:t>[1983] 1 S.C.R. 205</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Jordison v. Graham</w:t>
      </w:r>
      <w:r>
        <w:rPr>
          <w:rFonts w:ascii="arial" w:eastAsia="arial" w:hAnsi="arial" w:cs="arial"/>
          <w:color w:val="000000"/>
          <w:sz w:val="20"/>
          <w:lang w:val="en-US" w:eastAsia="en-US" w:bidi="ar-SA"/>
        </w:rPr>
        <w:t xml:space="preserve">, </w:t>
      </w:r>
      <w:hyperlink r:id="rId90" w:history="1">
        <w:r>
          <w:rPr>
            <w:rFonts w:ascii="arial" w:eastAsia="arial" w:hAnsi="arial" w:cs="arial"/>
            <w:i/>
            <w:color w:val="0077CC"/>
            <w:sz w:val="20"/>
            <w:u w:val="single"/>
            <w:shd w:val="clear" w:color="auto" w:fill="FFFFFF"/>
            <w:lang w:val="en-US" w:eastAsia="en-US" w:bidi="ar-SA"/>
          </w:rPr>
          <w:t>1999 BCCA 245</w:t>
        </w:r>
      </w:hyperlink>
      <w:r>
        <w:rPr>
          <w:rFonts w:ascii="arial" w:eastAsia="arial" w:hAnsi="arial" w:cs="arial"/>
          <w:color w:val="000000"/>
          <w:sz w:val="20"/>
          <w:lang w:val="en-US" w:eastAsia="en-US" w:bidi="ar-SA"/>
        </w:rPr>
        <w:t xml:space="preserve"> at paragraph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 make it clear that I have not lost sight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sections brought to my attention by counsel. But because - as will become clear - I am dealing with a </w:t>
      </w:r>
      <w:r>
        <w:rPr>
          <w:rFonts w:ascii="arial" w:eastAsia="arial" w:hAnsi="arial" w:cs="arial"/>
          <w:i/>
          <w:color w:val="000000"/>
          <w:sz w:val="20"/>
          <w:lang w:val="en-US" w:eastAsia="en-US" w:bidi="ar-SA"/>
        </w:rPr>
        <w:t>de facto</w:t>
      </w:r>
      <w:r>
        <w:rPr>
          <w:rFonts w:ascii="arial" w:eastAsia="arial" w:hAnsi="arial" w:cs="arial"/>
          <w:color w:val="000000"/>
          <w:sz w:val="20"/>
          <w:lang w:val="en-US" w:eastAsia="en-US" w:bidi="ar-SA"/>
        </w:rPr>
        <w:t xml:space="preserve"> lane of travel and not a "laned roadway" within the meaning of the Act, it is only some of the sections that are of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Having considered the whole of the evidence together and decided nothing as to the testimonial reliability of the various witnesses, the bottom facts or the ultimate outcome of the case until after the whole of the evidence had been considered together, I offer the following by way of explication and state that I find as follows:</w:t>
      </w:r>
      <w:r>
        <w:rPr>
          <w:rFonts w:ascii="arial" w:eastAsia="arial" w:hAnsi="arial" w:cs="arial"/>
          <w:sz w:val="20"/>
          <w:lang w:val="en-US" w:eastAsia="en-US" w:bidi="ar-SA"/>
        </w:rPr>
        <w:cr/>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find that the independent witness Are Tang was stopped in his black truck at the point he marked X on Exhibit 3.</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find as a fact that his truck was the first vehicle in the northbound lane of vehicles that had stopped so that the plaintiff could make a left turn into the parking lot. I make that finding because he does not remember if he was first or second in the line, but the plaintiff focused on a black truck that was first in line, got the licence number of that truck after the motor vehicle accident, and the fact is that it is Are Tang who appears as a witness and says he was in a black truck that was first or second in line. Note that I have ignored the plaintiff's hearsay evidence to the effect that someone told her an Are Tang was associated with the licence number she had written down. I also found the plaintiff's evidence of the description of the man she saw and what she said when she saw Are Tang on the screen as a video was played was of little weight. It amounts to the equivalent of a vague description and a single photo being used as a method of identification.</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find as a fact that this is a case in which the configuration of 222nd Street demanded that at some point south of the south end of the solid white line extending back on 222nd from Dewdney Trunk Road, 222 Street must become a </w:t>
      </w:r>
      <w:r>
        <w:rPr>
          <w:rFonts w:ascii="arial" w:eastAsia="arial" w:hAnsi="arial" w:cs="arial"/>
          <w:i/>
          <w:color w:val="000000"/>
          <w:sz w:val="20"/>
          <w:lang w:val="en-US" w:eastAsia="en-US" w:bidi="ar-SA"/>
        </w:rPr>
        <w:t>de facto</w:t>
      </w:r>
      <w:r>
        <w:rPr>
          <w:rFonts w:ascii="arial" w:eastAsia="arial" w:hAnsi="arial" w:cs="arial"/>
          <w:color w:val="000000"/>
          <w:sz w:val="20"/>
          <w:lang w:val="en-US" w:eastAsia="en-US" w:bidi="ar-SA"/>
        </w:rPr>
        <w:t xml:space="preserve"> two-lane road for northbound traffic: </w:t>
      </w:r>
      <w:r>
        <w:rPr>
          <w:rFonts w:ascii="arial" w:eastAsia="arial" w:hAnsi="arial" w:cs="arial"/>
          <w:i/>
          <w:color w:val="000000"/>
          <w:sz w:val="20"/>
          <w:lang w:val="en-US" w:eastAsia="en-US" w:bidi="ar-SA"/>
        </w:rPr>
        <w:t>MacLaren v. Kucharek</w:t>
      </w:r>
      <w:r>
        <w:rPr>
          <w:rFonts w:ascii="arial" w:eastAsia="arial" w:hAnsi="arial" w:cs="arial"/>
          <w:color w:val="000000"/>
          <w:sz w:val="20"/>
          <w:lang w:val="en-US" w:eastAsia="en-US" w:bidi="ar-SA"/>
        </w:rPr>
        <w:t xml:space="preserve">, </w:t>
      </w:r>
      <w:hyperlink r:id="rId91" w:history="1">
        <w:r>
          <w:rPr>
            <w:rFonts w:ascii="arial" w:eastAsia="arial" w:hAnsi="arial" w:cs="arial"/>
            <w:i/>
            <w:color w:val="0077CC"/>
            <w:sz w:val="20"/>
            <w:u w:val="single"/>
            <w:shd w:val="clear" w:color="auto" w:fill="FFFFFF"/>
            <w:lang w:val="en-US" w:eastAsia="en-US" w:bidi="ar-SA"/>
          </w:rPr>
          <w:t>2010 BCCA 206</w:t>
        </w:r>
      </w:hyperlink>
      <w:r>
        <w:rPr>
          <w:rFonts w:ascii="arial" w:eastAsia="arial" w:hAnsi="arial" w:cs="arial"/>
          <w:color w:val="000000"/>
          <w:sz w:val="20"/>
          <w:lang w:val="en-US" w:eastAsia="en-US" w:bidi="ar-SA"/>
        </w:rPr>
        <w:t xml:space="preserve"> at paragraph 20.</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find as a fact that considering what confronted a reasonable driver proceeding northbound on 222nd as she approached Dewdney Trunk Road, the point at which she would begin to treat 222nd as a two-lane road for northbound traffic was at a point several car lengths to the south of where the two vehicles in the case at bar collided.</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find that at the time of the collision the defendant was in the </w:t>
      </w:r>
      <w:r>
        <w:rPr>
          <w:rFonts w:ascii="arial" w:eastAsia="arial" w:hAnsi="arial" w:cs="arial"/>
          <w:i/>
          <w:color w:val="000000"/>
          <w:sz w:val="20"/>
          <w:lang w:val="en-US" w:eastAsia="en-US" w:bidi="ar-SA"/>
        </w:rPr>
        <w:t>de facto</w:t>
      </w:r>
      <w:r>
        <w:rPr>
          <w:rFonts w:ascii="arial" w:eastAsia="arial" w:hAnsi="arial" w:cs="arial"/>
          <w:color w:val="000000"/>
          <w:sz w:val="20"/>
          <w:lang w:val="en-US" w:eastAsia="en-US" w:bidi="ar-SA"/>
        </w:rPr>
        <w:t xml:space="preserve"> right lane proceeding north because she was intent on turning right at Dewdney Trunk Road and the point where any such driver had to decide to move to the right was, as I say, several car lengths to the south of the point of collision.</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the point I have indicated where 222nd became a </w:t>
      </w:r>
      <w:r>
        <w:rPr>
          <w:rFonts w:ascii="arial" w:eastAsia="arial" w:hAnsi="arial" w:cs="arial"/>
          <w:i/>
          <w:color w:val="000000"/>
          <w:sz w:val="20"/>
          <w:lang w:val="en-US" w:eastAsia="en-US" w:bidi="ar-SA"/>
        </w:rPr>
        <w:t>de facto</w:t>
      </w:r>
      <w:r>
        <w:rPr>
          <w:rFonts w:ascii="arial" w:eastAsia="arial" w:hAnsi="arial" w:cs="arial"/>
          <w:color w:val="000000"/>
          <w:sz w:val="20"/>
          <w:lang w:val="en-US" w:eastAsia="en-US" w:bidi="ar-SA"/>
        </w:rPr>
        <w:t xml:space="preserve"> two-lane road for northbound traffic was either just at the point where the roadway begins to widen or just south of that point is of no moment, for before it widened the roadway for northbound traffic was 25 feet 9 inches wide. That provided plenty of room for parked vehicles on the east side of 222nd and two vehicles travelling side by side northbound on 222nd.</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find as a fact that in the case at bar neither the plaintiff or the defendant saw the other vehicle because of the vehicles that had stopped northbound and to the left of where the defendant travelled as she moved into the </w:t>
      </w:r>
      <w:r>
        <w:rPr>
          <w:rFonts w:ascii="arial" w:eastAsia="arial" w:hAnsi="arial" w:cs="arial"/>
          <w:i/>
          <w:color w:val="000000"/>
          <w:sz w:val="20"/>
          <w:lang w:val="en-US" w:eastAsia="en-US" w:bidi="ar-SA"/>
        </w:rPr>
        <w:t>de facto</w:t>
      </w:r>
      <w:r>
        <w:rPr>
          <w:rFonts w:ascii="arial" w:eastAsia="arial" w:hAnsi="arial" w:cs="arial"/>
          <w:color w:val="000000"/>
          <w:sz w:val="20"/>
          <w:lang w:val="en-US" w:eastAsia="en-US" w:bidi="ar-SA"/>
        </w:rPr>
        <w:t xml:space="preserve"> second lane and proceeded north. Those vehicles had stopped, thus creating a gap through which the plaintiff could make her left turn.</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find as a fact that the plaintiff executed her left turn in a way that a reasonably prudent driver would make a left turn, save and except the reasonably prudent driver would realize that what was to her immediate left in the northbound area of 222nd - a marked division of 222nd into two lanes each for traffic heading in different directions - combined with the width of the northbound portion of 222nd she was attempting to cross, signalled a need for caution lest northbound vehicles moving to the right preparatory to reaching the intersection - as I say they would necessarily and reasonably do if they intended to turn right - meant that the movement could not be made safely by a left turning vehicle such as the plaintiff's which had crossed the bow of one line of northbound vehicles, that is to say the vehicles that were stopped, without the left turning vehicle stopping - having crossed the first line of stopped vehicles - and verifying that it was safe to proceed. The short point is that two different things occurred. The plaintiff did not obey s. 166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and she was, for the purposes of the civil law, negligent.</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risk of repetition, I state that I find as a fact that the plaintiff did not take the care that a reasonable and prudent driver would take before moving beyond the vehicles that had stopped for her to make her left turn.</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find that the defendant, on whom the onus lies, has established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 and that but for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collision would not have occurred.</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Has the plaintiff, on whom the onus lies, established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Within the meaning of the law, the defendant was the dominant driver.</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Has the plaintiff, on whom the onus lies, established that the defendant - who had the right of way - should have become aware of the plaintiff's failure to take reasonable care and, if so, that she would have had sufficient opportunity to avoid the accident: </w:t>
      </w:r>
      <w:r>
        <w:rPr>
          <w:rFonts w:ascii="arial" w:eastAsia="arial" w:hAnsi="arial" w:cs="arial"/>
          <w:i/>
          <w:color w:val="000000"/>
          <w:sz w:val="20"/>
          <w:lang w:val="en-US" w:eastAsia="en-US" w:bidi="ar-SA"/>
        </w:rPr>
        <w:t>Brewster v. Swain</w:t>
      </w:r>
      <w:r>
        <w:rPr>
          <w:rFonts w:ascii="arial" w:eastAsia="arial" w:hAnsi="arial" w:cs="arial"/>
          <w:color w:val="000000"/>
          <w:sz w:val="20"/>
          <w:lang w:val="en-US" w:eastAsia="en-US" w:bidi="ar-SA"/>
        </w:rPr>
        <w:t xml:space="preserve">, </w:t>
      </w:r>
      <w:hyperlink r:id="rId92" w:history="1">
        <w:r>
          <w:rPr>
            <w:rFonts w:ascii="arial" w:eastAsia="arial" w:hAnsi="arial" w:cs="arial"/>
            <w:i/>
            <w:color w:val="0077CC"/>
            <w:sz w:val="20"/>
            <w:u w:val="single"/>
            <w:shd w:val="clear" w:color="auto" w:fill="FFFFFF"/>
            <w:lang w:val="en-US" w:eastAsia="en-US" w:bidi="ar-SA"/>
          </w:rPr>
          <w:t>2007 BCCA 347</w:t>
        </w:r>
      </w:hyperlink>
      <w:r>
        <w:rPr>
          <w:rFonts w:ascii="arial" w:eastAsia="arial" w:hAnsi="arial" w:cs="arial"/>
          <w:color w:val="000000"/>
          <w:sz w:val="20"/>
          <w:lang w:val="en-US" w:eastAsia="en-US" w:bidi="ar-SA"/>
        </w:rPr>
        <w:t xml:space="preserve"> at paragraph 9.</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Here, the plaintiff points to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s. 158 and to the defendant's proceeding past cars stopped to her left without verifying that the movement could be made safely. Section 158's and </w:t>
      </w:r>
      <w:r>
        <w:rPr>
          <w:rFonts w:ascii="arial" w:eastAsia="arial" w:hAnsi="arial" w:cs="arial"/>
          <w:i/>
          <w:color w:val="000000"/>
          <w:sz w:val="20"/>
          <w:lang w:val="en-US" w:eastAsia="en-US" w:bidi="ar-SA"/>
        </w:rPr>
        <w:t>Kerslake v. Kim's</w:t>
      </w:r>
      <w:r>
        <w:rPr>
          <w:rFonts w:ascii="arial" w:eastAsia="arial" w:hAnsi="arial" w:cs="arial"/>
          <w:color w:val="000000"/>
          <w:sz w:val="20"/>
          <w:lang w:val="en-US" w:eastAsia="en-US" w:bidi="ar-SA"/>
        </w:rPr>
        <w:t xml:space="preserve"> relevance is not direct but by analogy (</w:t>
      </w:r>
      <w:r>
        <w:rPr>
          <w:rFonts w:ascii="arial" w:eastAsia="arial" w:hAnsi="arial" w:cs="arial"/>
          <w:i/>
          <w:color w:val="000000"/>
          <w:sz w:val="20"/>
          <w:lang w:val="en-US" w:eastAsia="en-US" w:bidi="ar-SA"/>
        </w:rPr>
        <w:t>Kerslake v. Kim</w:t>
      </w:r>
      <w:r>
        <w:rPr>
          <w:rFonts w:ascii="arial" w:eastAsia="arial" w:hAnsi="arial" w:cs="arial"/>
          <w:color w:val="000000"/>
          <w:sz w:val="20"/>
          <w:lang w:val="en-US" w:eastAsia="en-US" w:bidi="ar-SA"/>
        </w:rPr>
        <w:t xml:space="preserve"> is found at </w:t>
      </w:r>
      <w:hyperlink r:id="rId93" w:history="1">
        <w:r>
          <w:rPr>
            <w:rFonts w:ascii="arial" w:eastAsia="arial" w:hAnsi="arial" w:cs="arial"/>
            <w:i/>
            <w:color w:val="0077CC"/>
            <w:sz w:val="20"/>
            <w:u w:val="single"/>
            <w:shd w:val="clear" w:color="auto" w:fill="FFFFFF"/>
            <w:lang w:val="en-US" w:eastAsia="en-US" w:bidi="ar-SA"/>
          </w:rPr>
          <w:t>2008 BCCA 220</w:t>
        </w:r>
      </w:hyperlink>
      <w:r>
        <w:rPr>
          <w:rFonts w:ascii="arial" w:eastAsia="arial" w:hAnsi="arial" w:cs="arial"/>
          <w:color w:val="000000"/>
          <w:sz w:val="20"/>
          <w:lang w:val="en-US" w:eastAsia="en-US" w:bidi="ar-SA"/>
        </w:rPr>
        <w:t>.)</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doubt that the defendant did proceed to pass the cars stopped to her left without taking reasonable steps to assure herself that the gap she ought reasonably to have seen to her left was not present because a car was turning left.</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But that does not convert to a conclusion that:</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she should have become aware that the driver of a left turning vehicle was in fact failing to give way to northbound traffic in the </w:t>
      </w:r>
      <w:r>
        <w:rPr>
          <w:rFonts w:ascii="arial" w:eastAsia="arial" w:hAnsi="arial" w:cs="arial"/>
          <w:i/>
          <w:color w:val="000000"/>
          <w:sz w:val="20"/>
          <w:lang w:val="en-US" w:eastAsia="en-US" w:bidi="ar-SA"/>
        </w:rPr>
        <w:t>de facto</w:t>
      </w:r>
      <w:r>
        <w:rPr>
          <w:rFonts w:ascii="arial" w:eastAsia="arial" w:hAnsi="arial" w:cs="arial"/>
          <w:color w:val="000000"/>
          <w:sz w:val="20"/>
          <w:lang w:val="en-US" w:eastAsia="en-US" w:bidi="ar-SA"/>
        </w:rPr>
        <w:t xml:space="preserve"> lane; and</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had sufficient opportunity to avoid the accident.</w:t>
      </w:r>
    </w:p>
    <w:p>
      <w:pPr>
        <w:numPr>
          <w:numId w:val="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find as a fact that, absent assuming that someone was failing to yield the right of way and slowing to a crawl or stopping before reaching the front right of Are Tang's vehicle, the defendant could not have avoided the collision. And the law imposes no such duty upon a driver in the defendant's position.</w:t>
      </w:r>
    </w:p>
    <w:p>
      <w:pPr>
        <w:numPr>
          <w:numId w:val="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has not established relevant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w:t>
      </w:r>
    </w:p>
    <w:p>
      <w:pPr>
        <w:numPr>
          <w:numId w:val="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note that the fact I began with the plaintiff is neither here nor there. The result of my findings of fact and mixed law and fact is that the plaintiff has not made out her case against the defendant.</w:t>
      </w:r>
    </w:p>
    <w:p>
      <w:pPr>
        <w:numPr>
          <w:numId w:val="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All right. On the face of it, it should simply be costs follow the event. Is there anything to be said about costs?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[SUBMISSIONS 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COURT: Ruling. This is a case in which the plaintiff's action has been dismissed. On the face of it, the order should simply be costs in favour of the defendant, Appendix B, Scale B as in Bob. Counsel for the defendants has applied for an order that double costs be payable from October 4, 2010 onward because of an offer of settlement of $10,000 that was made. Counsel for the plaintiff opposes the application. She does so on two bases. First, she says that in light of the injuries suffered by the plaintiff and with respect to which she ended up having surgery, $10,000 was not a reasonable offer. I cannot rule on that because I do not know enough, or anything really, about the nature and extent of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other wing to the plaintiff's submission relates to what Rule 9-1(6)(c) refers to as the relative financial circumstances of the parties. On the basis of what plaintiff's counsel has told me, I would say that the plaintiff's circumstances are modest. On the other side is not the actual defendants but ICBC. I am allowed to take that into consideration. Needless to say, ICBC is a large, wealthy corporation. The disparity in the relative financial circumstances of the parties results in my exercising a discretion, as I do have a discretion to exercise, against awarding double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So the order will simply be costs to the defendants, Appendix B, Scale B as in Bob.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end by noting that before I gave reasons for judgment on December 3, I said that I reserved the right to change, alter, add to, or delete from what I said then once I was given a draft transcript. But the result would remain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A.M. STEWART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0" style="position:absolute;z-index:2517647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4"/>
          <w:headerReference w:type="default" r:id="rId95"/>
          <w:footerReference w:type="even" r:id="rId96"/>
          <w:footerReference w:type="default" r:id="rId97"/>
          <w:headerReference w:type="first" r:id="rId98"/>
          <w:footerReference w:type="first" r:id="rId9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0" w:history="1">
        <w:r>
          <w:rPr>
            <w:rFonts w:ascii="arial" w:eastAsia="arial" w:hAnsi="arial" w:cs="arial"/>
            <w:b/>
            <w:bCs/>
            <w:i/>
            <w:color w:val="0077CC"/>
            <w:kern w:val="32"/>
            <w:sz w:val="28"/>
            <w:szCs w:val="32"/>
            <w:u w:val="single"/>
            <w:shd w:val="clear" w:color="auto" w:fill="FFFFFF"/>
            <w:lang w:val="en-US" w:eastAsia="en-US" w:bidi="ar-SA"/>
          </w:rPr>
          <w:t>Stare v. Whitehouse, [2019] B.C.J. No. 1619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D.C. MacDonald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6-10, 13-14 and 16,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27,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M182283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1619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1445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Isaac Stare, Plaintiff, and Scott Whitehouse, Defendant, and Insurance Corporation of British Columbia,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(204 paras.)</w:t>
      </w:r>
    </w:p>
    <w:p>
      <w:pPr>
        <w:jc w:val="both"/>
        <w:rPr>
          <w:rFonts w:ascii="arial" w:eastAsia="arial" w:hAnsi="arial" w:cs="arial"/>
          <w:sz w:val="20"/>
          <w:lang w:val="en-US" w:eastAsia="en-US" w:bidi="ar-SA"/>
        </w:rPr>
      </w:pPr>
      <w:bookmarkStart w:id="45" w:name="Counsel_4"/>
      <w:bookmarkEnd w:id="4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1" style="position:absolute;z-index:2516633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P.M.C. Formby.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No appearance.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K.C. Finn, S. Ali.</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6" w:name="Judgment_4"/>
      <w:bookmarkEnd w:id="46"/>
      <w:r>
        <w:pict>
          <v:line id="_x0000_s1042" style="position:absolute;z-index:25171456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Lay Witnesses</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Isaac Stare</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Jason Di Castri</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Ethan Duncan</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James Stare</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Joel Redekop</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Taryn Stare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Expert Opinions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Richard Waiz</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Chris Babbage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Dominic Shew</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Cecil Hershler</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Gerard McKenzie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Du-Fay Der</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Joshua Muhlstock</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Robert Carson</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Mark Gosling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LEGAL PRINCIPLES - CREDIBILITY AND CAUSATION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Credibility and Reliability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Causation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Factual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LEGAL PRINCIPLES -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Non-Pecuniary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Earning Capacity</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Past Wage Loss</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Future Earning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Cost of Future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 Loss of Housekeeping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CONCLUSION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1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7" w:name="D.C. MacDONALD J."/>
            <w:bookmarkEnd w:id="47"/>
            <w:r>
              <w:rPr>
                <w:rFonts w:ascii="arial" w:eastAsia="arial" w:hAnsi="arial" w:cs="arial"/>
                <w:b/>
                <w:color w:val="000000"/>
                <w:sz w:val="30"/>
                <w:lang w:val="en-US" w:eastAsia="en-US" w:bidi="ar-SA"/>
              </w:rPr>
              <w:t>D.C. MacDONALD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 </w:t>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action arising out of a motor vehicle accident that occurred on August 3, 2014 (the "accident"). The plaintiff, Isaac Stare, was 20 years old at the time of the accident. As the third party defendant concedes liability, this dispute regards causation, the type of injuries the plaintiff sustained and the damages, if any, to be awarded for these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alleges that the accident caused injuries to his mid-to-low-back, neck, and shoulders and has had a major impact on his life. Over time the injuries to his neck and shoulder resolved but, almost four years later, he has not fully recovered from the damage to his mid-to-low-back. Mr. Stare argues that he suffers from a permanent disability to his lumbar spine, most likely facet joint injuries,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Due to the trauma of the accident and his ongoing pain in his mid-to-low-back, Mr. Stare argues that he began to suffer from anxiety. Over time this developed into depression, adjustment disorder, and somatic symptom disorder (SSD). These, the plaintiff argues, are results of the accident and its sequelae.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Although not totally disabled, Mr. Stare argues that he has been unable to resume his formerly active lifestyle and has been restricted in his ability to play sports. Today he is working as an apprentice electrician with his pre-accident employer, but he fears that he will not be able to sustain this type of physical work into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third party defendant takes the position that Mr. Stare is injured but not to the extent that he claims. Though the third party defendant agrees that the plaintiff is entitled to some damages, there is a dispute about the type of injury suffered by the plaintiff and therefore the sum that should be awarded. The third party defendant argues that Mr. Stare's ongoing lower back pain and limited functionality, more than four years after the accident, is related to his SSD and not to any ongoing physical injury. The third party defendant further submits that the prognosis for his SSD is not as pessimistic as the plaintiff suggests. Mr. Stare is likely to experience a reduction in pain levels and increased functionality in the future with appropriate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Alternatively, if Mr. Stare's SSD does not improve, and his symptoms are permanent, the resulting reduction in his capacity to work is not significant. Mr. Stare may miss a trivial number of days from work over his career but he is not entitled to a significant award for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third party defendant takes the position that Mr. Stare's major depressive disorder arose as a result of a wrist injury at work and not as a result of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is claiming non-pecuniary damages, past wage loss, loss of future earning capacity, and special damages arising from the accident. The most contentious issue before me relates to the plaintiff's argument that he will suffer significant financial loss due to his inability to continue working in his current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II. </w:t>
      </w:r>
      <w:r>
        <w:rPr>
          <w:rFonts w:ascii="arial" w:eastAsia="arial" w:hAnsi="arial" w:cs="arial"/>
          <w:b/>
          <w:color w:val="000000"/>
          <w:sz w:val="20"/>
          <w:u w:val="single"/>
          <w:lang w:val="en-US" w:eastAsia="en-US" w:bidi="ar-SA"/>
        </w:rPr>
        <w:t>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following is a summary of the evidence of each lay witness who testified at the trial. I set out their evidence in a general way, but leave certain details for discussion under the issues I address. Although I do not detail all aspects of the evidence, I have considered the totality of the evidence in reaching my conclusions.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Lay Witnesses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1. Mr. Isaac Stare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Stare is 24 years old and works as an electrician apprentice. His girlfriend at the time of the accident is now his wife. Mr. Stare had many friends and strong family relationships before the accident, which continue to this day. He was and still is involved in his church.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Stare was raised in Langley and is the oldest of four children. He experienced some stress during his teenage years because his brother was suffering from depression and was not emotionally stable. Mr. Stare testified that his brother would get loud, violent, and dramatic. He could get physically aggressive. Mr. Stare was frightened of him when he was sleeping. During those years, he typically spent his time mountain biking with his cousins rather than spending time at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Stare did well in high school except for math. He testified that he struggles in math because he is dyslexic. He graduated in 2012, after which he completed one year at a Bible college.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Stare testified that prior to the accident he wanted to be an electrician, get married and have children. He had many options.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Stare was active prior to the accident. He went to the gym about five times per week, played ball hockey, enjoyed hiking, snowboarded occasionally, and was an avid longboarder. He also liked to mountain bike and spent a considerable amount of time doing so in his youth.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Stare had been in several motor vehicles accidents prior to the August 3, 2014 accident, including one in April 2014. He had recovered fully from those accidents well before the August 2014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August 3, 2014 accident occurred at 11:45 p.m. Mr. Stare's girlfriend was driving him home. They were travelling southbound in the Langley Bypass area. Another vehicle was travelling northbound on the wrong side of the road. According to Mr. Stare, the vehicles collided, "pretty much head on", and the vehicle the plaintiff was in came to an abrupt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Stare was able to walk away from the vehicle but testified that he was in shock. Paramedics attended to Mr. Stare and his girlfriend. Mr. Stare declined to go to the hospital to be checked out. Mr. Stare called his mother who came and picked them up from the accident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Stare attended a walk-in clinic the following day. He felt like he had bruised his chest and had a swollen knee. He reported pain in his neck, shoulder, and mid-to-low-back. He was advised to go to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At the time of the accident, Mr. Stare was working at ESC Automation as an electrician apprentice, a job he started on January 27, 2014. He had previously worked at an electrical company owned by his uncle.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Stare testified that he did not go to work that week due to pain. He attended at Langley Physiotherapy. The physiotherapist used heat, showed him some stretches, and did some massage on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following week Mr. Stare went on a pre-booked road trip with his friends down the Pacific Coast. They saw a concert in Washington before visiting Oregon and California. They took his car. Mr. Stare drove the entire trip because he was the only one who could drive a manual transmission.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Stare testified that he was very uncomfortable during this trip. The driving made his back stiff and he limped when walking. At the concert he could not just sit. He walked around, stretched, and laid down in an attempt to get comfortable. When he returned from the trip he felt sore, so he went to see his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Stare saw Dr. Waiz, his family doctor, in September 2014. Dr. Waiz determined that he was unfit to go back to work at that time. He was in pain and could not play sports.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Stare testified that he tried longboarding after the accident but he could not do it due to the pounding of his foot on the pavement. He has also been unable to snowboard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During his time off work Mr. Stare attended physiotherapy and did the stretches that were recommended to him. He did not return to work because he could not walk for significant periods of time and his company did not want him back until he was stronger. As it turned out, Mr. Stare was off work for approximately two years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Stare's doctor told him to keep moving, so he walked, did stretches, and took medication and muscle relaxants for pain. Physiotherapy did not help, but the stretching exercises did assist in reducing his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Stare testified that he would get flashbacks about the accident and smell airbags. In September 2014, he mentioned to his doctor that he had flashbacks of cars colliding when he shoulder checked. He was panicky while driving, but knew it was something he had to deal with. Over time this anxiety resolved. In cross-examination, Mr. Stare admitted that he does not avoid driving, it causes him no significant anxiety, and he is not an overly cautious driver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During his time off work, Mr. Stare attended Kwantlen Polytechnic University to work toward his electrician certificate. To obtain his qualifications he needed four sets of ten week classes at the university as well as 6,000 hours in apprenticeship work. During his two years off, Mr. Stare completed three of the four ten week classes at the university. He testified that he did not attempt to do the fourth set because he did not have enough hours of work experience. He was afraid that if he completed this coursework, his employer would assume he needed a raise. Mr. Stare was concerned that his employer would then expect him to work at a higher level than he was capable of doing with his back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 review of his transcript from the Industry Training Authority of BC, the organization that tracks apprentices' hours and qualifications, indicates that Mr. Stare obtained grades between 81 and 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2015, Mr. Stare worked at Southgate Church approximately eight hours per week. He worked on Mondays and attended classes Tuesdays through Fridays. Mr. Stare testified that he had classes for six to eight hours per day, which he found difficult because he had to sit for extended periods of time. He testified that he would ask for breaks and would walk around the campus two to three times per day for about ten minutes or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the two-year period he was off work, he continued to do physiotherapy (although he did not find it helpful) and stretches. He tried massage once. Mr. Stare testified that walking was very painful and that he did not have much mobility or flexibility.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Stare tried to return to work in February 2015, but his employer said he could not return unless he could carry out his full duties. It was put to him in cross-examination that he did not ask for an accommodation. He responded that he was unsure of all the non-physical duties available in his workplace at that time. He had only worked for ESC Automation for just over six months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Stare testified that not returning to work affected his confidence. He started to worry, had constant pain in his back, and started to gain weight. He was starting to lose hope. Mr. Stare testified that before the accident he felt great and was in good shape. After the accident he began to isolate himself, he did not want to answer questions about his injuries, and he did not want his family to find out that he was starting to suffer from depression. Mr. Stare testified that he began drinking six or more beers each night, and eventually turned to whiskey. He was drinking alone and he started to feel ashamed. He was in significant debt and wanted to get married, but did not feel that he could propose given his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September 16, 2015, Dr. Hershler, a physical medicine and rehabilitation specialist, assessed Mr. Stare for the purposes of providing a medical legal opinion for this litigation. Dr. Hershler recommended that he try seeing a chiropractor. Although Mr. Stare was initially reluctant, he eventually made an appointment. The chiropractor realigned his pelvis and the relief was immediate. He could walk for longer periods, exercise at the gym, and build up strength.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Stare testified that he started to feel a lot better after receiving chiropractic treatment. As a result, he took steps to get back to work and proposed to his girlfriend. Mr. Stare returned to work in August 2016. He started with a graduated return to work and was working full-time by October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Stare got married in March 2017. After the wedding, his wife noticed his drinking and told him to seek counselling. He testified that he did not want the stigma of being unwell. He has tried to cut back on the drinking, but he has had some relapses.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Stare testified that he has difficulty with heavier work, tasks that require working above his head and using equipment such as a hammer drill. Before the accident he did not think twice about doing such work. After the accident he would get very sore if he did this heavy work. He testified that pain would radiate down his back and he would have to go home and stretch at the end of the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Stare testified that he tries to push past the pain, but often asks other employees to do the heavier work. He testified that often they are very understanding but sometimes they poke fun at him. They call him an "old man" and a "gimp". He says he knows they are just joking, but it gets to him because there is truth to the joke. It makes him feel insecure. Mr. Stare testified that he can be moody, easily irritated, and less patient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Stare testified that twisting, working in awkward spots, and getting around tanks and pipes cause him a great deal of back pain. He avoids ladder work because the work is over his head. His employer is mindful of what he cannot do and his coworkers have been supportive by accommodating him when he needs assistance. He can install panels and terminating devices, and do other light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Stare testified that in November 2017, he tore a ligament in his wrist at work. He was put on light duties. He started drinking more and started to really worry about his future. He was told in December that he would need surgery. He had his first panic attack on Christmas Day when people started asking him about work. He had to go lie down. He has had minor panic attacks at work since that time and in February 2018, he had a severe panic attack 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After the panic attack in February 2018, he knew he needed help. He went to his mother who insisted that he see his doctor. Dr. Waiz put him on desvenlafaxine, also known as Pristiq, for anxiety and put him on stress leave.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Stare had wrist surgery in April 2018, and returned to work after his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Stare testified that he did not advise anyone of his psychological issues prior to February 2018. In 2014, he had mentioned anxiety around driving to Dr. Waiz, who suggested counselling. He did not pursue counselling at that time because he did not want to admit to having mental health issues. He also testified that he did not want his family to find out, or anyone from work to know that he was feeling depressed and anxious.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Stare testified that after going to his doctor in February 2018, he sought counselling from Dr. Der, a psychologist. Dr. Der taught Mr. Stare meditation techniques and gave him a CD that he can play to calm down. He is having fewer panic attacks.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Stare saw Dr. Babbage, a psychiatrist, on December 27, 2018. Dr. Babbage recommended that Mr. Stare see a kinesiologist.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Stare has recently seen a kinesiologist, David Boyd, which has been helpful. Mr. Boyd taught him breathing exercises and how to strengthen his core. He is also doing squats without weights and is climbing stairs using a new method that makes it easier.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Stare testified that he does not want a desk job and he feels very insecure about what he can and cannot do. He is not sure how much longer he can keep up with physical work. He would like to supervise, but he would need to get experience to obtain such a position. He does not believe he can demonstrate that he could supervise given the way he is currently functioning.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Stare testified that there is no indication that his employer does not want to keep him. Nevertheless, he testified that he is worried about his future with the company. He is afraid if his company goes through a difficult time it will lay off those employees who have a higher wage but cannot do as much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cross-examination, Mr. Stare agreed that it is his lower back that continues to be in pain. He agreed that he did not mention his upper back and neck to Dr. Waiz in 2015, and he did not complain about his neck or upper back when he attended physiotherapy. He also agreed that he told Dr. Hershler that his neck pain had gotten better. He testified that his back improved substantially after he saw the chiropractor. He conceded that he did not call in sick, except for two days, between his return to work post-accident and his wrist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Stare agreed that while he saw Dr. Waiz regularly after the motor vehicle accident, he did not discuss any mental health issues with him. He also agreed that counselling has been of assistance and that Pristiq helps with his anxiety. Mr. Stare testified that since May 2018, he has not missed any time from work because of his back. He agreed that he has a good work ethic and is a team player. He conceded that his employer has treated him very well. Mr. Stare agreed that ESC Automation provides training on the job, including training of how to prevent injuries, and the company advises its employees to get assistance if needed with heavy objects.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Stare acknowledged that he continues to go on walks and hikes. He explained that his doctor advised him that he should remain active. He testified that if he can push through the pain he will, but if it will hinder his work the next day he will not. He testified that he shares housekeeping tasks with his wife. He agreed in cross-examination that he has had no issues with housework, but noted that there is no outside work to be done where he and his wife 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Although the medication has helped, Mr. Stare testified that he continues to be quite anxious and is not sleeping well. He takes ibuprofen before bed about three or four times per week.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2. Mr. Jason Di Castri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Di Castri testified for the plaintiff. He works at ESC Automation and is Mr. Stare's foreperson. Mr. Di Castri has worked with Mr. Stare since he returned to work in 2016. Mr. Di Castri manages five apprentices.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Di Castri testified that Mr. Stare is a good worker, but that he has struggled with his back injury. Mr. Di Castri has seen him in pain and noted that he has difficulties moving things around the worksite. He also has difficulties with overhead work and standing in one position for a lengthy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Di Castri testified that when Mr. Stare's back starts to bother him, Mr. Stare is accommodated. This happens on a daily basis. The apprentices help him out if Mr. Di Castri is not around. He testified that it can be inconvenient at times but he deals with it because Mr. Stare is a valuable member of their team. Mr. Stare is a smart employee and makes an effort. He is willing to learn, and he shows up every day. Mr. Di Castri testified that he has not raised Mr. Stare's limitations with management because he and the team value Mr. Stare. They do not want to lose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cross-examination Mr. Di Castri agreed that Mr. Stare has not turned down overtime hours. He also agreed that Mr. Stare will be offered a full-time job after he completes his apprenticeship. He confirmed that Mr. Stare is not at risk of losing his job.</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3. Mr. Ethan Duncan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Duncan testified for the plaintiff. Like Mr. Stare, he works as an electrical apprentice at ESC Automation and is working toward his Red Seal. Mr. Duncan testified that he has worked with Mr. Stare since May 2017. They work as a team.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Duncan testified that Mr. Stare is not able to do tasks repeatedly because they become difficult for him. For example, after laying 40 feet of pipe it is obvious that Mr. Stare is in pain. Mr. Duncan has observed Mr. Stare stretching and taking breaks. Mr. Duncan testified that in comparison, he can lay up to 300 feet of pipe.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Duncan testified that he sees Mr. Stare moving around to get comfortable when he drives. He testified that a few weeks ago Mr. Duncan had to carry a heavy bundle up many flights of stairs for Mr. Stare. He did this because he did not want Mr. Stare to further hurt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Duncan testified that Mr. Stare does not miss work and is pleasant to be around. He is a hard worker and a team player.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Duncan testified that recently there has been a slight improvement in Mr. Stare's work. There has been a smile on his face and he is not so sad all the time. He agreed in cross-examination that he and Mr. Stare occasionally work overtime.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4. Mr. James Stare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James Stare, Mr. Stare's cousin, testified for the plaintiff. Prior to the accident, the plaintiff worked directly below Mr. James Stare at ESC Automation. Mr. James Stare was Mr. Stare's foreperson.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James Stare testified that Mr. Stare was able to do everything required of him at work before the accident. When he returned to work after the accident he was unable to go into tight spaces for long periods of time and could not do more than 40 or 50 feet of pipe before his back would hurt. He had to give Mr. Stare lighter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James Stare testified that after the accident Mr. Stare was not as outgoing as he had been before. He was always sore. When asked, he would say he was doing "okay."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5. Mr. Joel Redekop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Redekop, a friend of the plaintiff, testified. He stated that he has known Mr. Stare since elementary school but they became really good friends in grades 11 and 12. They continue to be good friends and he sees him at least once per week. Mr. Redekop is one of the friends that went on the road trip with Mr. Stare.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Redekop testified that after the accident he observed both physical and psychological changes in Mr. Stare. Prior to the accident they occasionally hiked together. In 2013, they hiked the Squamish Chief with ease. They did the same hike in May 2017 and Mr. Redekop noticed a drastic change in Mr. Stare. They needed to take frequent breaks and they had to turn around at the first peak, which they had not had to do in 2013. He stated that Mr. Stare could not handle hiking anymore.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Redekop testified that Mr. Stare was uncomfortable on their road trip. They had to take frequent stops when driving. At the concert, Mr. Stare had to lay down, stand up, and walk around to try to get comfortable. When they went to a park in Oregon, Mr. Stare could not swim due to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Redekop testified that today they mostly enjoy movies, records, and board games. He notices general discomfort when Mr. Stare sits for too long. He testified that Mr. Stare was "happy-go-lucky" before the accident. The change in him was stark afterwards. He noticed that Mr. Stare is now anxious.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6. Ms. Taryn Stare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Ms. Taryn Stare testified that she and Mr. Stare were married in March 2017. She testified that before the accident they were very active; Mr. Stare did not like to sit around. After the accident he was in pain. In the first couple of years post-accident it was hard for him to walk, he would need to take stretching breaks when driving, and he could not sit for long periods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Ms. Stare testified that Mr. Stare was frustrated because he did not know what the future would hold. She remembers a breakdown in early 2015 where Mr. Stare was really upset and crying. They had arguments between February and April 2015 when they discussed the topic of marriage. Ms. Stare testified that when Mr. Stare would get upset, he would sometimes lie on the bed in the fetal position. During this period he started to drink more alcohol than she thought was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Ms. Stare testified that she does not remember much of a problem with Mr. Stare's emotional state in 2016. His back was getting better, as was his attitude. He proposed to her in August 2016 and was going back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Ms. Stare testified that Mr. Stare became worse in 2017 after his wrist injury. He spiraled back to the state he had been in prior to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Ms. Stare agreed in cross-examination that since the accident they have gone on a number of vacations and they still enjoy short hikes and walking. They cannot do the types of hikes they did before Mr. Stare was injured. Ms. Stare testified that Mr. Stare helps with housework even though his back hurts. She testified that he has many good friends and is close with his family. She confirmed that they socialize regularly and go to church. She has noticed improvement in his sleep and his mood since he started taking medication and going to counselling in 2018.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Expert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following is a summary of the evidence of the expert witnesses whose reports were filed as exhibits and who testified at the trial. I set out their evidence in a general way but leave a number of details for discussion under the issues I address. In reaching my conclusions, I have considered the totality of the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1. Dr. Richard Waiz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Dr. Waiz, Mr. Stare's family physician, testified for the plaintiff. He wrote two reports, one dated February 10, 2017, and the other dated February 6, 2019. In his 2017 report, Dr. Waiz opined that as a result of the motor vehicle accident, Mr. Stare suffered a cervical, thoracic and lumbar musculoligamentous strain injury. In his 2019 report, he noted that Mr. Stare was tender over his para-lumbar muscles and over his lower para-thoracic muscles. Dr. Waiz again diagnosed him as having thoracic and lumbar musculoligamentous strain injury. Dr. Waiz agreed in cross-examination that he diagnosed Mr. Stare with a soft tissue strain, not a disc injury. He agreed that apart from some tenderness, there are no objective signs that Mr. Stare is limited physically.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Dr. Waiz opined that Mr. Stare will likely incur some degeneration of his spine. This will occur as a result of the natural process of aging, but also in part due to the injuries he has sustained.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Dr. Waiz also diagnosed Mr. Stare with post-traumatic anxiety. Mr. Stare first spoke to Dr. Waiz about his anxiety in September 2014, which he experienced when driving. He again mentioned this anxiety on February 2, 2015, and he was advised to seek counselling. He did not. His anxiety became significantly worse in early 2018, after his wrist injury, when he developed panic attacks. He also suffered from insomnia, decreased appetite, and lowered mood. Dr. Waiz prescribed anti-anxiety medication for Mr. Stare.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his 2017 report, Dr. Waiz stated, "[Mr. Stare] is able to undertake his full work duties and recreational activities at this time," referring to September 2016. This is consistent with a functional ability assessment Dr. Waiz completed for Mr. Stare's employer in 2016. He indicated that Mr. Stare had full abilities in all areas including travel to and from work. At trial he was puzzled by these comments because he also indicated on the same form that Mr. Stare needed to work with restrictions. He testified that he was possibly referring to no overtime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Dr. Waiz testified that after the September 2016 visit, Mr. Stare's next visit was on June 23, 2017, when he could not go to work due to back pain. Dr. Waiz testified that this was his first significant flare since September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When questioned about his post-traumatic anxiety assessment in cross-examination, Dr. Waiz agreed that he should have mentioned Mr. Stare's wrist injury as a contributing factor. He opined that the wrist was "the straw that broke the camel's back." Mr. Stare could no longer cope once he sustained his wrist injury. He stated he had likely not disclosed his mental health issues earlier due to his personality.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Dr. Waiz testified that Mr. Stare is doing better, but he is not optimistic there will be a 100% recovery. It is too early to tell how Mr. Stare will do in the long term. His prognosis is guarded.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2. Dr. Chris Babbage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Dr. Babbage, a psychiatrist, testified for the plaintiff. He opined that Mr. Stare has SSD, which is a persistent worry about a symptom or loss of function. To diagnose SSD the individual must have symptoms for at least six months. Dr. Babbage stated that Mr. Stare exhibited physical pain and anxiety following the accident. Being in a car accident he did not cause, being in pain, not working, not wanting to be perceived as a victim, self-medicating, and having a history of a brother with a mental illness all contributed to how Mr. Stare reacted to pain. His symptoms continued beyond six months and therefore Mr. Stare meets the "DSM-V diagnostic criteria for [SSD] with pain as the predominant focus."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Dr. Babbage also diagnosed Mr. Stare with an adjustment disorder that developed after the accident. His adjustment disorder includes symptoms of low self-esteem, sleep issues, and social withdrawal.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Dr. Babbage opined that Mr. Stare's pain is "magnified and distorted by his psychiatric presentation." He testified that Mr. Stare's chronic pain and psychological symptoms are mutually aggravating. His chronic pain is intensely distressing, resulting in anxiety and panic attacks. Mr. Stare worries excessively that his pain will get worse or will not improve.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Mr. Stare used alcohol following the motor vehicle accident in an attempt to reduce his anxiety. Dr. Babbage opined that alcohol can aggravate the many neurovegetative symptoms he experienced such as sleep changes and fatigue, and increase his anxious and depressive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 Stare developed major depressive disorder following his wrist injury in November 2017. Dr. Babbage opined that in the absence of his SSD and adjustment disorder, Mr. Stare would not likely have developed major depressive disorder following the wrist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Dr. Babbage testified that Mr. Stare's prognosis is guarded. He is at long-term risk that his major depressive disorder will worsen, which is exacerbated by his ongoing chronic SSD.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3. Mr. Dominic Shew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Mr. Shew, an occupational therapist, testified for the plaintiff. He conducted a functional capacity evaluation of Mr. Stare focussing on whether he can perform the job duties of an electrical apprentice. Mr. Stare was interviewed on October 18, 2018. Mr. Shew tested Mr. Stare on January 7, 2019 for strength and sustainability over a full workday. He tested musculoskeletal, speed, mobility, flexibility, and durability. He used a variety of assessment tools and compared Mr. Stare's scores to standard scores that are required in the industry, the National Occupational Classification and the United States Department of Labor figures. He also examined physical effort while testing.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Based on objective testing and reporting of subjective symptoms, Mr. Shew opined that Mr. Stare's primary functional limitation is with tasks that apply stress to his lower back. These tasks include prolonged sitting, stooping, crouching, kneeling, and repetitive bending and squatting. He has mild restrictions with tasks that apply stress to his neck and upper back. These include prolonged and repetitive vertical reaching, as well as sustained head and neck positioning.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Mr. Stare's lifting was impressive. He can lift up to 90 pounds and his strength is in the 87th percentile among adult males. He has the strength to handle the loads required in his position. Mr. Shew acknowledged his strength, stating that he therefore focused on Mr. Stare's durability. He testified that Mr. Stare demonstrated he was capable of heavy lifting on an occasional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Mr. Shew stated in his report that "Mr. Stare demonstrated the basic strength and physical ability to perform the demands [of an electrical apprentice] on an occasional basis and thus, be gainfully employed in this position." An occasional basis means no more than 33% of the time. However, when his symptoms flare, Mr. Stare will require breaks to rest, stretch, and change positions, as well as assistance with heavier loads and repetitive tasks.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Mr. Shew opined that Mr. Stare's reduced capacity will likely render him less competitively employable in the job market compared to individuals who do not possess his limitations. He admitted in cross-examination that while Mr. Stare is restricted, he can do his current job. He qualified this by saying he can do his current job because he has some seniority, he is being accommodated, and he avoids certain body positions.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4. Dr. Cecil Hershler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Dr. Hershler testified for the plaintiff. He is a specialist in physical medicine and rehabilitation, otherwise known as a physiatrist. Dr. Hershler originally saw Mr. Stare on September 16, 2015. He saw Mr. Stare again on November 28, 2018. He produced two reports, one dated September 17, 2015, and an addendum dated November 29,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Dr. Hershler noted a number of injuries from the motor vehicle accident which resolved with the aid of stretching. This included Mr. Stare's neck pain. However, Mr. Stare's mid-to-low-back pain and stiffness persisted. Dr. Hershler noted that an inspection of Mr. Stare's spine revealed an unevenness of his pelvis during the September 16, 2015 visit. The right side of his pelvis was elevated by at least one inch when compared to the left side of his pelvis. This was prior to Mr. Stare seeing a chiropractor.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An MRI of his lumbar spine was conducted on April 17, 2015. There was evidence of narrowing of the intervertebral foramina at L5-S1. Dr. Hershler stated in his original report that the "L5 nerve roots were contacted by disc material, but not compressed." He testified that this is an important finding because when an MRI is conducted, the individual is laying down and not putting any weight on the spine. Consequently if there is a disc bulge in this position, to the point that it touches the nerve roots, this would cause irritation and inflammation.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In 2015, Dr. Hershler diagnosed mechanical low back pain due to a malalignment of Mr. Stare's pelvis. He did not diagnose a disc injury although he was of the opinion that the disc bulge touching the nerve root was painful for Mr. Stare, especially when he put weight on his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When Dr. Hershler saw Mr. Stare on November 28, 2018, he noted that the asymmetry of the pelvis relative to the spine had resolved. The only findings of significance in 2018 were tender points with deep palpation into the lumbar paraspinal muscles. Dr. Hershler opined that Mr. Stare continued to experience persistent pain in his lower back, his lumbar spine. He testified in cross-examination that Mr. Stare could improve if he strengthened his core.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In Dr. Hershler's opinion, Mr. Stare will continue to be symptomatic for a least another year. He stated in his addendum report that Mr. Stare "should continue working with appropriate accommodations to avoid heavy lifting, twisting or prolonged standing with the arms elevated." He agreed in cross-examination that Mr. Stare can continue to work as an electrician. He also agreed that Mr. Stare has seen a significant improvement in his back between 2015 and 2018.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5. Dr. Gerard McKenzie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Dr. McKenzie, an orthopedic surgeon, testified for the plaintiff. He saw Mr. Stare on January 15, 2019. Although when he examined Mr. Stare from the front it looked like he had a pelvic malalignment, he did not find any significant asymmetry in his pelvis when he measured him from the back. Dr. McKenzie noted that the April 2015 MRI of his lumbar spine was fairly normal apart from some mild loss of high signal and height at L2-3. He stated that the MRI "indicates an essentially normal lumbar spine." In cross-examination he explained that if one does not have a disc injury, a MRI will generally be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Dr. McKenzie noted that Mr. Stare's low back pain does not radiate into his buttocks or legs. The pain is constant, usually a dull ache. Mr. Stare reported that it is aggravated by lifting, standing, sitting, and twisting. He had no pain squatting during the exam.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Dr. McKenzie observed that Mr. Stare's cervical spine showed a full range of motion. The thoracic spine showed no significant tenderness and there were no obvious abnormalities. Mr. Stare's posture was normal and he had no pain with flexion. Dr. McKenzie reported that Mr. Stare is very flexible.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Dr. McKenzie reported that Mr. Stare's extension was full and that it caused him pain. In cross-examination he explained that pain on extension is a significant finding because extension is a provocative test for facet joint injury. Pain occurs on extension because this motion loads the facet joints.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Mr. Stare demonstrated tenderness at L5-S1 on both the right and left sides on palpation. In the midline, he demonstrated tenderness from L3-L5. The tenderness was predominantly at the L4 level. Dr. McKenzie concluded that his formal diagnosis is non-specific lower back pain, noting that Mr. Stare has not had any investigations other than the MRI to determine the specific pain generators. However, he testified that he looks for consistency which Mr. Stare demonstrated: his history, mechanism of injury, pain complaints, and physical examination were all consistent.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Dr. McKenzie opined that the main pain generators were likely a result of injury to the lower lumbar facet joints caused by the accident. He testified in cross-examination that he will likely undergo faster deterioration and degenerative changes than if he had not sustained this injury to his facet joints.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Although he is an orthopedic surgeon, Dr. McKenzie has experience with chronic pain. He opined that Mr. Stare's psychological factors contribute to his pain. In his experience, almost everyone who has chronic pain develop psychological symptoms later when they realize the pain is not going to go away and they will not get better. In cross-examination he agreed that this could make Mr. Stare more susceptible to pain. He stated that this psychological element is like "pouring gas on the pain fire," but testified that he would defer to a psychiatrist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Dr. McKenzie opined that Mr. Stare's prognosis is poor. Mr. Stare has not improved recently and the accident occurred well over four years ago. In his opinion, Mr. Stare's pain is now chronic. Partly due to his emotional issues, "[p]rocesses have been set up in the spinal cord and brain which will tend to perpetuate his symptoms regardless of what happens at the peripheral level." In testimony he explained that this ongoing pain is similar to patterns that burn into a TV screen even though it is turned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Dr. McKenzie opined that Mr. Stare is likely to have difficulty being competitively employed as an electrician or in any field that involves significant physical labour due to his back pain.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6. Dr. Du-Fay 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Dr. Der, Mr. Stare's treating psychologist, testified for the plaintiff. Dr. Der did not review any of the other medical records prior to writing his medical legal report and simply relied on what Mr. Stare told him regarding his symptoms. He was unaware of the chronology of events including when Mr. Stare began to have panic attacks. He did not provide a basis for the diagnoses he made and he did not consider the frequency and severity of different symptoms. Additionally, Dr. Der did not consider other potential causes of Mr. Stare's psychological symptoms, including his wrist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Given these deficiencies in Dr. Der's report and testimony, I decline to give them any weight.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7. Dr. Joshua Muhlstock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Dr. Muhlstock, a physiatrist, testified for the third party defendant. He assessed Mr. Stare on December 5, 2018. He agreed in cross-examination that he likely examined Mr. Stare's back for approximately 15 minutes. He found Mr. Stare's range of motion to be normal. He did not ask Mr. Stare to lift weights and he did not have him do repetitive tasks.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Dr. Muhlstock found no objective evidence of physical impairment based on his examination of Mr. Stare.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Dr. Muhlstock opined that Mr. Stare likely sustained soft tissue injuries to the cervical spine, upper back and shoulder girdles as well as to his thoracic and lumbosacral spine. Dr. Muhlstock opined that Mr. Stare's soft tissue/musculoskeletal injuries have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Dr. Muhlstock stated in his report that Mr. Stare is capable of re-engaging in all of his pre-accident activities, including his self-care tasks, housekeeping tasks, recreational pursuits, and work duties. He testified that there is no pathology present that would prevent Mr. Stare from being able to do so. He is not at a risk of harming himself.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8. Mr. Robert Carson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Mr. Carson, an economist, testified for the plaintiff with respect to damages. He described his projection of Mr. Stare's past earnings as a simplified calculation, an estimate. He agreed in cross-examination that his quantification of Mr. Stare's earnings to the date of trial did not take a number of factors into account. He did not include contingencies such as the possibility Mr. Stare may not have commenced his level one training course in 2014 absent the accident, he may not have taken one level of classroom training each subsequent year, and Mr. Stare might not have completed his apprenticeship by August 2018 absent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Mr. Carson agreed that he did not take into account a delay for the time Mr. Stare missed from work following his wrist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Mr. Carson had three different projections for the earnings of electrical apprentices, which were set out in Tables 1-3 in his report. In Tables 1-3, Mr. Carson provided the court with full-time, full-year earnings for various categories of workers, all of whom are trained as electricians. Mr. Carson relied on an actuarial multiplier in his Table 4. Mr. Carson testified that he does not use economic multipliers because he prefers to leave it to the court to make the appropriate adjustments for contingencies.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9. Mr. Mark Gosling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Mr. Gosling, an economist, testified for the third party defendant with respect to damages. He was asked to respond to Table 4 of Mr. Carson's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Mr. Gosling explained the difference between actuarial and economic employment income multipliers. He testified that an actuarial multiplier only takes survival rates into account and the 1.5% discount rate to account for investments. He testified that an economic multiplier takes statistical averages for labour market contingencies into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Mr. Gosling confirmed that his actuarial multiplier is virtually identical to that of Mr. Carson. He simply used Mr. Stare's birthdate rather than the end of the year on which to base his calculations. He explained that if the Court were to use this multiplier, appropriate contingencies for labour force participation, unemployment, and part-time work would need to be applied by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Mr. Gosling provided an economic multiplier that has contingencies built in. The labour market contingencies set out by Mr. Gosling are statistical averages for BC males with an apprenticeship certificate or diploma.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III. </w:t>
      </w:r>
      <w:r>
        <w:rPr>
          <w:rFonts w:ascii="arial" w:eastAsia="arial" w:hAnsi="arial" w:cs="arial"/>
          <w:b/>
          <w:color w:val="000000"/>
          <w:sz w:val="20"/>
          <w:u w:val="single"/>
          <w:lang w:val="en-US" w:eastAsia="en-US" w:bidi="ar-SA"/>
        </w:rPr>
        <w:t>Legal Principles - Credibility and Causation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Credibility and Reliability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medical experts relied largely on Mr. Stare's subjective pain complaints. The third party defendant argues that Mr. Stare suffers from soft tissue injuries with very little objective evidence to support his ongoing pain. The third party defendant points out that evidence of Mr. Stare's psychiatric problems are based entirely on his self-reports of his symptoms in the years following the motor vehicle accident until the time of the wrist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To address these concerns, I find the passage of Justice Southin in </w:t>
      </w:r>
      <w:r>
        <w:rPr>
          <w:rFonts w:ascii="arial" w:eastAsia="arial" w:hAnsi="arial" w:cs="arial"/>
          <w:i/>
          <w:color w:val="000000"/>
          <w:sz w:val="20"/>
          <w:lang w:val="en-US" w:eastAsia="en-US" w:bidi="ar-SA"/>
        </w:rPr>
        <w:t>Sekhon v. Gill</w:t>
      </w:r>
      <w:r>
        <w:rPr>
          <w:rFonts w:ascii="arial" w:eastAsia="arial" w:hAnsi="arial" w:cs="arial"/>
          <w:color w:val="000000"/>
          <w:sz w:val="20"/>
          <w:lang w:val="en-US" w:eastAsia="en-US" w:bidi="ar-SA"/>
        </w:rPr>
        <w:t xml:space="preserve"> </w:t>
      </w:r>
      <w:hyperlink r:id="rId101" w:history="1">
        <w:r>
          <w:rPr>
            <w:rFonts w:ascii="arial" w:eastAsia="arial" w:hAnsi="arial" w:cs="arial"/>
            <w:i/>
            <w:color w:val="0077CC"/>
            <w:sz w:val="20"/>
            <w:u w:val="single"/>
            <w:shd w:val="clear" w:color="auto" w:fill="FFFFFF"/>
            <w:lang w:val="en-US" w:eastAsia="en-US" w:bidi="ar-SA"/>
          </w:rPr>
          <w:t>(1991), 61 B.C.L.R. (2d) 273</w:t>
        </w:r>
      </w:hyperlink>
      <w:r>
        <w:rPr>
          <w:rFonts w:ascii="arial" w:eastAsia="arial" w:hAnsi="arial" w:cs="arial"/>
          <w:color w:val="000000"/>
          <w:sz w:val="20"/>
          <w:lang w:val="en-US" w:eastAsia="en-US" w:bidi="ar-SA"/>
        </w:rPr>
        <w:t xml:space="preserve"> (C.A.), adopted by the Court of Appeal in </w:t>
      </w:r>
      <w:r>
        <w:rPr>
          <w:rFonts w:ascii="arial" w:eastAsia="arial" w:hAnsi="arial" w:cs="arial"/>
          <w:i/>
          <w:color w:val="000000"/>
          <w:sz w:val="20"/>
          <w:lang w:val="en-US" w:eastAsia="en-US" w:bidi="ar-SA"/>
        </w:rPr>
        <w:t>Samuel v. Chrysler Credit Canada Ltd.</w:t>
      </w:r>
      <w:r>
        <w:rPr>
          <w:rFonts w:ascii="arial" w:eastAsia="arial" w:hAnsi="arial" w:cs="arial"/>
          <w:color w:val="000000"/>
          <w:sz w:val="20"/>
          <w:lang w:val="en-US" w:eastAsia="en-US" w:bidi="ar-SA"/>
        </w:rPr>
        <w:t xml:space="preserve">, </w:t>
      </w:r>
      <w:hyperlink r:id="rId102" w:history="1">
        <w:r>
          <w:rPr>
            <w:rFonts w:ascii="arial" w:eastAsia="arial" w:hAnsi="arial" w:cs="arial"/>
            <w:i/>
            <w:color w:val="0077CC"/>
            <w:sz w:val="20"/>
            <w:u w:val="single"/>
            <w:shd w:val="clear" w:color="auto" w:fill="FFFFFF"/>
            <w:lang w:val="en-US" w:eastAsia="en-US" w:bidi="ar-SA"/>
          </w:rPr>
          <w:t>2007 BCCA 431</w:t>
        </w:r>
      </w:hyperlink>
      <w:r>
        <w:rPr>
          <w:rFonts w:ascii="arial" w:eastAsia="arial" w:hAnsi="arial" w:cs="arial"/>
          <w:color w:val="000000"/>
          <w:sz w:val="20"/>
          <w:lang w:val="en-US" w:eastAsia="en-US" w:bidi="ar-SA"/>
        </w:rPr>
        <w:t>, helpful: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[49] ... It is trite law--although I note that what is trite law is frequently brushed aside--that in order for an expert to give an opinion the facts upon which he [or she] gives that opinion must be proven by the person who has personal knowledge of them: see </w:t>
      </w:r>
      <w:r>
        <w:rPr>
          <w:rFonts w:ascii="arial" w:eastAsia="arial" w:hAnsi="arial" w:cs="arial"/>
          <w:i/>
          <w:color w:val="000000"/>
          <w:sz w:val="20"/>
          <w:lang w:val="en-US" w:eastAsia="en-US" w:bidi="ar-SA"/>
        </w:rPr>
        <w:t>Enge v. Trerise</w:t>
      </w:r>
      <w:r>
        <w:rPr>
          <w:rFonts w:ascii="arial" w:eastAsia="arial" w:hAnsi="arial" w:cs="arial"/>
          <w:color w:val="000000"/>
          <w:sz w:val="20"/>
          <w:lang w:val="en-US" w:eastAsia="en-US" w:bidi="ar-SA"/>
        </w:rPr>
        <w:t xml:space="preserve">, (1960-62), </w:t>
      </w:r>
      <w:hyperlink r:id="rId103" w:history="1">
        <w:r>
          <w:rPr>
            <w:rFonts w:ascii="arial" w:eastAsia="arial" w:hAnsi="arial" w:cs="arial"/>
            <w:i/>
            <w:color w:val="0077CC"/>
            <w:sz w:val="20"/>
            <w:u w:val="single"/>
            <w:shd w:val="clear" w:color="auto" w:fill="FFFFFF"/>
            <w:lang w:val="en-US" w:eastAsia="en-US" w:bidi="ar-SA"/>
          </w:rPr>
          <w:t>33 W.W.R. 577</w:t>
        </w:r>
      </w:hyperlink>
      <w:r>
        <w:rPr>
          <w:rFonts w:ascii="arial" w:eastAsia="arial" w:hAnsi="arial" w:cs="arial"/>
          <w:color w:val="000000"/>
          <w:sz w:val="20"/>
          <w:lang w:val="en-US" w:eastAsia="en-US" w:bidi="ar-SA"/>
        </w:rPr>
        <w:t xml:space="preserve"> (B.C.C.A.) and </w:t>
      </w:r>
      <w:r>
        <w:rPr>
          <w:rFonts w:ascii="arial" w:eastAsia="arial" w:hAnsi="arial" w:cs="arial"/>
          <w:i/>
          <w:color w:val="000000"/>
          <w:sz w:val="20"/>
          <w:lang w:val="en-US" w:eastAsia="en-US" w:bidi="ar-SA"/>
        </w:rPr>
        <w:t>Lenoard v. British Columbia Hydro and Power Authority</w:t>
      </w:r>
      <w:r>
        <w:rPr>
          <w:rFonts w:ascii="arial" w:eastAsia="arial" w:hAnsi="arial" w:cs="arial"/>
          <w:color w:val="000000"/>
          <w:sz w:val="20"/>
          <w:lang w:val="en-US" w:eastAsia="en-US" w:bidi="ar-SA"/>
        </w:rPr>
        <w:t xml:space="preserve"> (1964), 50 W.W.R. 546 (Wilson, C.J.S.C.), in which that most distinguished judge said (at p. 548):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now enter into an area in which I must consider subjective as well as objective evidence because both were placed before me without objection by counsel. All physicians must I think, rely to some extent on what their patients tell them. If, for instance, a patient had a pain in his neck and went to a doctor... challenging him [or her] to find what, if anything, was the matter with him, then I think that doctor would be in almost as difficult a position as a lawyer would be if all his client told him was that he wanted to sue Tom Jones, and condescended to no further detail. When the doctor relates in court what his patient told him, he may be stating hearsay, but common sense in the courts has long ago rejected the idea that this evidence may not be heard and has accepted the idea that </w:t>
      </w:r>
      <w:r>
        <w:rPr>
          <w:rFonts w:ascii="arial" w:eastAsia="arial" w:hAnsi="arial" w:cs="arial"/>
          <w:color w:val="000000"/>
          <w:sz w:val="20"/>
          <w:u w:val="single"/>
          <w:lang w:val="en-US" w:eastAsia="en-US" w:bidi="ar-SA"/>
        </w:rPr>
        <w:t>it should be listened to, not because it proves by itself the truth of the thing stated by the patient to the doctor, but because it defines to an extent his area of exploration and, if confirmed by the doctor's objective observations and by the patient's evidence given at the trial, may be convincing</w:t>
      </w:r>
      <w:r>
        <w:rPr>
          <w:rFonts w:ascii="arial" w:eastAsia="arial" w:hAnsi="arial" w:cs="arial"/>
          <w:color w:val="000000"/>
          <w:sz w:val="20"/>
          <w:lang w:val="en-US" w:eastAsia="en-US" w:bidi="ar-SA"/>
        </w:rPr>
        <w:t>. I see no other approach to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Wilson C.J.S.C continues: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closely allied to the hypothetical question often put to other expert witnesses where the witness is asked: "Well, granting the existence of such and such facts, what is your opinion?" The doctor says he accepted some statements made by his patient as facts and formed an opinion thereon. Such an opinion, I think, is subject to criticism if the patient does not appear as a witness and corroborate the existence at the time of the symptoms alleged to have been described to the doctor. </w:t>
      </w:r>
      <w:r>
        <w:rPr>
          <w:rFonts w:ascii="arial" w:eastAsia="arial" w:hAnsi="arial" w:cs="arial"/>
          <w:color w:val="000000"/>
          <w:sz w:val="20"/>
          <w:u w:val="single"/>
          <w:lang w:val="en-US" w:eastAsia="en-US" w:bidi="ar-SA"/>
        </w:rPr>
        <w:t>Such an opinion, in so far as it relies on the credibility of the patient, is subject to rejection by a judge or jury who, having heard the patient, do not find him credible</w:t>
      </w:r>
      <w:r>
        <w:rPr>
          <w:rFonts w:ascii="arial" w:eastAsia="arial" w:hAnsi="arial" w:cs="arial"/>
          <w:color w:val="000000"/>
          <w:sz w:val="20"/>
          <w:lang w:val="en-US" w:eastAsia="en-US" w:bidi="ar-SA"/>
        </w:rPr>
        <w:t>. I do not think they are bound by the doctor's opinion as to credibility but they must pay a considerable regard to it, particularly if it is related to associated objective evidence, such, for instance, as evidence of spasm.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Wilson C.J.S.C. concludes: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 do not see any reason why a judge or jury, having heard the expert and the patient, should not, in a proper case, reject the evidence of the expert on the ground that the patient is not a credible witness and that, therefore, the hypothesis on which the expert gave his opinion is not established, having, of course, the fullest regard to the expertise of the doctor and to any objective evidence he has propounded</w:t>
      </w:r>
      <w:r>
        <w:rPr>
          <w:rFonts w:ascii="arial" w:eastAsia="arial" w:hAnsi="arial" w:cs="arial"/>
          <w:color w:val="000000"/>
          <w:sz w:val="20"/>
          <w:lang w:val="en-US" w:eastAsia="en-US" w:bidi="ar-SA"/>
        </w:rPr>
        <w:t>. If this were not so then judges and juries would be completely bound by the opinions of experts as to credibility, and this cannot be.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I also find the following comments from Justice Smith in </w:t>
      </w:r>
      <w:r>
        <w:rPr>
          <w:rFonts w:ascii="arial" w:eastAsia="arial" w:hAnsi="arial" w:cs="arial"/>
          <w:i/>
          <w:color w:val="000000"/>
          <w:sz w:val="20"/>
          <w:lang w:val="en-US" w:eastAsia="en-US" w:bidi="ar-SA"/>
        </w:rPr>
        <w:t>Edmondson v</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Payer</w:t>
      </w:r>
      <w:r>
        <w:rPr>
          <w:rFonts w:ascii="arial" w:eastAsia="arial" w:hAnsi="arial" w:cs="arial"/>
          <w:color w:val="000000"/>
          <w:sz w:val="20"/>
          <w:lang w:val="en-US" w:eastAsia="en-US" w:bidi="ar-SA"/>
        </w:rPr>
        <w:t xml:space="preserve"> </w:t>
      </w:r>
      <w:hyperlink r:id="rId104" w:history="1">
        <w:r>
          <w:rPr>
            <w:rFonts w:ascii="arial" w:eastAsia="arial" w:hAnsi="arial" w:cs="arial"/>
            <w:i/>
            <w:color w:val="0077CC"/>
            <w:sz w:val="20"/>
            <w:u w:val="single"/>
            <w:shd w:val="clear" w:color="auto" w:fill="FFFFFF"/>
            <w:lang w:val="en-US" w:eastAsia="en-US" w:bidi="ar-SA"/>
          </w:rPr>
          <w:t>2011 BCSC 118</w:t>
        </w:r>
      </w:hyperlink>
      <w:r>
        <w:rPr>
          <w:rFonts w:ascii="arial" w:eastAsia="arial" w:hAnsi="arial" w:cs="arial"/>
          <w:color w:val="000000"/>
          <w:sz w:val="20"/>
          <w:lang w:val="en-US" w:eastAsia="en-US" w:bidi="ar-SA"/>
        </w:rPr>
        <w:t xml:space="preserve">, aff'd </w:t>
      </w:r>
      <w:hyperlink r:id="rId105" w:history="1">
        <w:r>
          <w:rPr>
            <w:rFonts w:ascii="arial" w:eastAsia="arial" w:hAnsi="arial" w:cs="arial"/>
            <w:i/>
            <w:color w:val="0077CC"/>
            <w:sz w:val="20"/>
            <w:u w:val="single"/>
            <w:shd w:val="clear" w:color="auto" w:fill="FFFFFF"/>
            <w:lang w:val="en-US" w:eastAsia="en-US" w:bidi="ar-SA"/>
          </w:rPr>
          <w:t>2012 BCCA 114</w:t>
        </w:r>
      </w:hyperlink>
      <w:r>
        <w:rPr>
          <w:rFonts w:ascii="arial" w:eastAsia="arial" w:hAnsi="arial" w:cs="arial"/>
          <w:color w:val="000000"/>
          <w:sz w:val="20"/>
          <w:lang w:val="en-US" w:eastAsia="en-US" w:bidi="ar-SA"/>
        </w:rPr>
        <w:t>, to be instructive: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 Neither the medical profession nor the court can measure or confirm the existence of pain. Some accident victims may consciously or unconsciously exaggerate their pain or become unduly focussed upon it. It is therefore well settled that where a plaintiff's case relies on subjective symptoms with little or no objective evidence of injury, the court must be "exceedingly careful" in its examination of the evidence: </w:t>
      </w:r>
      <w:r>
        <w:rPr>
          <w:rFonts w:ascii="arial" w:eastAsia="arial" w:hAnsi="arial" w:cs="arial"/>
          <w:i/>
          <w:color w:val="000000"/>
          <w:sz w:val="20"/>
          <w:lang w:val="en-US" w:eastAsia="en-US" w:bidi="ar-SA"/>
        </w:rPr>
        <w:t>Price v. Kostryba</w:t>
      </w:r>
      <w:r>
        <w:rPr>
          <w:rFonts w:ascii="arial" w:eastAsia="arial" w:hAnsi="arial" w:cs="arial"/>
          <w:color w:val="000000"/>
          <w:sz w:val="20"/>
          <w:lang w:val="en-US" w:eastAsia="en-US" w:bidi="ar-SA"/>
        </w:rPr>
        <w:t xml:space="preserve"> </w:t>
      </w:r>
      <w:hyperlink r:id="rId106"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xml:space="preserve"> at 399 (S.C.).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However, in my view, it is equally the case that a defendant who accuses a plaintiff of deliberate falsification?an accusation that effectively amounts to one of fraud and perjury?must be prepared to present the court with something more than speculation and innuendo.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third party defendant acknowledged that Mr. Stare was a credible witness, but it challenged his reliability.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 am of the opinion that Mr. Stare was a credible and reliable witness. The fact that he continued to go to school, went on vacations, and remained active post-accident, albeit at a much more modest level, is not evidence that he was not suffering or was not in pain. It establishes that he is a stoic young man who wants to get on with his life. Mr. Stare wants to work in his chosen career. He should not be punished for not giving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Further, there were no substantial discrepancies in Mr. Stare's evidence. I would describe Mr. Stare's ability at trial to recall how the accident affected him, both physically and emotionally, as consistent with and largely corroborated by the evidence of the other witnesses called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Mr. Stare's evidence regarding his lower back pain is supported by the functional capacity evaluation conducted by Mr. Shew and by the physical findings of Dr. McKenzie and Dr. Hershler. With respect to the psychological symptoms, Mr. and Ms. Stare provided consistent testimony regarding his struggles, some of which were confirmed by Dr. Waiz. To the extent that Mr. Stare under reported his psychological struggles to Dr. Waiz prior to his wrist injury, he explained that he did not want to admit to having mental health issues and he did not want his family or work to know. This is a reasonable explanation given the stigma that unfortunately still exists with respect to mental health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Given that I have no concerns with the reliability or credibility of Mr. Stare's testimony or the testimony of Ms. Stare, I accept their testimony regarding Mr. Stare's psychological struggles following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The generally accepted test for causation is the "but for" test. The plaintiff bears the onus of proving, on a balance of probabilities, that but for the defendant's negligent act or omission, the injury would not have occurred: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07"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108"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Causation is found if the injury would not have occurred without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Ediger v. Johnston</w:t>
      </w:r>
      <w:r>
        <w:rPr>
          <w:rFonts w:ascii="arial" w:eastAsia="arial" w:hAnsi="arial" w:cs="arial"/>
          <w:color w:val="000000"/>
          <w:sz w:val="20"/>
          <w:lang w:val="en-US" w:eastAsia="en-US" w:bidi="ar-SA"/>
        </w:rPr>
        <w:t xml:space="preserve">, </w:t>
      </w:r>
      <w:hyperlink r:id="rId109" w:history="1">
        <w:r>
          <w:rPr>
            <w:rFonts w:ascii="arial" w:eastAsia="arial" w:hAnsi="arial" w:cs="arial"/>
            <w:i/>
            <w:color w:val="0077CC"/>
            <w:sz w:val="20"/>
            <w:u w:val="single"/>
            <w:shd w:val="clear" w:color="auto" w:fill="FFFFFF"/>
            <w:lang w:val="en-US" w:eastAsia="en-US" w:bidi="ar-SA"/>
          </w:rPr>
          <w:t>2013 SCC 18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Ediger</w:t>
      </w:r>
      <w:r>
        <w:rPr>
          <w:rFonts w:ascii="arial" w:eastAsia="arial" w:hAnsi="arial" w:cs="arial"/>
          <w:color w:val="000000"/>
          <w:sz w:val="20"/>
          <w:lang w:val="en-US" w:eastAsia="en-US" w:bidi="ar-SA"/>
        </w:rPr>
        <w:t>] at para.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In the seminal decision of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110"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Snell</w:t>
      </w:r>
      <w:r>
        <w:rPr>
          <w:rFonts w:ascii="arial" w:eastAsia="arial" w:hAnsi="arial" w:cs="arial"/>
          <w:color w:val="000000"/>
          <w:sz w:val="20"/>
          <w:lang w:val="en-US" w:eastAsia="en-US" w:bidi="ar-SA"/>
        </w:rPr>
        <w:t xml:space="preserve">], the Supreme Court of Canada sets out the test for causation at 324, the hallmark of which is "a robust and pragmatic approach to the facts to enable an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be drawn even though medical or scientific expertise cannot arrive at a definitive conclusion." The causation test does not demand scientific precision and should not be applied too rigidly. While proof of causation will inevitably require expert evidence, common sense applies: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467.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There is a difference between medical and legal causation. In </w:t>
      </w:r>
      <w:r>
        <w:rPr>
          <w:rFonts w:ascii="arial" w:eastAsia="arial" w:hAnsi="arial" w:cs="arial"/>
          <w:i/>
          <w:color w:val="000000"/>
          <w:sz w:val="20"/>
          <w:lang w:val="en-US" w:eastAsia="en-US" w:bidi="ar-SA"/>
        </w:rPr>
        <w:t>Snell</w:t>
      </w:r>
      <w:r>
        <w:rPr>
          <w:rFonts w:ascii="arial" w:eastAsia="arial" w:hAnsi="arial" w:cs="arial"/>
          <w:color w:val="000000"/>
          <w:sz w:val="20"/>
          <w:lang w:val="en-US" w:eastAsia="en-US" w:bidi="ar-SA"/>
        </w:rPr>
        <w:t xml:space="preserve"> the Court articulated this point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It is not therefore essential that the medical experts provide a firm opinion supporting the plaintiff's theory of causation. Medical experts ordinarily determine causation in terms of certainties whereas a lesser standard is demanded by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A trial judge can find causation in circumstances where the precise mechanism leading to injury cannot be known with certainty: </w:t>
      </w:r>
      <w:r>
        <w:rPr>
          <w:rFonts w:ascii="arial" w:eastAsia="arial" w:hAnsi="arial" w:cs="arial"/>
          <w:i/>
          <w:color w:val="000000"/>
          <w:sz w:val="20"/>
          <w:lang w:val="en-US" w:eastAsia="en-US" w:bidi="ar-SA"/>
        </w:rPr>
        <w:t>Ediger</w:t>
      </w:r>
      <w:r>
        <w:rPr>
          <w:rFonts w:ascii="arial" w:eastAsia="arial" w:hAnsi="arial" w:cs="arial"/>
          <w:color w:val="000000"/>
          <w:sz w:val="20"/>
          <w:lang w:val="en-US" w:eastAsia="en-US" w:bidi="ar-SA"/>
        </w:rPr>
        <w:t xml:space="preserve"> at para. 39. The Supreme Court of Canada described this principle in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111"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at para. 10: "[e]vidence connecting the breach of duty to the injury suffered may permit the judge, depending on the circumstances, to infer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probably caused the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The plaintiff must establish a substantial connection between the tortious conduct and the injury: </w:t>
      </w:r>
      <w:r>
        <w:rPr>
          <w:rFonts w:ascii="arial" w:eastAsia="arial" w:hAnsi="arial" w:cs="arial"/>
          <w:i/>
          <w:color w:val="000000"/>
          <w:sz w:val="20"/>
          <w:lang w:val="en-US" w:eastAsia="en-US" w:bidi="ar-SA"/>
        </w:rPr>
        <w:t>Farrant v. Laktin</w:t>
      </w:r>
      <w:r>
        <w:rPr>
          <w:rFonts w:ascii="arial" w:eastAsia="arial" w:hAnsi="arial" w:cs="arial"/>
          <w:color w:val="000000"/>
          <w:sz w:val="20"/>
          <w:lang w:val="en-US" w:eastAsia="en-US" w:bidi="ar-SA"/>
        </w:rPr>
        <w:t xml:space="preserve">, </w:t>
      </w:r>
      <w:hyperlink r:id="rId112" w:history="1">
        <w:r>
          <w:rPr>
            <w:rFonts w:ascii="arial" w:eastAsia="arial" w:hAnsi="arial" w:cs="arial"/>
            <w:i/>
            <w:color w:val="0077CC"/>
            <w:sz w:val="20"/>
            <w:u w:val="single"/>
            <w:shd w:val="clear" w:color="auto" w:fill="FFFFFF"/>
            <w:lang w:val="en-US" w:eastAsia="en-US" w:bidi="ar-SA"/>
          </w:rPr>
          <w:t>2011 BCCA 336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Farrant</w:t>
      </w:r>
      <w:r>
        <w:rPr>
          <w:rFonts w:ascii="arial" w:eastAsia="arial" w:hAnsi="arial" w:cs="arial"/>
          <w:color w:val="000000"/>
          <w:sz w:val="20"/>
          <w:lang w:val="en-US" w:eastAsia="en-US" w:bidi="ar-SA"/>
        </w:rPr>
        <w:t xml:space="preserve">] at para. 11. However, the robust and pragmatic approach under the but for test allows for there to be more than one cause of an injury. As long at the defendant caused or contributed to the injury in a material way (i.e., beyond the </w:t>
      </w:r>
      <w:r>
        <w:rPr>
          <w:rFonts w:ascii="arial" w:eastAsia="arial" w:hAnsi="arial" w:cs="arial"/>
          <w:i/>
          <w:color w:val="000000"/>
          <w:sz w:val="20"/>
          <w:lang w:val="en-US" w:eastAsia="en-US" w:bidi="ar-SA"/>
        </w:rPr>
        <w:t>de minimis</w:t>
      </w:r>
      <w:r>
        <w:rPr>
          <w:rFonts w:ascii="arial" w:eastAsia="arial" w:hAnsi="arial" w:cs="arial"/>
          <w:color w:val="000000"/>
          <w:sz w:val="20"/>
          <w:lang w:val="en-US" w:eastAsia="en-US" w:bidi="ar-SA"/>
        </w:rPr>
        <w:t xml:space="preserve"> range), the defendant is liable: </w:t>
      </w:r>
      <w:r>
        <w:rPr>
          <w:rFonts w:ascii="arial" w:eastAsia="arial" w:hAnsi="arial" w:cs="arial"/>
          <w:i/>
          <w:color w:val="000000"/>
          <w:sz w:val="20"/>
          <w:lang w:val="en-US" w:eastAsia="en-US" w:bidi="ar-SA"/>
        </w:rPr>
        <w:t>Chappell v. Loyie</w:t>
      </w:r>
      <w:r>
        <w:rPr>
          <w:rFonts w:ascii="arial" w:eastAsia="arial" w:hAnsi="arial" w:cs="arial"/>
          <w:color w:val="000000"/>
          <w:sz w:val="20"/>
          <w:lang w:val="en-US" w:eastAsia="en-US" w:bidi="ar-SA"/>
        </w:rPr>
        <w:t xml:space="preserve">, </w:t>
      </w:r>
      <w:hyperlink r:id="rId113" w:history="1">
        <w:r>
          <w:rPr>
            <w:rFonts w:ascii="arial" w:eastAsia="arial" w:hAnsi="arial" w:cs="arial"/>
            <w:i/>
            <w:color w:val="0077CC"/>
            <w:sz w:val="20"/>
            <w:u w:val="single"/>
            <w:shd w:val="clear" w:color="auto" w:fill="FFFFFF"/>
            <w:lang w:val="en-US" w:eastAsia="en-US" w:bidi="ar-SA"/>
          </w:rPr>
          <w:t>2016 BCSC 1722</w:t>
        </w:r>
      </w:hyperlink>
      <w:r>
        <w:rPr>
          <w:rFonts w:ascii="arial" w:eastAsia="arial" w:hAnsi="arial" w:cs="arial"/>
          <w:color w:val="000000"/>
          <w:sz w:val="20"/>
          <w:lang w:val="en-US" w:eastAsia="en-US" w:bidi="ar-SA"/>
        </w:rPr>
        <w:t xml:space="preserve"> at para.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When a plaintiff makes a claim for emotional injury, there is no requirement that they provide evidence of a specific psychiatric diagnosis before damages are awarded: </w:t>
      </w:r>
      <w:r>
        <w:rPr>
          <w:rFonts w:ascii="arial" w:eastAsia="arial" w:hAnsi="arial" w:cs="arial"/>
          <w:i/>
          <w:color w:val="000000"/>
          <w:sz w:val="20"/>
          <w:lang w:val="en-US" w:eastAsia="en-US" w:bidi="ar-SA"/>
        </w:rPr>
        <w:t>Saadati v</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Moorhead</w:t>
      </w:r>
      <w:r>
        <w:rPr>
          <w:rFonts w:ascii="arial" w:eastAsia="arial" w:hAnsi="arial" w:cs="arial"/>
          <w:color w:val="000000"/>
          <w:sz w:val="20"/>
          <w:lang w:val="en-US" w:eastAsia="en-US" w:bidi="ar-SA"/>
        </w:rPr>
        <w:t xml:space="preserve">, </w:t>
      </w:r>
      <w:hyperlink r:id="rId114" w:history="1">
        <w:r>
          <w:rPr>
            <w:rFonts w:ascii="arial" w:eastAsia="arial" w:hAnsi="arial" w:cs="arial"/>
            <w:i/>
            <w:color w:val="0077CC"/>
            <w:sz w:val="20"/>
            <w:u w:val="single"/>
            <w:shd w:val="clear" w:color="auto" w:fill="FFFFFF"/>
            <w:lang w:val="en-US" w:eastAsia="en-US" w:bidi="ar-SA"/>
          </w:rPr>
          <w:t>2017 SCC 28</w:t>
        </w:r>
      </w:hyperlink>
      <w:r>
        <w:rPr>
          <w:rFonts w:ascii="arial" w:eastAsia="arial" w:hAnsi="arial" w:cs="arial"/>
          <w:color w:val="000000"/>
          <w:sz w:val="20"/>
          <w:lang w:val="en-US" w:eastAsia="en-US" w:bidi="ar-SA"/>
        </w:rPr>
        <w:t xml:space="preserve"> at para. 31; and </w:t>
      </w:r>
      <w:r>
        <w:rPr>
          <w:rFonts w:ascii="arial" w:eastAsia="arial" w:hAnsi="arial" w:cs="arial"/>
          <w:i/>
          <w:color w:val="000000"/>
          <w:sz w:val="20"/>
          <w:lang w:val="en-US" w:eastAsia="en-US" w:bidi="ar-SA"/>
        </w:rPr>
        <w:t>Riley v. Ritsco</w:t>
      </w:r>
      <w:r>
        <w:rPr>
          <w:rFonts w:ascii="arial" w:eastAsia="arial" w:hAnsi="arial" w:cs="arial"/>
          <w:color w:val="000000"/>
          <w:sz w:val="20"/>
          <w:lang w:val="en-US" w:eastAsia="en-US" w:bidi="ar-SA"/>
        </w:rPr>
        <w:t xml:space="preserve">, </w:t>
      </w:r>
      <w:hyperlink r:id="rId115" w:history="1">
        <w:r>
          <w:rPr>
            <w:rFonts w:ascii="arial" w:eastAsia="arial" w:hAnsi="arial" w:cs="arial"/>
            <w:i/>
            <w:color w:val="0077CC"/>
            <w:sz w:val="20"/>
            <w:u w:val="single"/>
            <w:shd w:val="clear" w:color="auto" w:fill="FFFFFF"/>
            <w:lang w:val="en-US" w:eastAsia="en-US" w:bidi="ar-SA"/>
          </w:rPr>
          <w:t>2018 BCCA 366</w:t>
        </w:r>
      </w:hyperlink>
      <w:r>
        <w:rPr>
          <w:rFonts w:ascii="arial" w:eastAsia="arial" w:hAnsi="arial" w:cs="arial"/>
          <w:color w:val="000000"/>
          <w:sz w:val="20"/>
          <w:lang w:val="en-US" w:eastAsia="en-US" w:bidi="ar-SA"/>
        </w:rPr>
        <w:t>. The focus is on the symptoms, not the label to attach to the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Where there is more than one cause of an injury, resulting in a non-divisible injury, the plaintiff need only show that the accident contributed to the injury beyond the </w:t>
      </w:r>
      <w:r>
        <w:rPr>
          <w:rFonts w:ascii="arial" w:eastAsia="arial" w:hAnsi="arial" w:cs="arial"/>
          <w:i/>
          <w:color w:val="000000"/>
          <w:sz w:val="20"/>
          <w:lang w:val="en-US" w:eastAsia="en-US" w:bidi="ar-SA"/>
        </w:rPr>
        <w:t>de minimis</w:t>
      </w:r>
      <w:r>
        <w:rPr>
          <w:rFonts w:ascii="arial" w:eastAsia="arial" w:hAnsi="arial" w:cs="arial"/>
          <w:color w:val="000000"/>
          <w:sz w:val="20"/>
          <w:lang w:val="en-US" w:eastAsia="en-US" w:bidi="ar-SA"/>
        </w:rPr>
        <w:t xml:space="preserve"> range: </w:t>
      </w:r>
      <w:r>
        <w:rPr>
          <w:rFonts w:ascii="arial" w:eastAsia="arial" w:hAnsi="arial" w:cs="arial"/>
          <w:i/>
          <w:color w:val="000000"/>
          <w:sz w:val="20"/>
          <w:lang w:val="en-US" w:eastAsia="en-US" w:bidi="ar-SA"/>
        </w:rPr>
        <w:t>Farrant</w:t>
      </w:r>
      <w:r>
        <w:rPr>
          <w:rFonts w:ascii="arial" w:eastAsia="arial" w:hAnsi="arial" w:cs="arial"/>
          <w:color w:val="000000"/>
          <w:sz w:val="20"/>
          <w:lang w:val="en-US" w:eastAsia="en-US" w:bidi="ar-SA"/>
        </w:rPr>
        <w:t xml:space="preserve"> at paras. 9, 50-51.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The plaintiff bears the onus of proving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cause of his current symptoms: </w:t>
      </w:r>
      <w:r>
        <w:rPr>
          <w:rFonts w:ascii="arial" w:eastAsia="arial" w:hAnsi="arial" w:cs="arial"/>
          <w:i/>
          <w:color w:val="000000"/>
          <w:sz w:val="20"/>
          <w:lang w:val="en-US" w:eastAsia="en-US" w:bidi="ar-SA"/>
        </w:rPr>
        <w:t>Warkentin v</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Riggs</w:t>
      </w:r>
      <w:r>
        <w:rPr>
          <w:rFonts w:ascii="arial" w:eastAsia="arial" w:hAnsi="arial" w:cs="arial"/>
          <w:color w:val="000000"/>
          <w:sz w:val="20"/>
          <w:lang w:val="en-US" w:eastAsia="en-US" w:bidi="ar-SA"/>
        </w:rPr>
        <w:t xml:space="preserve">, </w:t>
      </w:r>
      <w:hyperlink r:id="rId16" w:history="1">
        <w:r>
          <w:rPr>
            <w:rFonts w:ascii="arial" w:eastAsia="arial" w:hAnsi="arial" w:cs="arial"/>
            <w:i/>
            <w:color w:val="0077CC"/>
            <w:sz w:val="20"/>
            <w:u w:val="single"/>
            <w:shd w:val="clear" w:color="auto" w:fill="FFFFFF"/>
            <w:lang w:val="en-US" w:eastAsia="en-US" w:bidi="ar-SA"/>
          </w:rPr>
          <w:t>2010 BCSC 1706</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Factual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I find that Mr. Stare, who was a young man at the time of the accident, was a hard-working, active person who had just embarked upon a career to become a Red Seal electrician. He was in good physical shape prior to the accident, was considering proposing to his girlfriend, and had a promising future ahead of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After the motor vehicle accident, Mr. Stare suffered from neck, shoulder, and mid-to-low-back pain. He also bruised his chest and developed a swollen right knee. Over time his injuries resolved with the exception of his lower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Mr. Stare has been in motor vehicle accidents before. His injuries healed quickly after those collisions. Mr. Stare assumed that he would bounce back from this accident as well. Instead, his lower back pain persisted and he found walking to be difficult. He was unable to go to the gym as he had regularly prior to the accident. He found stretching helpful, but not curative.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Mr. Stare began to worry that he would not be able to return to work in his chosen trade. He was concerned about his lack of income and delayed proposing to his girlfriend. This delay caused some stress in their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Mr. Stare, who had been described as a "happy-go-lucky" person prior to the accident, became anxious and more withdrawn. He advised his doctor that he was experiencing anxiety driving but otherwise did not mention his psychiatric symptoms to his health professionals. Dr. Waiz suggested that he go for counselling but because he did not want to admit to having mental health issues he did not follow this advice. Nevertheless, all the witnesses agreed that he was a changed person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Ms. Stare testified that she observed significant changes in Mr. Stare. He testified, and she confirmed, that he began self-medicating with alcohol in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Mr. Stare received little relief from physiotherapy or massage. However, after seeing Dr. Hershler he decided to try chiropractic treatment. This treatment was successful in realigning his pelvis and provided immediate, although not complete, relief from his back pain. The improvement in his back pain led to him getting back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In August 2016, after two years of not working apart from minimal work through his church</w:t>
      </w:r>
      <w:bookmarkStart w:id="48" w:name="Backward_fnref_fnr-1_0"/>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48"/>
      <w:r>
        <w:rPr>
          <w:rFonts w:ascii="arial" w:eastAsia="arial" w:hAnsi="arial" w:cs="arial"/>
          <w:color w:val="000000"/>
          <w:sz w:val="20"/>
          <w:lang w:val="en-US" w:eastAsia="en-US" w:bidi="ar-SA"/>
        </w:rPr>
        <w:t>, Mr. Stare returned to his electrician apprentice position at ESC Automation. His return to work was successful and he worked between August 2016 and November 2017 with only one flare-up of his back injury. Nevertheless, Mr. Stare continued to have persistent back pain which resulted in his coworkers accommodating him at work. They helped him with tasks such as heavy lifting, overhead work, and repetitive activities. Mr. Stare also needed to take frequent breaks to stretch. This undermined his self-worth and he worried about his ability to continue in his career over the long-term.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 accept Dr. McKenzie's opinion that Mr. Stare's primary pain generators were likely a result of injury to his lower lumbar facet joints caused by the accident. Dr. McKenzie testified in cross-examination that over the decades he will likely undergo faster deterioration and degenerative changes than if he had not had this injury to his facet joints. Dr. Waiz also made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Mr. Shew, the occupational therapist, found that Mr. Stare's physical and functional abilities were average or normal with the exception of sitting, bending, stooping, squatting, crouching, kneeling, and vertical and horizontal reaching. When tested for repetitive movements, his only clinically significant limitation was in repetitive bending.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Mr. Shew found that Mr. Stare had the basic strength and ability to perform the demands of his job and that he can be employed as an electrician. However, Mr. Stare will require breaks to rest, stretch, and change positions, as well as assistance with heavier and repetitive loads.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Mr. Shew opined that Mr. Stare's reduced capacity will likely render him less competitively employable in the job market compared to individuals who do not possess his limitations. Dr. Hershler came to a similar conclusion. I accept this evidence although the extent to which he will be at a disadvantage is not significant.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Dr. Babbage opined that Mr. Stare suffers from SSD, which amplifies his pain, and an adjustment disorder. The third party defendant accepts that Mr. Stare suffers from SSD. Dr. Babbage stated that the combination of SSD and the adjustment disorder puts Mr. Stare at significant increased risk of developing major depressive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In November 2017, Mr. Stare suffered from a wrist injury at work. This unleashed increased fear about his physical abilities and in early 2018, he was diagnosed with a major depressive disorder. Dr. Babbage testified that but for the SSD, Mr. Stare would not have developed this disorder following a wrist injury. Mr. Stare is currently on medication and will be on medication for the foreseeable future for anxiety and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Dr. Waiz confirmed that Mr. Stare developed anxiety as a result of the accident. Dr. Hershler also opined that Mr. Stare developed anxiety and panic attacks that were directly 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Given the consistency of the medical evidence, and because Mr. Stare had symptoms of depression, anxiety and poor coping which began in the months following the August 3, 2014 motor vehicle accident, I accept that Mr. Stare's major depressive disorder was caused by the accident. The accident contributed to his major depressive disorder beyond the </w:t>
      </w:r>
      <w:r>
        <w:rPr>
          <w:rFonts w:ascii="arial" w:eastAsia="arial" w:hAnsi="arial" w:cs="arial"/>
          <w:i/>
          <w:color w:val="000000"/>
          <w:sz w:val="20"/>
          <w:lang w:val="en-US" w:eastAsia="en-US" w:bidi="ar-SA"/>
        </w:rPr>
        <w:t>de minimis</w:t>
      </w:r>
      <w:r>
        <w:rPr>
          <w:rFonts w:ascii="arial" w:eastAsia="arial" w:hAnsi="arial" w:cs="arial"/>
          <w:color w:val="000000"/>
          <w:sz w:val="20"/>
          <w:lang w:val="en-US" w:eastAsia="en-US" w:bidi="ar-SA"/>
        </w:rPr>
        <w:t xml:space="preserve"> range: </w:t>
      </w:r>
      <w:r>
        <w:rPr>
          <w:rFonts w:ascii="arial" w:eastAsia="arial" w:hAnsi="arial" w:cs="arial"/>
          <w:i/>
          <w:color w:val="000000"/>
          <w:sz w:val="20"/>
          <w:lang w:val="en-US" w:eastAsia="en-US" w:bidi="ar-SA"/>
        </w:rPr>
        <w:t>Farrant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In summary, I find that Mr. Stare continues to suffer from lower back pain. Mr. Stare assumed his injuries would resolve over time and continued with his career plans based on this assumption. When his back pain did not resolve, he began experiencing the psychological difficulties. He now has chronic physical and emotional injuries that arose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IV. </w:t>
      </w:r>
      <w:r>
        <w:rPr>
          <w:rFonts w:ascii="arial" w:eastAsia="arial" w:hAnsi="arial" w:cs="arial"/>
          <w:b/>
          <w:color w:val="000000"/>
          <w:sz w:val="20"/>
          <w:u w:val="single"/>
          <w:lang w:val="en-US" w:eastAsia="en-US" w:bidi="ar-SA"/>
        </w:rPr>
        <w:t>Legal principles -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Non-pecuniary damages are awarded to compensate the plaintiff for "pain, suffering, loss of enjoyment of life, and loss of amenities": </w:t>
      </w:r>
      <w:r>
        <w:rPr>
          <w:rFonts w:ascii="arial" w:eastAsia="arial" w:hAnsi="arial" w:cs="arial"/>
          <w:i/>
          <w:color w:val="000000"/>
          <w:sz w:val="20"/>
          <w:lang w:val="en-US" w:eastAsia="en-US" w:bidi="ar-SA"/>
        </w:rPr>
        <w:t>Trites v. Penner</w:t>
      </w:r>
      <w:r>
        <w:rPr>
          <w:rFonts w:ascii="arial" w:eastAsia="arial" w:hAnsi="arial" w:cs="arial"/>
          <w:color w:val="000000"/>
          <w:sz w:val="20"/>
          <w:lang w:val="en-US" w:eastAsia="en-US" w:bidi="ar-SA"/>
        </w:rPr>
        <w:t xml:space="preserve">, </w:t>
      </w:r>
      <w:hyperlink r:id="rId116" w:history="1">
        <w:r>
          <w:rPr>
            <w:rFonts w:ascii="arial" w:eastAsia="arial" w:hAnsi="arial" w:cs="arial"/>
            <w:i/>
            <w:color w:val="0077CC"/>
            <w:sz w:val="20"/>
            <w:u w:val="single"/>
            <w:shd w:val="clear" w:color="auto" w:fill="FFFFFF"/>
            <w:lang w:val="en-US" w:eastAsia="en-US" w:bidi="ar-SA"/>
          </w:rPr>
          <w:t>2010 BCSC 882</w:t>
        </w:r>
      </w:hyperlink>
      <w:r>
        <w:rPr>
          <w:rFonts w:ascii="arial" w:eastAsia="arial" w:hAnsi="arial" w:cs="arial"/>
          <w:color w:val="000000"/>
          <w:sz w:val="20"/>
          <w:lang w:val="en-US" w:eastAsia="en-US" w:bidi="ar-SA"/>
        </w:rPr>
        <w:t xml:space="preserve"> at para. 188 [</w:t>
      </w:r>
      <w:r>
        <w:rPr>
          <w:rFonts w:ascii="arial" w:eastAsia="arial" w:hAnsi="arial" w:cs="arial"/>
          <w:i/>
          <w:color w:val="000000"/>
          <w:sz w:val="20"/>
          <w:lang w:val="en-US" w:eastAsia="en-US" w:bidi="ar-SA"/>
        </w:rPr>
        <w:t>Trites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117"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at para. 46, leave to appeal ref'd </w:t>
      </w:r>
      <w:hyperlink r:id="rId118" w:history="1">
        <w:r>
          <w:rPr>
            <w:rFonts w:ascii="arial" w:eastAsia="arial" w:hAnsi="arial" w:cs="arial"/>
            <w:i/>
            <w:color w:val="0077CC"/>
            <w:sz w:val="20"/>
            <w:u w:val="single"/>
            <w:shd w:val="clear" w:color="auto" w:fill="FFFFFF"/>
            <w:lang w:val="en-US" w:eastAsia="en-US" w:bidi="ar-SA"/>
          </w:rPr>
          <w:t>[2006] S.C.C.A. No. 100</w:t>
        </w:r>
      </w:hyperlink>
      <w:r>
        <w:rPr>
          <w:rFonts w:ascii="arial" w:eastAsia="arial" w:hAnsi="arial" w:cs="arial"/>
          <w:color w:val="000000"/>
          <w:sz w:val="20"/>
          <w:lang w:val="en-US" w:eastAsia="en-US" w:bidi="ar-SA"/>
        </w:rPr>
        <w:t xml:space="preserve">. Non-pecuniary damages must be fair to all parties; fairness is measured against awards made in comparable cases. However, each case depends on its own unique facts: </w:t>
      </w:r>
      <w:r>
        <w:rPr>
          <w:rFonts w:ascii="arial" w:eastAsia="arial" w:hAnsi="arial" w:cs="arial"/>
          <w:i/>
          <w:color w:val="000000"/>
          <w:sz w:val="20"/>
          <w:lang w:val="en-US" w:eastAsia="en-US" w:bidi="ar-SA"/>
        </w:rPr>
        <w:t>Trites</w:t>
      </w:r>
      <w:r>
        <w:rPr>
          <w:rFonts w:ascii="arial" w:eastAsia="arial" w:hAnsi="arial" w:cs="arial"/>
          <w:color w:val="000000"/>
          <w:sz w:val="20"/>
          <w:lang w:val="en-US" w:eastAsia="en-US" w:bidi="ar-SA"/>
        </w:rPr>
        <w:t xml:space="preserve"> at paras. 188-189.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xml:space="preserve">  As set out in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at para. 46, common factors that influence an award of non-pecuniary damages include:</w:t>
      </w:r>
      <w:r>
        <w:rPr>
          <w:rFonts w:ascii="arial" w:eastAsia="arial" w:hAnsi="arial" w:cs="arial"/>
          <w:sz w:val="20"/>
          <w:lang w:val="en-US" w:eastAsia="en-US" w:bidi="ar-SA"/>
        </w:rPr>
        <w:cr/>
      </w:r>
    </w:p>
    <w:p>
      <w:pPr>
        <w:numPr>
          <w:numId w:val="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w:t>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numPr>
          <w:numId w:val="1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1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1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stoicism.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Lindal v. Lindal</w:t>
      </w:r>
      <w:r>
        <w:rPr>
          <w:rFonts w:ascii="arial" w:eastAsia="arial" w:hAnsi="arial" w:cs="arial"/>
          <w:color w:val="000000"/>
          <w:sz w:val="20"/>
          <w:lang w:val="en-US" w:eastAsia="en-US" w:bidi="ar-SA"/>
        </w:rPr>
        <w:t xml:space="preserve">, </w:t>
      </w:r>
      <w:hyperlink r:id="rId119" w:history="1">
        <w:r>
          <w:rPr>
            <w:rFonts w:ascii="arial" w:eastAsia="arial" w:hAnsi="arial" w:cs="arial"/>
            <w:i/>
            <w:color w:val="0077CC"/>
            <w:sz w:val="20"/>
            <w:u w:val="single"/>
            <w:shd w:val="clear" w:color="auto" w:fill="FFFFFF"/>
            <w:lang w:val="en-US" w:eastAsia="en-US" w:bidi="ar-SA"/>
          </w:rPr>
          <w:t>[1981] 2 S.C.R. 629</w:t>
        </w:r>
      </w:hyperlink>
      <w:r>
        <w:rPr>
          <w:rFonts w:ascii="arial" w:eastAsia="arial" w:hAnsi="arial" w:cs="arial"/>
          <w:color w:val="000000"/>
          <w:sz w:val="20"/>
          <w:lang w:val="en-US" w:eastAsia="en-US" w:bidi="ar-SA"/>
        </w:rPr>
        <w:t xml:space="preserve"> at 637, Dickson J. (as he then was) stated that an award for non-pecuniary damages does not depend only on the seriousness of the injury, it also depends on the seriousness of the individual's loss: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amount of an award for non-pecuniary damage should not depend alone upon the seriousness of the injury but upon its ability to ameliorate the condition of the victim considering his or her particular situation. It therefore will not follow that in considering what part of the maximum should be awarded the gravity of the injury alone will be determinative. An appreciation of the individual's loss is the key and the "need for solace will not necessarily correlate with the seriousness of the injury" (Cooper-Stephenson and Saunders, </w:t>
      </w:r>
      <w:r>
        <w:rPr>
          <w:rFonts w:ascii="arial" w:eastAsia="arial" w:hAnsi="arial" w:cs="arial"/>
          <w:i/>
          <w:color w:val="000000"/>
          <w:sz w:val="20"/>
          <w:lang w:val="en-US" w:eastAsia="en-US" w:bidi="ar-SA"/>
        </w:rPr>
        <w:t>Personal Injury Damages in Canada</w:t>
      </w:r>
      <w:r>
        <w:rPr>
          <w:rFonts w:ascii="arial" w:eastAsia="arial" w:hAnsi="arial" w:cs="arial"/>
          <w:color w:val="000000"/>
          <w:sz w:val="20"/>
          <w:lang w:val="en-US" w:eastAsia="en-US" w:bidi="ar-SA"/>
        </w:rPr>
        <w:t xml:space="preserve"> (1981), at p. 373). In dealing with an award of this nature it will be impossible to develop a "tariff". An award will vary in each case "to meet the specific circumstances of the individual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At 639-640, the Supreme Court of Canada further held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purpose of making the award is to substitute other amenities for those that have been lost, not to compensate for the loss of something with a money value. Since the primary function of the law of damages is compensation, it is reasonable that awards for non-pecuniary loss, which do not fulfill this function, should be moderate.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xml:space="preserve">  A fundamental principle of tort law is that, to the extent a monetary award can accomplish it, a plaintiff should be placed in the same position he or she would have been in had the accident not occurred, not in a better position: </w:t>
      </w:r>
      <w:r>
        <w:rPr>
          <w:rFonts w:ascii="arial" w:eastAsia="arial" w:hAnsi="arial" w:cs="arial"/>
          <w:i/>
          <w:color w:val="000000"/>
          <w:sz w:val="20"/>
          <w:lang w:val="en-US" w:eastAsia="en-US" w:bidi="ar-SA"/>
        </w:rPr>
        <w:t>Parypa v. Wickware</w:t>
      </w:r>
      <w:r>
        <w:rPr>
          <w:rFonts w:ascii="arial" w:eastAsia="arial" w:hAnsi="arial" w:cs="arial"/>
          <w:color w:val="000000"/>
          <w:sz w:val="20"/>
          <w:lang w:val="en-US" w:eastAsia="en-US" w:bidi="ar-SA"/>
        </w:rPr>
        <w:t xml:space="preserve">, </w:t>
      </w:r>
      <w:hyperlink r:id="rId120" w:history="1">
        <w:r>
          <w:rPr>
            <w:rFonts w:ascii="arial" w:eastAsia="arial" w:hAnsi="arial" w:cs="arial"/>
            <w:i/>
            <w:color w:val="0077CC"/>
            <w:sz w:val="20"/>
            <w:u w:val="single"/>
            <w:shd w:val="clear" w:color="auto" w:fill="FFFFFF"/>
            <w:lang w:val="en-US" w:eastAsia="en-US" w:bidi="ar-SA"/>
          </w:rPr>
          <w:t>1999 BCCA 88</w:t>
        </w:r>
      </w:hyperlink>
      <w:r>
        <w:rPr>
          <w:rFonts w:ascii="arial" w:eastAsia="arial" w:hAnsi="arial" w:cs="arial"/>
          <w:color w:val="000000"/>
          <w:sz w:val="20"/>
          <w:lang w:val="en-US" w:eastAsia="en-US" w:bidi="ar-SA"/>
        </w:rPr>
        <w:t xml:space="preserve"> at para.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The plaintiff was a relatively young man at the time of the accident and now faces his adult life with chronic pain, amplified by his SSD. The accident has had a major impact on the plaintiff's life. He has ongoing pain and disability in his lower back. He suffers from anxiety, major depressive disorder, and SSD as a result of his pain and from being off work for approximately two years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It is clear that prior to the accident the plaintiff was a healthy young man who was physically active. It is also clear that Mr. Stare immensely enjoyed people, was engaged socially and was active in his church.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Evidence was led by Mr. Stare, his wife, and his friend regarding his activities after the accident. The pain largely prevented him from being able to participate in sports and outdoor activities, which were a significant part of his pre-accident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The accident delayed his marriage. Mr. Stare is now married and would like to start a family but he is still concerned about his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Although Mr. Stare still enjoys time spent with family and friends, and continues to travel, his chronic pain and psychological issues intrude and lessen his ability to enjoy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Following the accident, Mr. Stare's persistent lower-back pain prevented him from working in his chosen field for two years. Mr. Stare is now back at work, and while he continues to be in pain, he is able to work full-time with accommodations. The accommodations in the workplace cause him concern. However, Mr. Stare keeps his pain and anxiety largely to himself, and presents as a stoic young man overall.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xml:space="preserve">  It would be improper to penalize Mr. Stare for his stoicism, a factor that should not, generally speaking, be held against a plaintiff: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at para. 46; </w:t>
      </w:r>
      <w:r>
        <w:rPr>
          <w:rFonts w:ascii="arial" w:eastAsia="arial" w:hAnsi="arial" w:cs="arial"/>
          <w:i/>
          <w:color w:val="000000"/>
          <w:sz w:val="20"/>
          <w:lang w:val="en-US" w:eastAsia="en-US" w:bidi="ar-SA"/>
        </w:rPr>
        <w:t>Clark v. Kouba</w:t>
      </w:r>
      <w:r>
        <w:rPr>
          <w:rFonts w:ascii="arial" w:eastAsia="arial" w:hAnsi="arial" w:cs="arial"/>
          <w:color w:val="000000"/>
          <w:sz w:val="20"/>
          <w:lang w:val="en-US" w:eastAsia="en-US" w:bidi="ar-SA"/>
        </w:rPr>
        <w:t xml:space="preserve">, </w:t>
      </w:r>
      <w:hyperlink r:id="rId121" w:history="1">
        <w:r>
          <w:rPr>
            <w:rFonts w:ascii="arial" w:eastAsia="arial" w:hAnsi="arial" w:cs="arial"/>
            <w:i/>
            <w:color w:val="0077CC"/>
            <w:sz w:val="20"/>
            <w:u w:val="single"/>
            <w:shd w:val="clear" w:color="auto" w:fill="FFFFFF"/>
            <w:lang w:val="en-US" w:eastAsia="en-US" w:bidi="ar-SA"/>
          </w:rPr>
          <w:t>2014 BCCA 50</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122"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 xml:space="preserve"> at para. 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Counsel referred me to a number of cases regarding non-pecuniary losses. These cases differ regarding the age of the plaintiff, their pre-accident abilities, and their ability to enjoy life in the future. They provide guidance but each case turns on its own particular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In summary, Mr. Stare was 20 years old and was embarking on his path to becoming an electrician at the time of the accident. The accident left him with permanent lower back pain and a compendium of psychological issues. Nevertheless, now that he is receiving treatment for his psychological issues, his health has improved.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In these circumstances, I consider an appropriate award of non-pecuniary damages to be $120,000. This amount recognizes the plaintiff's ongoing pain, both physical and psychological. It also recognizes his diminished enjoyment of life, the affects the accident has had on his relationship with Ms. Stare, and the longevity of his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xml:space="preserve">  Where the court is satisfied that the plaintiff suffered injuries due to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 is entitled to damages both for the wage loss he or she suffered from the date of injury to the beginning of the trial, and for the loss in future earning capacity due to his injuries.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1. 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xml:space="preserve">  To determine compensation for past wage loss, I must consider what the plaintiff likely would have earned, not what he could have earned, if the injury had not been sustained: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123"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at para.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Mr. Carson concluded that the plaintiff's gross earnings from January 1, 2014, to trial, absent the accident, would have been $192,245. The third party defendant argues, and I agree, that the maximum gross past income loss can be calculated by subtracting the plaintiff's actual gross earnings of $126,987 (taken from his T4s) from Mr. Carson's total of $192,245. This results in a maximum gross loss of $65,258.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The third party defendant submits that it is appropriate to reduce this amount because Mr. Stare was unemployed and not enrolled in school from February 6, 2015, to September 8, 2015. In addition, Mr. Stare was only employed with his church working eight hours per week from April 29, 2016, to August 22, 2016. The third party defendant seeks a reduction of $15,000 for the plaintiff's failure to seek alternative employment during these periods of time to mitigate his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xml:space="preserve">  This Court laid out the mitigation principle in </w:t>
      </w:r>
      <w:r>
        <w:rPr>
          <w:rFonts w:ascii="arial" w:eastAsia="arial" w:hAnsi="arial" w:cs="arial"/>
          <w:i/>
          <w:color w:val="000000"/>
          <w:sz w:val="20"/>
          <w:lang w:val="en-US" w:eastAsia="en-US" w:bidi="ar-SA"/>
        </w:rPr>
        <w:t>Gilbert v. Bottle</w:t>
      </w:r>
      <w:r>
        <w:rPr>
          <w:rFonts w:ascii="arial" w:eastAsia="arial" w:hAnsi="arial" w:cs="arial"/>
          <w:color w:val="000000"/>
          <w:sz w:val="20"/>
          <w:lang w:val="en-US" w:eastAsia="en-US" w:bidi="ar-SA"/>
        </w:rPr>
        <w:t xml:space="preserve">, </w:t>
      </w:r>
      <w:hyperlink r:id="rId124" w:history="1">
        <w:r>
          <w:rPr>
            <w:rFonts w:ascii="arial" w:eastAsia="arial" w:hAnsi="arial" w:cs="arial"/>
            <w:i/>
            <w:color w:val="0077CC"/>
            <w:sz w:val="20"/>
            <w:u w:val="single"/>
            <w:shd w:val="clear" w:color="auto" w:fill="FFFFFF"/>
            <w:lang w:val="en-US" w:eastAsia="en-US" w:bidi="ar-SA"/>
          </w:rPr>
          <w:t>2011 BCSC 1389</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[202] Once a plaintiff has established that the defendant is liable for causing his or her injuries, the burden of proof shifts to the defendant. To succeed on a mitigation defence, the defence must prove that the plaintiff acted unreasonably and reasonable conduct would have reduced or eliminated the loss. Whether the plaintiff acted reasonably is a factual question. Its answer depends on consideration of all of the surrounding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I agree with the third party defendant that Mr. Stare could have done more to try to find sedentary work when he could not do the physical work of an electrician apprentice. However, I also acknowledge that he may not have mitigated partially due to his psychological struggles.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In these circumstances, I find that Mr. Stare's past income award should be reduced by 15% due to his failure to mitigate his losses between August 2014 and August 2016. I have not reduced it further due to his psychological issues. This results in an award of $55,469 for past wage loss.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2.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xml:space="preserve">  In determining a claim for loss of future earning capacity, the court must consider two questions: </w:t>
      </w:r>
      <w:r>
        <w:rPr>
          <w:rFonts w:ascii="arial" w:eastAsia="arial" w:hAnsi="arial" w:cs="arial"/>
          <w:i/>
          <w:color w:val="000000"/>
          <w:sz w:val="20"/>
          <w:lang w:val="en-US" w:eastAsia="en-US" w:bidi="ar-SA"/>
        </w:rPr>
        <w:t>Hoy v. Williams</w:t>
      </w:r>
      <w:r>
        <w:rPr>
          <w:rFonts w:ascii="arial" w:eastAsia="arial" w:hAnsi="arial" w:cs="arial"/>
          <w:color w:val="000000"/>
          <w:sz w:val="20"/>
          <w:lang w:val="en-US" w:eastAsia="en-US" w:bidi="ar-SA"/>
        </w:rPr>
        <w:t xml:space="preserve">, </w:t>
      </w:r>
      <w:hyperlink r:id="rId125" w:history="1">
        <w:r>
          <w:rPr>
            <w:rFonts w:ascii="arial" w:eastAsia="arial" w:hAnsi="arial" w:cs="arial"/>
            <w:i/>
            <w:color w:val="0077CC"/>
            <w:sz w:val="20"/>
            <w:u w:val="single"/>
            <w:shd w:val="clear" w:color="auto" w:fill="FFFFFF"/>
            <w:lang w:val="en-US" w:eastAsia="en-US" w:bidi="ar-SA"/>
          </w:rPr>
          <w:t>2014 BCSC 234</w:t>
        </w:r>
      </w:hyperlink>
      <w:r>
        <w:rPr>
          <w:rFonts w:ascii="arial" w:eastAsia="arial" w:hAnsi="arial" w:cs="arial"/>
          <w:color w:val="000000"/>
          <w:sz w:val="20"/>
          <w:lang w:val="en-US" w:eastAsia="en-US" w:bidi="ar-SA"/>
        </w:rPr>
        <w:t xml:space="preserve"> at para. 153 [</w:t>
      </w:r>
      <w:r>
        <w:rPr>
          <w:rFonts w:ascii="arial" w:eastAsia="arial" w:hAnsi="arial" w:cs="arial"/>
          <w:i/>
          <w:color w:val="000000"/>
          <w:sz w:val="20"/>
          <w:lang w:val="en-US" w:eastAsia="en-US" w:bidi="ar-SA"/>
        </w:rPr>
        <w:t>Hoy</w:t>
      </w:r>
      <w:r>
        <w:rPr>
          <w:rFonts w:ascii="arial" w:eastAsia="arial" w:hAnsi="arial" w:cs="arial"/>
          <w:color w:val="000000"/>
          <w:sz w:val="20"/>
          <w:lang w:val="en-US" w:eastAsia="en-US" w:bidi="ar-SA"/>
        </w:rPr>
        <w:t>]. The first question is: has the plaintiff's earning capacity been impaired by his or her injuries? This is measured by whether there is sufficient evidence that there exists a real and substantial possibility of future income loss. If yes, the second question is: what compensation should be awarded for the resulting financial harm that will accrue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xml:space="preserve">  The law regarding loss of future earning capacity was further expanded upon in </w:t>
      </w:r>
      <w:r>
        <w:rPr>
          <w:rFonts w:ascii="arial" w:eastAsia="arial" w:hAnsi="arial" w:cs="arial"/>
          <w:i/>
          <w:color w:val="000000"/>
          <w:sz w:val="20"/>
          <w:lang w:val="en-US" w:eastAsia="en-US" w:bidi="ar-SA"/>
        </w:rPr>
        <w:t>Hoy</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[153] ...The assessment of loss must be based on the evidence, and not an application of a purely mathematical calculation. The appropriate means of assessment will vary from case to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[154] The assessment of damages is a matter of judgment, not calculation.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[155] Insofar as possible, the plaintiff should be put in the position he or she would have been in but for the injuries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essential task of the Court is to compare the likely future of the plaintiff's working life if the accident had not happened with the plaintiff's likely future working life after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Hoy</w:t>
      </w:r>
      <w:r>
        <w:rPr>
          <w:rFonts w:ascii="arial" w:eastAsia="arial" w:hAnsi="arial" w:cs="arial"/>
          <w:color w:val="000000"/>
          <w:sz w:val="20"/>
          <w:lang w:val="en-US" w:eastAsia="en-US" w:bidi="ar-SA"/>
        </w:rPr>
        <w:t xml:space="preserve">, Justice Kent explained there are two possible approaches when assessing loss of future earning capacity: the "earnings approach" from </w:t>
      </w:r>
      <w:r>
        <w:rPr>
          <w:rFonts w:ascii="arial" w:eastAsia="arial" w:hAnsi="arial" w:cs="arial"/>
          <w:i/>
          <w:color w:val="000000"/>
          <w:sz w:val="20"/>
          <w:lang w:val="en-US" w:eastAsia="en-US" w:bidi="ar-SA"/>
        </w:rPr>
        <w:t>Pallos v. Insurance Corp. of British Columbia</w:t>
      </w:r>
      <w:r>
        <w:rPr>
          <w:rFonts w:ascii="arial" w:eastAsia="arial" w:hAnsi="arial" w:cs="arial"/>
          <w:color w:val="000000"/>
          <w:sz w:val="20"/>
          <w:lang w:val="en-US" w:eastAsia="en-US" w:bidi="ar-SA"/>
        </w:rPr>
        <w:t xml:space="preserve"> </w:t>
      </w:r>
      <w:hyperlink r:id="rId126"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(C.A.), and the "capital asset approach"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127"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both of which are correct. The earnings approach is more useful when the loss is easily measurable: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128"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32. The capital asset approach is more appropriate where the loss is not measurable in a pecuniary way: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xml:space="preserve">  Compensation is to be based on a real and substantial possibility, not on mere speculation. As Kent J. stated in </w:t>
      </w:r>
      <w:r>
        <w:rPr>
          <w:rFonts w:ascii="arial" w:eastAsia="arial" w:hAnsi="arial" w:cs="arial"/>
          <w:i/>
          <w:color w:val="000000"/>
          <w:sz w:val="20"/>
          <w:lang w:val="en-US" w:eastAsia="en-US" w:bidi="ar-SA"/>
        </w:rPr>
        <w:t>Hoy</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[141] Compensation for past loss of earning capacity is to be based on what the plaintiff would have, not could have, earned but for the injury that was sustained: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123"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at para. 30; </w:t>
      </w:r>
      <w:r>
        <w:rPr>
          <w:rFonts w:ascii="arial" w:eastAsia="arial" w:hAnsi="arial" w:cs="arial"/>
          <w:i/>
          <w:color w:val="000000"/>
          <w:sz w:val="20"/>
          <w:lang w:val="en-US" w:eastAsia="en-US" w:bidi="ar-SA"/>
        </w:rPr>
        <w:t>M.B. v. British Columbia</w:t>
      </w:r>
      <w:r>
        <w:rPr>
          <w:rFonts w:ascii="arial" w:eastAsia="arial" w:hAnsi="arial" w:cs="arial"/>
          <w:color w:val="000000"/>
          <w:sz w:val="20"/>
          <w:lang w:val="en-US" w:eastAsia="en-US" w:bidi="ar-SA"/>
        </w:rPr>
        <w:t xml:space="preserve">, </w:t>
      </w:r>
      <w:hyperlink r:id="rId129" w:history="1">
        <w:r>
          <w:rPr>
            <w:rFonts w:ascii="arial" w:eastAsia="arial" w:hAnsi="arial" w:cs="arial"/>
            <w:i/>
            <w:color w:val="0077CC"/>
            <w:sz w:val="20"/>
            <w:u w:val="single"/>
            <w:shd w:val="clear" w:color="auto" w:fill="FFFFFF"/>
            <w:lang w:val="en-US" w:eastAsia="en-US" w:bidi="ar-SA"/>
          </w:rPr>
          <w:t>2003 SCC 53</w:t>
        </w:r>
      </w:hyperlink>
      <w:r>
        <w:rPr>
          <w:rFonts w:ascii="arial" w:eastAsia="arial" w:hAnsi="arial" w:cs="arial"/>
          <w:color w:val="000000"/>
          <w:sz w:val="20"/>
          <w:lang w:val="en-US" w:eastAsia="en-US" w:bidi="ar-SA"/>
        </w:rPr>
        <w:t xml:space="preserve"> at para. 49. The burden of proof of actual past events is a balance of probabilities. An assessment of loss of both past and future earning capacity involves consideration of hypothetical events. The plaintiff is not required to prove these hypothetical events on a balance of probabilities. The future or hypothetical possibility will be taken into consideration as long as it is a real and substantial possibility and not mere speculation: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at para. 27; </w:t>
      </w:r>
      <w:r>
        <w:rPr>
          <w:rFonts w:ascii="arial" w:eastAsia="arial" w:hAnsi="arial" w:cs="arial"/>
          <w:i/>
          <w:color w:val="000000"/>
          <w:sz w:val="20"/>
          <w:lang w:val="en-US" w:eastAsia="en-US" w:bidi="ar-SA"/>
        </w:rPr>
        <w:t>Morlan v. Barrett</w:t>
      </w:r>
      <w:r>
        <w:rPr>
          <w:rFonts w:ascii="arial" w:eastAsia="arial" w:hAnsi="arial" w:cs="arial"/>
          <w:color w:val="000000"/>
          <w:sz w:val="20"/>
          <w:lang w:val="en-US" w:eastAsia="en-US" w:bidi="ar-SA"/>
        </w:rPr>
        <w:t xml:space="preserve">, </w:t>
      </w:r>
      <w:hyperlink r:id="rId130" w:history="1">
        <w:r>
          <w:rPr>
            <w:rFonts w:ascii="arial" w:eastAsia="arial" w:hAnsi="arial" w:cs="arial"/>
            <w:i/>
            <w:color w:val="0077CC"/>
            <w:sz w:val="20"/>
            <w:u w:val="single"/>
            <w:shd w:val="clear" w:color="auto" w:fill="FFFFFF"/>
            <w:lang w:val="en-US" w:eastAsia="en-US" w:bidi="ar-SA"/>
          </w:rPr>
          <w:t>2012 BCCA 66</w:t>
        </w:r>
      </w:hyperlink>
      <w:r>
        <w:rPr>
          <w:rFonts w:ascii="arial" w:eastAsia="arial" w:hAnsi="arial" w:cs="arial"/>
          <w:color w:val="000000"/>
          <w:sz w:val="20"/>
          <w:lang w:val="en-US" w:eastAsia="en-US" w:bidi="ar-SA"/>
        </w:rPr>
        <w:t xml:space="preserve"> at para.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provides the following considerations to take into account when assessing damages for loss of earning capacity under the capital assessment approach. This non-exhaustive list asks whether:</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him, had he not been injured; and</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The extent to which Mr. Stare's future earning capacity has been impacted by his injuries was the most contentious issue at trial. Mr. Stare seeks $421,105 under this head of damages. The third party defendant submits that an award of $0 to $37,345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The third party defendant argues that given Mr. Stare's young age and the longevity of the claim, statistical averages for the labour market contingencies should be applied to any future loss claim that is made out. This is the economic employment income multiplier. To the extent that I rely upon multipliers when using the capital assessment approach, I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Mr. Stare has not been rendered less capable overall from earning income from all types of employment. However, he will likely be restricted from taking on more onerous physical jobs than that of an electrician. Although he may be able to do more sedentary positions, he testified that he is not interested in office work. That was a primary reason why he chose the electrical trade.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Mr. Stare is an above average employee and a valued member of the team at ESC Automation. He now must rely upon the goodwill of his colleagues and the understanding of his employer in permitting him to work with accommodations.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Mr. Stare believes that he will be forced to stay with his present employer because he fears that other employers will not grant him similar accommodations. He believes he will not be successful in a union labour pool because he believes he will not be called back once the employer is aware that he has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I do not agree with the plaintiff's pessimistic view. However, I do agree that the plaintiff suffers from these fears. More will be said about this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What is a real risk however is that if Mr. Stare injures himself again, there is a risk of increased anxiety and depression, as well as further physical impairments. This could result in an additional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xml:space="preserve">  The capital assessment approach is preferable because Mr. Stare's loss of earning capacity cannot be determined with any mathematical precision. Mr. Stare's loss is not easily measurable: </w:t>
      </w:r>
      <w:r>
        <w:rPr>
          <w:rFonts w:ascii="arial" w:eastAsia="arial" w:hAnsi="arial" w:cs="arial"/>
          <w:i/>
          <w:color w:val="000000"/>
          <w:sz w:val="20"/>
          <w:lang w:val="en-US" w:eastAsia="en-US" w:bidi="ar-SA"/>
        </w:rPr>
        <w:t>Westbroek v. Brizuela</w:t>
      </w:r>
      <w:r>
        <w:rPr>
          <w:rFonts w:ascii="arial" w:eastAsia="arial" w:hAnsi="arial" w:cs="arial"/>
          <w:color w:val="000000"/>
          <w:sz w:val="20"/>
          <w:lang w:val="en-US" w:eastAsia="en-US" w:bidi="ar-SA"/>
        </w:rPr>
        <w:t xml:space="preserve">, </w:t>
      </w:r>
      <w:hyperlink r:id="rId131" w:history="1">
        <w:r>
          <w:rPr>
            <w:rFonts w:ascii="arial" w:eastAsia="arial" w:hAnsi="arial" w:cs="arial"/>
            <w:i/>
            <w:color w:val="0077CC"/>
            <w:sz w:val="20"/>
            <w:u w:val="single"/>
            <w:shd w:val="clear" w:color="auto" w:fill="FFFFFF"/>
            <w:lang w:val="en-US" w:eastAsia="en-US" w:bidi="ar-SA"/>
          </w:rPr>
          <w:t>2014 BCCA 48</w:t>
        </w:r>
      </w:hyperlink>
      <w:r>
        <w:rPr>
          <w:rFonts w:ascii="arial" w:eastAsia="arial" w:hAnsi="arial" w:cs="arial"/>
          <w:color w:val="000000"/>
          <w:sz w:val="20"/>
          <w:lang w:val="en-US" w:eastAsia="en-US" w:bidi="ar-SA"/>
        </w:rPr>
        <w:t xml:space="preserve"> at para. 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It is possible that the plaintiff will be restricted in seeking advancements in the future. It is likely the plaintiff will not be able to sustain physical work as he gets older because his natural aging process will likely progress more quickly due to his underlying back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However, given his work ethic and his ability to work well with teams, it is also likely that Mr. Stare will move into a supervisory or management role as he gets more experience. Mr. Stare testified that it took one of his colleagues about 20 years to get enough experience to be a supervisor. However I note that his cousin became a supervisor after, by my calculation, eight or fewer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As stated above, Mr. Stare harbours insecurity about his limitations. He is also very sensitive about his mental health issues. These psychological issues make him less valuable to himself although with continued treatment I do not find that they will make him less valuable as an employee.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In terms of his back injury, Mr. Stare is less competitively employable, although only slightly so. He will likely need the types of accommodations that he is currently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Based on the above, there is a real and substantial possibility that Mr. Stare will suffer a loss in his future earning capacity. He has suffered a small but material diminution in his future earning capacity. Applying the loss of capital asset approach, based on all the circumstances, I find that Mr. Stare is entitled to $250,000 for his loss of future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xml:space="preserve">  A plaintiff is entitled to compensation for costs of future care for the harm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These costs are based on what is reasonably necessary to restore the plaintiff to his or her pre-accident condition, according to the medical evidence to preserve and promote the plaintiff's physical and mental health: </w:t>
      </w:r>
      <w:r>
        <w:rPr>
          <w:rFonts w:ascii="arial" w:eastAsia="arial" w:hAnsi="arial" w:cs="arial"/>
          <w:i/>
          <w:color w:val="000000"/>
          <w:sz w:val="20"/>
          <w:lang w:val="en-US" w:eastAsia="en-US" w:bidi="ar-SA"/>
        </w:rPr>
        <w:t>Gignac v. Insurance Corporation of British Columbia</w:t>
      </w:r>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2012 BCCA 351</w:t>
        </w:r>
      </w:hyperlink>
      <w:r>
        <w:rPr>
          <w:rFonts w:ascii="arial" w:eastAsia="arial" w:hAnsi="arial" w:cs="arial"/>
          <w:color w:val="000000"/>
          <w:sz w:val="20"/>
          <w:lang w:val="en-US" w:eastAsia="en-US" w:bidi="ar-SA"/>
        </w:rPr>
        <w:t xml:space="preserve"> at paras. 29-30, citing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33"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134"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Dickson J., as he then was, discussed the rationale behind cost of future care awards at 241-242: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theory a claim for the cost of future care is a pecuniary claim for the amount which may reasonably be expected to be expended in putting the injured party in the position he would have been in if he had not sustained the injury. Obviously, a plaintiff who has been gravely and permanently impaired can never be put in the position he would have been in if the tort had not been committed. To this extent, </w:t>
      </w:r>
      <w:r>
        <w:rPr>
          <w:rFonts w:ascii="arial" w:eastAsia="arial" w:hAnsi="arial" w:cs="arial"/>
          <w:i/>
          <w:color w:val="000000"/>
          <w:sz w:val="20"/>
          <w:lang w:val="en-US" w:eastAsia="en-US" w:bidi="ar-SA"/>
        </w:rPr>
        <w:t>restitutio in integrum</w:t>
      </w:r>
      <w:r>
        <w:rPr>
          <w:rFonts w:ascii="arial" w:eastAsia="arial" w:hAnsi="arial" w:cs="arial"/>
          <w:color w:val="000000"/>
          <w:sz w:val="20"/>
          <w:lang w:val="en-US" w:eastAsia="en-US" w:bidi="ar-SA"/>
        </w:rPr>
        <w:t xml:space="preserve"> is not possible. Money is a barren substitute for health and personal happiness, but to the exent [sic] within reason that money can be used to sustain or improve the </w:t>
      </w:r>
      <w:r>
        <w:rPr>
          <w:rFonts w:ascii="arial" w:eastAsia="arial" w:hAnsi="arial" w:cs="arial"/>
          <w:color w:val="000000"/>
          <w:sz w:val="20"/>
          <w:u w:val="single"/>
          <w:lang w:val="en-US" w:eastAsia="en-US" w:bidi="ar-SA"/>
        </w:rPr>
        <w:t>mental</w:t>
      </w:r>
      <w:r>
        <w:rPr>
          <w:rFonts w:ascii="arial" w:eastAsia="arial" w:hAnsi="arial" w:cs="arial"/>
          <w:color w:val="000000"/>
          <w:sz w:val="20"/>
          <w:lang w:val="en-US" w:eastAsia="en-US" w:bidi="ar-SA"/>
        </w:rPr>
        <w:t xml:space="preserve"> or physical health of the injured person it may properly form part of a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The third party defendant accepts that Mr. Stare will require further counselling and antidepressant medication to treat his SSD. They estimate such costs to be $5,000. The plaintiff makes a claim for $77,299.28 under this head of damages. This includes the cost of a physical trainer on an ongoing basis, a recommended topical anti-inflammatory cream, visits with a registered psychologist on a long-term basis, sessions with the kinesiologist, physiotherapy, and a gym membership.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I agreed that Mr. Stare will benefit from seeing a registered psychologist and from continuing with his antidepressant medication. He will also benefit from sessions with a kinesiologist. Since his kinesiologist will be able to assist with his workout planning, I am not persuaded that compensation for a physical trainer is warranted. While he will likely benefit from a gym membership, this is a cost he would have occurred in any event and I do not consider it a reasonable claim arising from the accident. I do not agree that he would benefit from long-term physiotherapy, since his evidence was that he has not found physiotherapy helpful.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I was not provided with detailed submissions on these costs. In these circumstances, I find that Mr. Stare will need $25,000 for future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Mr. Stare claims $5,000 in loss of housekeeping capacity. He did not make submissions under this head of damage. I agree with the third party defendant that this is appropriately dealt with in the non-pecuniary award.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The parties submit that Mr. Stare is entitled to $3,041 in special damages. I agree and therefore award $3,041.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V. </w:t>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I find that Mr. Stare is entitled to the following damages:</w:t>
      </w:r>
      <w:r>
        <w:rPr>
          <w:rFonts w:ascii="arial" w:eastAsia="arial" w:hAnsi="arial" w:cs="arial"/>
          <w:sz w:val="20"/>
          <w:lang w:val="en-US" w:eastAsia="en-US" w:bidi="ar-SA"/>
        </w:rPr>
        <w:cr/>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$120,000 in non-pecuniary damages;</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$55,469 in past wage loss;</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$250,000 in loss of future earning capacity;</w:t>
      </w:r>
    </w:p>
    <w:p>
      <w:pPr>
        <w:numPr>
          <w:numId w:val="2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$25,000 in costs of future care; and</w:t>
      </w:r>
    </w:p>
    <w:p>
      <w:pPr>
        <w:numPr>
          <w:numId w:val="2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$3,041 in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I award ordinary costs to the plaintiff, unless either party files an application to determine costs within 45 days of this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D.C. MacDONALD J.</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r>
        <w:pict>
          <v:line id="_x0000_s1043" style="position:absolute;z-index:251765760"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49" w:name="Forward_fnref_fnr-1_0"/>
      <w:hyperlink w:anchor="Backward_fnref_fnr-1" w:history="1">
        <w:r>
          <w:rPr>
            <w:rFonts w:ascii="arial" w:eastAsia="arial" w:hAnsi="arial" w:cs="arial"/>
            <w:b/>
            <w:color w:val="BE161D"/>
            <w:sz w:val="18"/>
            <w:shd w:val="clear" w:color="auto" w:fill="FFFFFF"/>
            <w:lang w:val="en-US" w:eastAsia="en-US" w:bidi="ar-SA"/>
          </w:rPr>
          <w:t>1</w:t>
        </w:r>
      </w:hyperlink>
      <w:bookmarkEnd w:id="49"/>
      <w:r>
        <w:rPr>
          <w:rFonts w:ascii="arial" w:eastAsia="arial" w:hAnsi="arial" w:cs="arial"/>
          <w:sz w:val="20"/>
          <w:lang w:val="en-US" w:eastAsia="en-US" w:bidi="ar-SA"/>
        </w:rPr>
        <w:tab/>
      </w:r>
      <w:r>
        <w:rPr>
          <w:rFonts w:ascii="arial" w:eastAsia="arial" w:hAnsi="arial" w:cs="arial"/>
          <w:color w:val="6D6E71"/>
          <w:sz w:val="18"/>
          <w:lang w:val="en-US" w:eastAsia="en-US" w:bidi="ar-SA"/>
        </w:rPr>
        <w:t>Mr. Stare would have taken some time off work regardless to do his university studies required for his apprenticeship.</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4" style="position:absolute;z-index:2518128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35"/>
          <w:headerReference w:type="default" r:id="rId136"/>
          <w:footerReference w:type="even" r:id="rId137"/>
          <w:footerReference w:type="default" r:id="rId138"/>
          <w:headerReference w:type="first" r:id="rId139"/>
          <w:footerReference w:type="first" r:id="rId14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41" w:history="1">
        <w:r>
          <w:rPr>
            <w:rFonts w:ascii="arial" w:eastAsia="arial" w:hAnsi="arial" w:cs="arial"/>
            <w:b/>
            <w:bCs/>
            <w:i/>
            <w:color w:val="0077CC"/>
            <w:kern w:val="32"/>
            <w:sz w:val="28"/>
            <w:szCs w:val="32"/>
            <w:u w:val="single"/>
            <w:shd w:val="clear" w:color="auto" w:fill="FFFFFF"/>
            <w:lang w:val="en-US" w:eastAsia="en-US" w:bidi="ar-SA"/>
          </w:rPr>
          <w:t>Tanaka v. London Drugs Ltd., [2019] B.C.J. No. 1347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 Horsman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17-20,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19,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S055676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1347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1182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Musashi James Tanaka, Plaintiff, and London Drugs Limited, John Doe #1, Jane Doe #1, and Jane Doe #2,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(68 paras.)</w:t>
      </w:r>
    </w:p>
    <w:p>
      <w:pPr>
        <w:jc w:val="both"/>
        <w:rPr>
          <w:rFonts w:ascii="arial" w:eastAsia="arial" w:hAnsi="arial" w:cs="arial"/>
          <w:sz w:val="20"/>
          <w:lang w:val="en-US" w:eastAsia="en-US" w:bidi="ar-SA"/>
        </w:rPr>
      </w:pPr>
      <w:bookmarkStart w:id="50" w:name="Counsel_5"/>
      <w:bookmarkEnd w:id="5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5" style="position:absolute;z-index:251664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appearing in person: M. Tanaka.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London Drugs Limited and Jane Doe #1: N. Lapper, N. Jones (A/S).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John Doe #1 and Jane Doe #2: No appearance.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1" w:name="Judgment_5"/>
      <w:bookmarkEnd w:id="51"/>
      <w:r>
        <w:pict>
          <v:line id="_x0000_s1046" style="position:absolute;z-index:25171558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2" w:name="K. HORSMAN J."/>
            <w:bookmarkEnd w:id="52"/>
            <w:r>
              <w:rPr>
                <w:rFonts w:ascii="arial" w:eastAsia="arial" w:hAnsi="arial" w:cs="arial"/>
                <w:b/>
                <w:color w:val="000000"/>
                <w:sz w:val="30"/>
                <w:lang w:val="en-US" w:eastAsia="en-US" w:bidi="ar-SA"/>
              </w:rPr>
              <w:t>K. HORSMAN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 London Drugs Limited ("London Drugs") is the operator of a retail drug store chain. On October 23, 2003, the plaintiff was physically assaulted by another customer while standing at the customer service desk of a London Drugs store (the "Assault"). The defendant Jane Doe #1 is Marla Shewchuk, an employee of London Drugs who was on duty at the customer service desk on the day in question. The defendant John Doe #1 is the assailant. He has never been apprehended or identified. The defendant Jane Doe #2 was John Doe #1's companion on the day in question. She has also never been identified.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 seeks to hold London Drugs civilly liable for the injuries he suffered in the Assault. The claim is pleaded in common law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under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The plaintiff advances three theories of liability. First, he says that London Drugs staff were negligent in failing to prevent the Assault. Second, he says that London Drugs staff failed to warn him about the risk presented by John Doe #1. Third, he says that London Drugs staff failed to detain John Doe #1 so that he could be identified, thus permitting the plaintiff to bring an action against John Doe #1 for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London Drugs defendants, London Drugs and Ms. Shewchuk, say that a retail store does not owe a duty of care, either at common law or under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to prevent a random and sudden assault of a customer by another customer. The duty of London Drugs is to ensure that persons using its premises are reasonably safe, having regard to the type of premises and the activities taking place. London Drugs says that it met this standard by having reasonable policies in place in relation to foreseeable risks in its retail stores, and by complying with those policies at all material times. London Drugs and Ms. Shewchuk seek an order dismissing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issues of liability and damages in this proceeding have been severed by order of the Court. This trial concerns only the issue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PROCEDURAL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Given the dated nature of the circumstances underlying the plaintiff's action, I will briefly review the procedural history by way of explaining the time it has taken to get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filed a writ of summons and statement of claim on October 21, 2005. At that time, he was represented by a lawyer. London Drugs filed a statement of defence on May 3,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Following the filing of pleadings, the plaintiff took no substantive steps in the action for a number of years. In 2014, London Drugs brought an application to dismiss the action for want of prosecution. The plaintiff was no longer represented by his original counsel at this time, but duty counsel appeared and represented the plaintiff on the application. Justice Masuhara dismissed London Drugs' application on October 23, 2014, but directed the plaintiff to take a number of steps to move the action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At a case planning conference on October 28, 2015, Walker J. directed that the plaintiff had until December 30, 2015 to amend his pleadings, after which time London Drugs was at liberty to apply for appropriate relief. The plaintiff had not amended his pleadings by the time of this trial, and in particular had not identified the John Doe and Jane Doe defendants listed in the style of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December 9, 2016, De-Witt Van Oosten J., as she then was, ordered that the issues of liability and damages be severed for the purposes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Following the dismissal of the want of prosecution application, the plaintiff has represented himself in the action, with the occasional assistance of pro-bono or duty counsel. The trial was originally set to commence on May 8, 2017. It was adjourned by consent of the parties to allow for the production and review of the Vancouver Police Department ("VPD") file related to the Assault. A second trial was scheduled to commence on October 30, 2017. The plaintiff applied for, and was granted, an adjournment on the first day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re-scheduled trial on liability proceeded before me during the week of June 14, 2019. To state the obvious, there has been a significant lapse of time between the events giving rise to the action and the trial of the action. The 16-year delay should be borne in mind in considering some of the difficulties the witnesses had in recalling the relevant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FACTUAL BACKGROUND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Circumstances of the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the afternoon of October 23, 2003, the plaintiff attended the London Drugs store that was then located at 665 West Broadway. His purpose was to exchange a defective ice bag that he had previously purchased from London Drugs. The plaintiff went to the customer service counter on entering the 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Shewchuk was working as a customer service representative on the day in question. It was Ms. Shewchuk that the plaintiff spoke to about returning the ice bag when he approached the customer service desk. There is some divergence between the evidence of Ms. Shewchuk and the plaintiff regarding the lead-up to the Assault. The divergence is not material to the legal issues that arise for determination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testified that John Doe #1 and Jane Doe #2 came up behind him as the plaintiff was speaking with Ms. Shewchuk. The plaintiff says that Jane Doe #2 interrupted the plaintiff's discussion with Ms. Shewchuk to say that he was taking too long, to which the plaintiff replied that he would not be long and that Jane Doe #2 should wait her turn. John Doe #1 then approached the plaintiff to say in a more demanding and forceful tone that the plaintiff was taking too long. The plaintiff again said that he would not take too long, at which point "out of nowhere", John Doe #1 challenged the plaintiff to a fight. The plaintiff declined to engage in a fight, at which point John Doe #1 punched the plaintiff in the left eye.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says that when he was hit, he remembers everything going black and that he was unconscious for a few minutes. He then remembers being picked up off the floor and assisted by London Drugs staff and put onto some sort of chair or crate. An ambulance eventually arrived and took the plaintiff to Vancouver General Hospital. The plaintiff suffered injuries to his left eye.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Although the plaintiff only recalls the first punch thrown by John Doe #1, presumably because he blacked out at that stage, it is common ground that John Doe #1 punched the plaintiff twice.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Shewchuk testified to her recollection of events. She recalls speaking with the plaintiff at the customer service desk of the London Drugs store on the day in question. In the course of their exchange, Ms. Shewchuk says she stepped away from the counter to answer a telephone call. Customer service representatives were responsible for answering, and redirecting, all calls to the Broadway store. Ms. Shewchuk says that while she was on the phone, she heard the plaintiff say "shut up" to the man behind him, and the man responded with a profanity. Ms. Shewchuk immediately paged her supervisor. The man then suddenly punched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Shewchuk estimates that the time that elapsed between when the plaintiff said "shut up" and when John Doe #1 punched the plaintiff was approximately 5-10 seconds. Ms. Shewchuk does not recall hearing any other words exchanged between the plaintiff and either John Doe #1 or Jane Doe #2. She does not recall either John Doe #1 or Jane Doe #2 interrupting her conversation with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Shewchuk does not remember anything else of note occurring prior to the Assault. She says that it all happened very quickly, and that the event was a long time ago.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do not find the discrepancy in the evidence of the plaintiff and Ms. Shewchuk on the extent of the plaintiff's exchanges with John Doe #1 and Jane Doe #2 prior to the Assault to be material to the liability issues. It would be surprising if there were not such discrepancies given that both witnesses were trying to recall an event that occurred almost 16 years ago. The relevant point is that the plaintiff and Ms. Shewchuk are consistent in their recollection that the assault by John Doe #1 was sudden and unexpected. The plaintiff testified that the punch "came out of nowhere".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circumstances surrounding the Assault were captured on the London Drugs CCTV system. Two versions of the video - the original version and an enhanced version prepared by the VPD - were played at trial. The video is not of perfect quality. It captured events in segmented frames, rather than fluid motion, with a delay of a few seconds between each frame. The plaintiff alleges that London Drugs deliberately edited the video to undermine his claim. For reasons that will be explained later in the judgment, I find there is no merit to the plaintiff's allegations. The issues with the quality of the video are a result of the limits of the then-existing technology rather than deliberate manipulation by London Drugs.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any event, the video sufficiently captures events that it provides corroborating evidence for the testimony of the witnesses. It is of particular assistance to have such corroborating evidence in a case that concerns events that occurred many years ago. The video is generally consistent with the version of the Assault recounted by both the plaintiff and Ms. Shewchuk. The video shows the plaintiff talking to Ms. Shewchuk at the customer service desk, while John Doe #1 and Jane Doe #2 pace behind him. Ms. Shewchuk can also be seen talking on the phone at the moment that John Doe #1 confronts the plaintiff. While the actual punches are not shown, the plaintiff can be seen falling to the ground.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After the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Jonathan Castaneto was the London Drugs supervisor in charge at the West Broadway store on the afternoon of October 23, 2003. It was Mr. Castaneto that Ms. Shewchuk paged after she heard the verbal exchange between the plaintiff and John Doe #1. Mr. Castaneto has very little independent recollection of the events of October 23, 2003. However, it is apparent from the video that Mr. Castaneto immediately responded as he can be seen arriving when the plaintiff was still on the floor.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 number of other London Drugs employees can also be seen on the video arriving at the scene of the Assault. Ms. Shewchuk testified that her co-worker at the customer service desk paged all managers to area. The police were also called.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video also depicts John Doe #1 being restrained by another customer who is identified in the VPD investigation notes as Michael Faulkner. In the video, Mr. Faulkner can be seen holding John Doe #1's arms behind his back. Mr. Faulkner marched John Doe #1 to the front door of the store and then released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his written statement to police on October 23, 2003, Mr. Faulkner said that an unnamed London Drugs employee had told him to take John Doe #1 outside. Mr. Faulkner was not called as a witness at trial. Mr. Castaneto did not recall telling Mr. Faulkner to take John Doe #1 outside. No other London Drugs employee who testified at trial recalls telling Mr. Faulkner to take John Doe #1 outside.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VPD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Assault was investigated by Cst. Eileen Volpatti of the VPD, who was called as a witness at trial. Constable Volpatti testified that she arrived at the West Broadway store the evening of October 23, 2003 after the plaintiff had been taken to the hospital. John Doe #1 was no longer in the store. Constable Volpatti interviewed London Drugs employees, and seized a copy of the surveillance video. She confirmed in her evidence that London Drugs employees had fully cooperated with the police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Constable Volpatti testified that she spoke to the plaintiff in the hospital on October 23, 2003. The plaintiff later forwarded Cst. Volpatti an undated document entitled "Written Perspective", which recorded his version of events. Constable Volpatti spoke to Mr. Faulkner over the phone, and Mr. Faulkner provided a witness statement to her via email on the evening of October 23, 2003. Neither the plaintiff's statement nor Mr. Faulkner's statement to the police were given under oath.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VPD investigation did not result in the identification of John Doe #1. Constable Volpatti says that the police file is now 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overarching issue in this action is whether London Drugs is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under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for the injuries suffered by the plaintiff in the Assault. The plaintiff's arguments raise the following sub-issues:</w:t>
      </w:r>
      <w:r>
        <w:rPr>
          <w:rFonts w:ascii="arial" w:eastAsia="arial" w:hAnsi="arial" w:cs="arial"/>
          <w:sz w:val="20"/>
          <w:lang w:val="en-US" w:eastAsia="en-US" w:bidi="ar-SA"/>
        </w:rPr>
        <w:cr/>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London Drugs breach its duty to the plaintiff by failing to prevent the Assault?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London Drugs breach its duty to the plaintiff by failing to warn him about the risk posed by John Doe #1?</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London Drugs breach its duty to the plaintiff by failing to detain John Doe #1 following the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Preliminary issue: the surveillance video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Before turning to consider the liability issues in this action, it is necessary to briefly address the plaintiff's complaints, raised on repetitive occasions through the trial, about the quality of the surveillance video that was produced by London Drugs and tendered as an exhibit at trial. The plaintiff believes that the video has been deliberately edited in a manner that undermines his claims. The plaintiff has no evidence to support these concerns beyond the generally poor quality of the video.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 received a copy of the video from counsel for London Drugs in March 2015, after the plaintiff had begun to represent himself. The plaintiff voiced his concern with the video at a case planning conference on September 12, 2017. The Master presiding at the conference suggested that counsel for London Drugs write to the plaintiff to explain the reasons for the poor quality of the video so that he could understand them. Further to this suggestion, counsel for London Drugs wrote to the plaintiff on October 11, 2017. The letter conveyed the following information:</w:t>
      </w:r>
      <w:r>
        <w:rPr>
          <w:rFonts w:ascii="arial" w:eastAsia="arial" w:hAnsi="arial" w:cs="arial"/>
          <w:sz w:val="20"/>
          <w:lang w:val="en-US" w:eastAsia="en-US" w:bidi="ar-SA"/>
        </w:rPr>
        <w:cr/>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surveillance video was listed by London Drugs on its initial list of documents.</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2006, counsel for London Drugs advised then-counsel for the plaintiff that the video was recorded in VHS format using a multiplexer deck, that special equipment was required to make a copy of the video, and that London Drugs was attempting to locate a company able to make the copy.</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July 2006, counsel for London Drugs advised plaintiff's counsel that such a company had been located, and London Drugs offered to have a copy made. Plaintiff's counsel did not respond to this offer.</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requested the video in February 2015, on becoming self-represented.</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London Drugs then arranged with a company to have the VHS video copied to a DVD. Given the outdated technology, the only way this could be done was to record the VHS video as it played on a television. This recording was provided to the plaintiff in DVD format in March 2015.</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March 2017, London Drugs obtained the VPD file. The police file included the VHS surveillance video that was taken from the store on October 23, 2003, however it required the services of a speciality in the VPD's Forensic Video Unit to reproduce the video and transfer it to viewable format. The VPD eventually provided a DVD of the video to counsel for London Drugs, who in turn provided a copy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sum, it appears that there was significant effort on the part of both London Drugs and the VPD to ensure that useable copies of the video were available for trial despite the challenges posed by the dated nature of the technology. Both versions of the video were tendered in evidence and played at trial. The London Drugs version is longer in duration because it starts at an earlier period in time and ends later. In relation to events captured by both videos, that is, the events that occurred at the customer service desk, the videos are substantially identical. No selective editing by London Drugs was apparent to me in viewing the videos.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While the plaintiff was adamant that the London Drugs version of the video had been manipulated in some way, he could not identify any significant event that he recalls occurring during the Assault that is not captured by the video. As I have already noted, the video is effectively corroborative of the plaintiff's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sum, I find there is no merit to the plaintiff's assertion that the surveillance video was deliberately edited by London Drugs. Counsel for London Drugs has provided the plaintiff with detailed written reasons for the poor quality of the video. Those reasons plausible. The plaintiff has tendered no evidence to establish the purported editing. Any quality issues with the video are a simple consequence of the fact that it was recorded on now-outdated technology.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Occupier's liability - general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following general principles governs each of the three discrete breaches of duty by London Drugs that are alleged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An occupier's duty of care is set out in s. 3 of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In relevant terms, s. 3 provides:</w:t>
      </w:r>
      <w:r>
        <w:rPr>
          <w:rFonts w:ascii="arial" w:eastAsia="arial" w:hAnsi="arial" w:cs="arial"/>
          <w:sz w:val="20"/>
          <w:lang w:val="en-US" w:eastAsia="en-US" w:bidi="ar-SA"/>
        </w:rPr>
        <w:cr/>
      </w:r>
    </w:p>
    <w:p>
      <w:pPr>
        <w:numPr>
          <w:numId w:val="1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occupier of premises owes a duty to take that care that in all the circumstances of the case is reasonable to see that a person, and the person's property, on the premises, and property on the premises of a person, whether or not that person personally enters on the premises, will be reasonably safe in using the premises.</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of care referred to in subsection (1) applies in relation to the</w:t>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condition of the premises,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activities on the premises, or</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conduct of third parties on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Foley v. Imperial Oil Limited</w:t>
      </w:r>
      <w:r>
        <w:rPr>
          <w:rFonts w:ascii="arial" w:eastAsia="arial" w:hAnsi="arial" w:cs="arial"/>
          <w:color w:val="000000"/>
          <w:sz w:val="20"/>
          <w:lang w:val="en-US" w:eastAsia="en-US" w:bidi="ar-SA"/>
        </w:rPr>
        <w:t xml:space="preserve">, </w:t>
      </w:r>
      <w:hyperlink r:id="rId142" w:history="1">
        <w:r>
          <w:rPr>
            <w:rFonts w:ascii="arial" w:eastAsia="arial" w:hAnsi="arial" w:cs="arial"/>
            <w:i/>
            <w:color w:val="0077CC"/>
            <w:sz w:val="20"/>
            <w:u w:val="single"/>
            <w:shd w:val="clear" w:color="auto" w:fill="FFFFFF"/>
            <w:lang w:val="en-US" w:eastAsia="en-US" w:bidi="ar-SA"/>
          </w:rPr>
          <w:t>2011 BCCA 262</w:t>
        </w:r>
      </w:hyperlink>
      <w:r>
        <w:rPr>
          <w:rFonts w:ascii="arial" w:eastAsia="arial" w:hAnsi="arial" w:cs="arial"/>
          <w:color w:val="000000"/>
          <w:sz w:val="20"/>
          <w:lang w:val="en-US" w:eastAsia="en-US" w:bidi="ar-SA"/>
        </w:rPr>
        <w:t>, our Court of Appeal described the OLA as a "complete code":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provides a complete code regarding the duty of an occupier of land. Reference to earlier common law cases is no longer required and may, in fact, result in legal error if the wrong standard of care (one based on the common law categories) is applied, rather than the statutory standard of care. The comprehensive nature of the standard of care of an occupier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was confirmed in </w:t>
      </w:r>
      <w:r>
        <w:rPr>
          <w:rFonts w:ascii="arial" w:eastAsia="arial" w:hAnsi="arial" w:cs="arial"/>
          <w:i/>
          <w:color w:val="000000"/>
          <w:sz w:val="20"/>
          <w:lang w:val="en-US" w:eastAsia="en-US" w:bidi="ar-SA"/>
        </w:rPr>
        <w:t>Weiss v. Young Men's Christian Association of Greater Vancouver</w:t>
      </w:r>
      <w:r>
        <w:rPr>
          <w:rFonts w:ascii="arial" w:eastAsia="arial" w:hAnsi="arial" w:cs="arial"/>
          <w:color w:val="000000"/>
          <w:sz w:val="20"/>
          <w:lang w:val="en-US" w:eastAsia="en-US" w:bidi="ar-SA"/>
        </w:rPr>
        <w:t xml:space="preserve"> </w:t>
      </w:r>
      <w:hyperlink r:id="rId143" w:history="1">
        <w:r>
          <w:rPr>
            <w:rFonts w:ascii="arial" w:eastAsia="arial" w:hAnsi="arial" w:cs="arial"/>
            <w:i/>
            <w:color w:val="0077CC"/>
            <w:sz w:val="20"/>
            <w:u w:val="single"/>
            <w:shd w:val="clear" w:color="auto" w:fill="FFFFFF"/>
            <w:lang w:val="en-US" w:eastAsia="en-US" w:bidi="ar-SA"/>
          </w:rPr>
          <w:t>(1979), 11 B.C.L.R. 112</w:t>
        </w:r>
      </w:hyperlink>
      <w:r>
        <w:rPr>
          <w:rFonts w:ascii="arial" w:eastAsia="arial" w:hAnsi="arial" w:cs="arial"/>
          <w:color w:val="000000"/>
          <w:sz w:val="20"/>
          <w:lang w:val="en-US" w:eastAsia="en-US" w:bidi="ar-SA"/>
        </w:rPr>
        <w:t xml:space="preserve"> (C.A.), where Mr. Justice Aikins, for the Court, noted at 118: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In my view, s. 3(1) is comprehensive, in the sense that it fully and clearly imposes a duty on an occupier and defines the standard of care necessary to fulfil that duty. Thus, in my judgment, it is unnecessary to an understanding of the standard prescribed by the subsection to refer to any of the specially formulated standards of care laid down in the common law cases. Indeed, to do so is more likely to mislead than assist in understanding what the subsection says.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Although s. 3(2) of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extends the occupier's duty of care to the "conduct of third parties on the premises", this does not render the occupier vicariously liable for the conduct of third parties. Liability arises only if the plaintiff proves that the occupier is at fault in failing to take the reasonable care required in the circumstances in relation to the conduct of a third party: </w:t>
      </w:r>
      <w:r>
        <w:rPr>
          <w:rFonts w:ascii="arial" w:eastAsia="arial" w:hAnsi="arial" w:cs="arial"/>
          <w:i/>
          <w:color w:val="000000"/>
          <w:sz w:val="20"/>
          <w:lang w:val="en-US" w:eastAsia="en-US" w:bidi="ar-SA"/>
        </w:rPr>
        <w:t>Bracken v. Strongarm</w:t>
      </w:r>
      <w:r>
        <w:rPr>
          <w:rFonts w:ascii="arial" w:eastAsia="arial" w:hAnsi="arial" w:cs="arial"/>
          <w:color w:val="000000"/>
          <w:sz w:val="20"/>
          <w:lang w:val="en-US" w:eastAsia="en-US" w:bidi="ar-SA"/>
        </w:rPr>
        <w:t xml:space="preserve">, </w:t>
      </w:r>
      <w:hyperlink r:id="rId144" w:history="1">
        <w:r>
          <w:rPr>
            <w:rFonts w:ascii="arial" w:eastAsia="arial" w:hAnsi="arial" w:cs="arial"/>
            <w:i/>
            <w:color w:val="0077CC"/>
            <w:sz w:val="20"/>
            <w:u w:val="single"/>
            <w:shd w:val="clear" w:color="auto" w:fill="FFFFFF"/>
            <w:lang w:val="en-US" w:eastAsia="en-US" w:bidi="ar-SA"/>
          </w:rPr>
          <w:t>2012 BCCA 67</w:t>
        </w:r>
      </w:hyperlink>
      <w:r>
        <w:rPr>
          <w:rFonts w:ascii="arial" w:eastAsia="arial" w:hAnsi="arial" w:cs="arial"/>
          <w:color w:val="000000"/>
          <w:sz w:val="20"/>
          <w:lang w:val="en-US" w:eastAsia="en-US" w:bidi="ar-SA"/>
        </w:rPr>
        <w:t xml:space="preserve"> at paras. 20-24 [</w:t>
      </w:r>
      <w:r>
        <w:rPr>
          <w:rFonts w:ascii="arial" w:eastAsia="arial" w:hAnsi="arial" w:cs="arial"/>
          <w:i/>
          <w:color w:val="000000"/>
          <w:sz w:val="20"/>
          <w:lang w:val="en-US" w:eastAsia="en-US" w:bidi="ar-SA"/>
        </w:rPr>
        <w:t>Bracken</w:t>
      </w:r>
      <w:r>
        <w:rPr>
          <w:rFonts w:ascii="arial" w:eastAsia="arial" w:hAnsi="arial" w:cs="arial"/>
          <w:color w:val="000000"/>
          <w:sz w:val="20"/>
          <w:lang w:val="en-US" w:eastAsia="en-US" w:bidi="ar-SA"/>
        </w:rPr>
        <w:t xml:space="preserve">]. Furthermore, liability will only arise if the harm suffered by the plaintiff was foreseeable: </w:t>
      </w:r>
      <w:r>
        <w:rPr>
          <w:rFonts w:ascii="arial" w:eastAsia="arial" w:hAnsi="arial" w:cs="arial"/>
          <w:i/>
          <w:color w:val="000000"/>
          <w:sz w:val="20"/>
          <w:lang w:val="en-US" w:eastAsia="en-US" w:bidi="ar-SA"/>
        </w:rPr>
        <w:t>Rendall v. Ewert</w:t>
      </w:r>
      <w:r>
        <w:rPr>
          <w:rFonts w:ascii="arial" w:eastAsia="arial" w:hAnsi="arial" w:cs="arial"/>
          <w:color w:val="000000"/>
          <w:sz w:val="20"/>
          <w:lang w:val="en-US" w:eastAsia="en-US" w:bidi="ar-SA"/>
        </w:rPr>
        <w:t xml:space="preserve"> </w:t>
      </w:r>
      <w:hyperlink r:id="rId145" w:history="1">
        <w:r>
          <w:rPr>
            <w:rFonts w:ascii="arial" w:eastAsia="arial" w:hAnsi="arial" w:cs="arial"/>
            <w:i/>
            <w:color w:val="0077CC"/>
            <w:sz w:val="20"/>
            <w:u w:val="single"/>
            <w:shd w:val="clear" w:color="auto" w:fill="FFFFFF"/>
            <w:lang w:val="en-US" w:eastAsia="en-US" w:bidi="ar-SA"/>
          </w:rPr>
          <w:t>(1989), 60 D.L.R. (4th) 513</w:t>
        </w:r>
      </w:hyperlink>
      <w:r>
        <w:rPr>
          <w:rFonts w:ascii="arial" w:eastAsia="arial" w:hAnsi="arial" w:cs="arial"/>
          <w:color w:val="000000"/>
          <w:sz w:val="20"/>
          <w:lang w:val="en-US" w:eastAsia="en-US" w:bidi="ar-SA"/>
        </w:rPr>
        <w:t xml:space="preserve"> (B.C.C.A.) at p. 519.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burden of proof in establishing liability under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as in a common law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is on the plaintiff on a balance of probabilities. A presumption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does not arise simply because a plaintiff is injured on the occupier's premises: </w:t>
      </w:r>
      <w:r>
        <w:rPr>
          <w:rFonts w:ascii="arial" w:eastAsia="arial" w:hAnsi="arial" w:cs="arial"/>
          <w:i/>
          <w:color w:val="000000"/>
          <w:sz w:val="20"/>
          <w:lang w:val="en-US" w:eastAsia="en-US" w:bidi="ar-SA"/>
        </w:rPr>
        <w:t>Kayser v. Park Royal Shopping Centre Limited</w:t>
      </w:r>
      <w:r>
        <w:rPr>
          <w:rFonts w:ascii="arial" w:eastAsia="arial" w:hAnsi="arial" w:cs="arial"/>
          <w:color w:val="000000"/>
          <w:sz w:val="20"/>
          <w:lang w:val="en-US" w:eastAsia="en-US" w:bidi="ar-SA"/>
        </w:rPr>
        <w:t xml:space="preserve"> </w:t>
      </w:r>
      <w:hyperlink r:id="rId146" w:history="1">
        <w:r>
          <w:rPr>
            <w:rFonts w:ascii="arial" w:eastAsia="arial" w:hAnsi="arial" w:cs="arial"/>
            <w:i/>
            <w:color w:val="0077CC"/>
            <w:sz w:val="20"/>
            <w:u w:val="single"/>
            <w:shd w:val="clear" w:color="auto" w:fill="FFFFFF"/>
            <w:lang w:val="en-US" w:eastAsia="en-US" w:bidi="ar-SA"/>
          </w:rPr>
          <w:t>(1995), 16 B.C.L.R. (3d) 330</w:t>
        </w:r>
      </w:hyperlink>
      <w:r>
        <w:rPr>
          <w:rFonts w:ascii="arial" w:eastAsia="arial" w:hAnsi="arial" w:cs="arial"/>
          <w:color w:val="000000"/>
          <w:sz w:val="20"/>
          <w:lang w:val="en-US" w:eastAsia="en-US" w:bidi="ar-SA"/>
        </w:rPr>
        <w:t xml:space="preserve"> (C.A.) at para. 13.</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Issue I: Did London Drugs breach its duty to the plaintiff by failing to prevent the Assault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plaintiff's first argument is that London Drugs breached its duty under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in failing to prevent the Assault. The plaintiff says that London Drugs ought to have implemented policies to address the risk of customer-on-customer assaults. Alternatively, he says that Ms. Shewchuk should have acted more quickly to identify and address John Doe #1's propensity to violence.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London Drugs led evidence of its policies in regard to store safety. This included the testimony of Laurie Lowes, who was the Manager of Health and Safety for London Drugs at the time of the Assault. Mr. Lowes began his employment with London Drugs as a store detective in 1981. He was the Manager of Loss Prevention for London Drugs at the time of his retirement in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Lowes explained that London Drugs employs Loss Prevention Officers (LPOs), who are primarily tasked with stopping shoplifting in stores. LPOs receive security training from London Drugs, which includes training in self-defence and de-escalation where a suspected shoplifter becomes aggressive. LPOs are the only London Drugs employees authorized to detain and arrest suspected shoplifters. However, London Drugs policies provide that the safety of customers and staff is the "number one concern". LPOs are trained not to attempt an apprehension of a suspected shoplifter if it would place customers or staff at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London Drugs policy generally requires employees to contact management if they experience verbal abuse in workplace, and to contact the police if the situation escalates to physical assault. There are no policies specifically directed to the procedure for responding to customer-on-customer assaults. Such a situation is exceedingly rare. Mr. Lowes testified that in his 38-year career with London Drugs, John Doe #1's assault of the plaintiff is the only incident he is aware of involving a physical altercation between customers.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In my view, London Drugs took reasonable steps to ensure the reasonable safety of its stores. London Drugs was not under a duty to guard against the sudden, random, and apparently unprecedented act of violence by John Doe #1. There was no foreseeable risk that London Drugs customers might be the victim of unprovoked physical assaults by other London Drugs customers. To impose a duty on London Drugs to guard against such a contingency would render London Drugs an insurer, which is not the standard imposed by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Coleiro v. Premier Fitness Clubs</w:t>
      </w:r>
      <w:r>
        <w:rPr>
          <w:rFonts w:ascii="arial" w:eastAsia="arial" w:hAnsi="arial" w:cs="arial"/>
          <w:color w:val="000000"/>
          <w:sz w:val="20"/>
          <w:lang w:val="en-US" w:eastAsia="en-US" w:bidi="ar-SA"/>
        </w:rPr>
        <w:t xml:space="preserve">, </w:t>
      </w:r>
      <w:hyperlink r:id="rId147" w:history="1">
        <w:r>
          <w:rPr>
            <w:rFonts w:ascii="arial" w:eastAsia="arial" w:hAnsi="arial" w:cs="arial"/>
            <w:i/>
            <w:color w:val="0077CC"/>
            <w:sz w:val="20"/>
            <w:u w:val="single"/>
            <w:shd w:val="clear" w:color="auto" w:fill="FFFFFF"/>
            <w:lang w:val="en-US" w:eastAsia="en-US" w:bidi="ar-SA"/>
          </w:rPr>
          <w:t>2010 ONSC 4350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Bracken</w:t>
      </w:r>
      <w:r>
        <w:rPr>
          <w:rFonts w:ascii="arial" w:eastAsia="arial" w:hAnsi="arial" w:cs="arial"/>
          <w:color w:val="000000"/>
          <w:sz w:val="20"/>
          <w:lang w:val="en-US" w:eastAsia="en-US" w:bidi="ar-SA"/>
        </w:rPr>
        <w:t xml:space="preserve"> at para.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find that London Drugs' workplace safety policies were reasonable in the circumstances, and followed in this particular case. The police were called when the situation between the plaintiff and John Doe #1 escalated to violence. It is difficult to imagine, in any event, what different policies London Drugs could have adopted to prevent the sudden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 further conclude that there was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Ms. Shewchuk which would give rise to vicarious liability for London Drugs. Ms. Shewchuk acted appropriately, and in accordance with London Drugs policy, in calling her supervisor as soon as she heard the heated verbal exchange between the plaintiff and John Doe #1. There is nothing more that Ms. Shewchuk could reasonably have done to prevent an assault that, on the plaintiff's own evidence, "came out of nowhere".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Accordingly, I conclude that London Drugs did not breach any duty it owed as an occupier in failing to prevent the Assault.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Issue II: Did London Drugs breach its duty to the plaintiff by failing to warn him about the risk posed by John Doe #1</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plaintiff next argues that London Drugs breached its duty as an occupier by failing to warn him of the known danger presented by John Doe #1. This argument relies on the following passage from Mr. Faulkner's written witness statement to Cst. Volpatti on October 23, 2003: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talked to the assistant manager while waiting for the police and he stated that the white male was believed to have come in earlier to buy some cigarettes and at that time verbally assaulted the staff.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As noted, Mr. Faulkner was not called as a witness at trial. None of the London Drugs employees who testified recalled that John Doe #1 had been in the store prior to the Assault. Accordingly, the plaintiff's case as it relates to the duty to warn relies entirely on double, perhaps triple, hearsay evidence: a police file containing a witness statement reporting a conversation the witness had with an unidentified person who indicated his belief that John Doe #1 may have been in the store earlier. Mr. Faulkner's witness statement is not admissible for the truth of its content unless there is an exception to the hearsay rule that would permit its admission. It is not apparent to me what that exception might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criteria of necessity and reliability, which might support the admission of the statement under the principled approach to hearsay evidence, are also not present. There is no evidence that Mr. Faulkner was unable to testify. Furthermore, given that Mr. Faulkner had no personal knowledge of John Doe #1's prior attendance at the store, his witness statement is not reliable evidence of the fact or circumstances of any such prior attendance.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any event, even if any reliance could be placed on Mr. Faulkner's witness statement to establish John Doe #1's presence in the West Broadway store earlier on the day of the Assault, this does not prove liability on the part of London Drugs for breach of a duty to warn. First, there is no evidence that any of the London Drugs staff who were present in the area of the customer service counter prior to the Assault, including Ms. Shewchuk, had prior knowledge of John Doe #1. Second, a prior verbal altercation does not, on its own, demonstrate that John Doe #1 had a foreseeable propensity for acts of physical violence.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relation to the duty to warn prong of the plaintiff's case, I note the plaintiff's complaint that he was mislead by documents produced by London Drugs in this action into believing that London Drugs employee Hans Hegeleit might be the assistant manager referenced by Mr. Faulkner in his witness statement. London Drugs produced two computer-generated documents that listed employees who were on duty on October 23, 2003, along with their job title at the time the print-out was created. The plaintiff called Mr. Hegeleit as a witness in the apparent expectation that Mr. Hegeleit would confirm that he was the one who spoke to Mr. Faulkner on October 23, 2003. Mr. Hegeleit testified that he was not an assistant store manager in October 2003, that he had no recollection of talking to Mr. Faulkner, and no recollection of the Assault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do not agree with the plaintiff that London Drugs produced inaccurate records. The records were accurate, but the plaintiff misunderstood the information they contained. The plaintiff has had every opportunity since 2003 to conduct whatever pre-trial preparation he considered necessary, including making inquiries of London Drugs about its document production and conducting an examination for discovery of a London Drugs representative. The plaintiff's expectation that Mr. Hegeleit would be able to provide evidence at trial that he in fact could not provide is not due to any failure on the part of the London Drugs defendants to fulfill their pre-trial discovery obligations.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therefore dismiss the plaintiff's argument based on breach of duty to warn. No admissible evidence was adduced at trial to establish that John Doe #1 had previously been in the West Broadway store on the day of the Assault. Even if Mr. Faulkner's witness statement could be relied upon to prove John Doe #1's earlier attendance at the store, this does not establish that John Doe #1 presented a foreseeable risk of physical harm to the plaintiff.</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Issue III: Did London Drugs breach its duty to the plaintiff by failing to detain John Doe #1 following the Assault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plaintiff argues, finally, that London Drugs breached its duty of reasonable care by failing to detain John Doe #1 following the Assault. The plaintiff says that London Drugs owed him a duty to detain John Doe #1 in order to ensure that the plaintiff would have an identifiable defendant to sue in a civil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have already (at paras. 25-26) reviewed the relevant evidence on this point. The plaintiff again relies on the witness statement of Mr. Faulkner to prove that London Drugs staff told Mr. Faulkner to take John Doe #1 outside. No direct evidence was adduced at trial to prove that such a direction was given. For the purpose of the liability analysis, I do not believe that it matters whether Mr. Faulkner removed John Doe #1 from the store on his own motion, or was directed to do so by London Drugs staff.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plaintiff seeks to impose a duty on London Drugs to prevent the plaintiff from suffering pure economic loss in the form of an inability to recover tort damages. Economic loss is recoverable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actions only in exceptional categories of cases. To date, those categories have not included the recovery of a plaintiff's economic loss from an occupier on the basis of an occupier's failure to investigate or detain a third party assailant.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Canadian courts have rejected the existence of such a duty of care in analogous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Hughson v. John Doe</w:t>
      </w:r>
      <w:r>
        <w:rPr>
          <w:rFonts w:ascii="arial" w:eastAsia="arial" w:hAnsi="arial" w:cs="arial"/>
          <w:color w:val="000000"/>
          <w:sz w:val="20"/>
          <w:lang w:val="en-US" w:eastAsia="en-US" w:bidi="ar-SA"/>
        </w:rPr>
        <w:t xml:space="preserve"> </w:t>
      </w:r>
      <w:hyperlink r:id="rId148" w:history="1">
        <w:r>
          <w:rPr>
            <w:rFonts w:ascii="arial" w:eastAsia="arial" w:hAnsi="arial" w:cs="arial"/>
            <w:i/>
            <w:color w:val="0077CC"/>
            <w:sz w:val="20"/>
            <w:u w:val="single"/>
            <w:shd w:val="clear" w:color="auto" w:fill="FFFFFF"/>
            <w:lang w:val="en-US" w:eastAsia="en-US" w:bidi="ar-SA"/>
          </w:rPr>
          <w:t>(2006), 278 D.L.R. (4th) 575</w:t>
        </w:r>
      </w:hyperlink>
      <w:r>
        <w:rPr>
          <w:rFonts w:ascii="arial" w:eastAsia="arial" w:hAnsi="arial" w:cs="arial"/>
          <w:color w:val="000000"/>
          <w:sz w:val="20"/>
          <w:lang w:val="en-US" w:eastAsia="en-US" w:bidi="ar-SA"/>
        </w:rPr>
        <w:t xml:space="preserve"> (Ont. C.A.), the Ontario Court of Appeal held that a supermarket had no duty to a plaintiff injured in an altercation with another customer to investigate and preserve evidence to assist the plaintiff in a civil action. The trial judge had held that Ontario's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did not evidence a legislative intent to impose such a duty on an occupier, and declined to leave the issue with the jury. In upholding the trial judge, the Ontario Court of Appeal stated at 576: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Lastly, in the circumstances, we essentially agree with the trial judge's reasons for finding no duty to investigate. In this court, the appellant argues that this obligation is a manifestation of the respondent's duty to keep the premises reasonably safe. However in our view the appellant's inability to sue John Doe cannot be said to flow from the condition of the respondent's premises. The duty on the respondent to keep those premises reasonably safe does not stretch to an obligation to investigate the appellant's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Similarly in </w:t>
      </w:r>
      <w:r>
        <w:rPr>
          <w:rFonts w:ascii="arial" w:eastAsia="arial" w:hAnsi="arial" w:cs="arial"/>
          <w:i/>
          <w:color w:val="000000"/>
          <w:sz w:val="20"/>
          <w:lang w:val="en-US" w:eastAsia="en-US" w:bidi="ar-SA"/>
        </w:rPr>
        <w:t>McLeish v. Richard's on Richards Cabaret Ltd.</w:t>
      </w:r>
      <w:r>
        <w:rPr>
          <w:rFonts w:ascii="arial" w:eastAsia="arial" w:hAnsi="arial" w:cs="arial"/>
          <w:color w:val="000000"/>
          <w:sz w:val="20"/>
          <w:lang w:val="en-US" w:eastAsia="en-US" w:bidi="ar-SA"/>
        </w:rPr>
        <w:t xml:space="preserve">, </w:t>
      </w:r>
      <w:hyperlink r:id="rId149" w:history="1">
        <w:r>
          <w:rPr>
            <w:rFonts w:ascii="arial" w:eastAsia="arial" w:hAnsi="arial" w:cs="arial"/>
            <w:i/>
            <w:color w:val="0077CC"/>
            <w:sz w:val="20"/>
            <w:u w:val="single"/>
            <w:shd w:val="clear" w:color="auto" w:fill="FFFFFF"/>
            <w:lang w:val="en-US" w:eastAsia="en-US" w:bidi="ar-SA"/>
          </w:rPr>
          <w:t>[1992] B.C.J. No. 1000</w:t>
        </w:r>
      </w:hyperlink>
      <w:r>
        <w:rPr>
          <w:rFonts w:ascii="arial" w:eastAsia="arial" w:hAnsi="arial" w:cs="arial"/>
          <w:color w:val="000000"/>
          <w:sz w:val="20"/>
          <w:lang w:val="en-US" w:eastAsia="en-US" w:bidi="ar-SA"/>
        </w:rPr>
        <w:t xml:space="preserve"> (S.C.), Hunter J. held that a nightclub owed no duty to ascertain the identity of third parties who had injured the plaintiff on the premises: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advances a further claim against Richard's for damages for its failure to exercise a duty of care to ascertain the identity of the two men before ejecting them from the nightclub. The plaintiff bases this claim on the general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found in Donoghue v. Stevenson [1932] A.C. 562 (H.L.). The plaintiff concedes this argument to be novel one. There is no suggestion that the plaintiff suffered any further personal injury or property damage as a result of Richard's having failed to identify these two men. What she suffered was economic loss. That being the case, the principle of law is well established that no duty of care is 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my view, the same principles apply in this case to defeat the plaintiff's claim based on an alleged failure by London Drugs staff to detain John Doe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There is a further reason why, as a matter of policy, a duty to detain or investigate should not be imposed on London Drugs in these circumstances. The effect of such a duty would be to require London Drugs staff to risk their personal safety by attempting to detain a violent individual for the sole purpose of protecting the plaintiff's economic interests. It is inconceivable that the law might recognize a duty of care that subordinates the defendant's personal safety to the promotion of the plaintiff's economic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The duty of London Drugs, under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is to ensure the reasonable safety of persons using its premises.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does not impose a duty on London Drugs to take affirmative steps to assist the plaintiff in his prosecution of a lawsuit against John Doe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It goes without saying that John Doe's Assault of the plaintiff is an exceedingly unfortunate event. However,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does not make London Drugs the insurer of every unfortunate event that occurs on London Drugs' premises. The mere fact that the Assault occurred at a London Drugs store is insufficient to establish liability under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plaintiff has had sixteen years to identify the defendants John Doe #1 and Jane Doe #2, and had not done so by the time of trial. The plaintiff's inability to identify John Doe #1 and Jane Doe #2 is not a reason to delay the final adjudication of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For these reasons, the plaintiff's action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Counsel for London Drugs requested a further opportunity to make submissions on costs in the event that the plaintiff's action is dismissed. Accordingly, if the parties cannot agree on an appropriate costs award then they are at liberty to request a further hearing before me on the issue of costs through Supreme Court Scheduling within 30 days of the date of this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 HORSMAN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7" style="position:absolute;z-index:2517667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50"/>
          <w:headerReference w:type="default" r:id="rId151"/>
          <w:footerReference w:type="even" r:id="rId152"/>
          <w:footerReference w:type="default" r:id="rId153"/>
          <w:headerReference w:type="first" r:id="rId154"/>
          <w:footerReference w:type="first" r:id="rId15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56" w:history="1">
        <w:r>
          <w:rPr>
            <w:rFonts w:ascii="arial" w:eastAsia="arial" w:hAnsi="arial" w:cs="arial"/>
            <w:b/>
            <w:bCs/>
            <w:i/>
            <w:color w:val="0077CC"/>
            <w:kern w:val="32"/>
            <w:sz w:val="28"/>
            <w:szCs w:val="32"/>
            <w:u w:val="single"/>
            <w:shd w:val="clear" w:color="auto" w:fill="FFFFFF"/>
            <w:lang w:val="en-US" w:eastAsia="en-US" w:bidi="ar-SA"/>
          </w:rPr>
          <w:t>Teck Cominco Metals Ltd. v. Shanghai Boiler Works Co., [2015] B.C.J. No. 107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 Wedge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15-18,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23,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S060715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107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101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74 B.C.L.R. (5th) 416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CarswellBC 137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249 A.C.W.S. (3d) 556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 C.C.L.T. (4th) 327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41 C.L.R. (4th) 295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Teck Cominco Metals Ltd., Plaintiff, and Shanghai Boiler Works Co., Ltd., Shang Hai Boiler Works, Ltd., Shanghai Electric Co., Ltd., Shanghai Electric Group Co., Ltd., Shanghai Electric (Group) Corporation, Shanghai Boiler Works Co., Ltd. of Shanghai Electric Co., Ltd., Shanghai Boiler Works Co., Ltd. of Shanghai Electric Group Co., Ltd., Shanghai Boiler Works Co., Ltd. of Shanghai Electric (Group) Corporation, Shang Hai Boiler Works, Ltd. of Shanghai Electric Group Co., Ltd., Shang Hai Boiler Works, Ltd. of Shanghai Electric (Group) Corporation, Foster Wheeler Pyropower, Inc., Societe Generale de Surveillance S.A., Welding Services Inc., and John Doe Ltd., Defendants West Kootenay Mechanical Ltd., West Kootenay Mechanical (2001) Ltd., John Balfour, Canadian Industrial Mill Services Ltd., and Acuren Group Inc.,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(88 paras.)</w:t>
      </w:r>
    </w:p>
    <w:p>
      <w:pPr>
        <w:jc w:val="both"/>
        <w:rPr>
          <w:rFonts w:ascii="arial" w:eastAsia="arial" w:hAnsi="arial" w:cs="arial"/>
          <w:sz w:val="20"/>
          <w:lang w:val="en-US" w:eastAsia="en-US" w:bidi="ar-SA"/>
        </w:rPr>
      </w:pPr>
      <w:bookmarkStart w:id="53" w:name="Counsel_6"/>
      <w:bookmarkEnd w:id="5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8" style="position:absolute;z-index:251665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P.A. Cote, M.G. Siren.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Welding Services Inc.: H. Poulus, Q.C., J. Buysen.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Parties West Kootenay Mechanical Ltd., West Kootenay Mechanical (2001) Ltd., and John Balfour: S.W. Urquhart, J.N. Halperin.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Third Party Canadian Industrial Mill Services Ltd.: J.H. MacMaster, P.J. Miller.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4" w:name="Judgment_6"/>
      <w:bookmarkEnd w:id="54"/>
      <w:r>
        <w:pict>
          <v:line id="_x0000_s1049" style="position:absolute;z-index:25171660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5" w:name="C.A. WEDGE J."/>
            <w:bookmarkEnd w:id="55"/>
            <w:r>
              <w:rPr>
                <w:rFonts w:ascii="arial" w:eastAsia="arial" w:hAnsi="arial" w:cs="arial"/>
                <w:b/>
                <w:color w:val="000000"/>
                <w:sz w:val="30"/>
                <w:lang w:val="en-US" w:eastAsia="en-US" w:bidi="ar-SA"/>
              </w:rPr>
              <w:t>C.A. WEDGE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 </w:t>
      </w:r>
      <w:r>
        <w:rPr>
          <w:rFonts w:ascii="arial" w:eastAsia="arial" w:hAnsi="arial" w:cs="arial"/>
          <w:b/>
          <w:color w:val="000000"/>
          <w:sz w:val="20"/>
          <w:u w:val="single"/>
          <w:lang w:val="en-US" w:eastAsia="en-US" w:bidi="ar-SA"/>
        </w:rPr>
        <w:t>INTRODUCTION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Nature of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Canadian Industrial Mill Services Ltd. ("CIMS") seeks an order dismissing a third party notice filed against it by the defendant, Welding Services Inc. ("WSI"), in an action commenced by Teck Cominco Metals Ltd. ("Teck").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February 2, 2004, an explosion resulting in extensive damage occurred in the radiant boiler of the Kivcet lead smelter at the Teck smelting and refining complex in Trail, British Columbia. Teck filed a notice of civil claim against WSI, with whom Teck contracted to perform routine maintenance of the boiler in August 2002. Teck alleges that the explosion occurred because WSI installed a defective repair insert or patch in one of the carbon steel tubes which forms the shaft of the boiler, and that the failure of this patch caused the explosion.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WSI denies having installed the patch that failed. It filed a third party notice against a number of parties, including West Kootenay Mechanical Ltd. ("WKM"), a company that did emergency maintenance work on the boiler in May 2002. It is common ground that during the emergency work, and to the knowledge and approval of Teck, WKM installed a small patch to repair a corroded spot in one of the boiler's shaft tubes in area of the explosion. Part of the work to be done by WSI in the August 2002 routine maintenance was to place a weld overlay on the WKM patch.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its third party notice, WSI alleges that the explosion occurred as a result of the failure of the patch installed by WKM in May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WSI also filed a third party notice against the applicant, CIMS, a company with whom WSI subcontracted to provide certain work and personnel for the August 2002 routine boiler maintenance. WSI alleges that CIMS personnel were (a) responsible for performing the overlay work in the area of the repair made by WKM, and (b) if the failed patch was not the one installed by WKM in May 2002 (which WSI specifically denies), then CIMS personnel removed the WKM patch and negligently installed the failed patch.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trial of the Teck claim is scheduled to commence on February 10,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But for some outstanding requests made in the course of WSI's examination for discovery of CIMS' representative witness, the discovery process as between CIMS and WSI is 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CIMS brings this application for an order dismissing the third party claim for contribution and indemnity brought against it by WSI.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II. </w:t>
      </w:r>
      <w:r>
        <w:rPr>
          <w:rFonts w:ascii="arial" w:eastAsia="arial" w:hAnsi="arial" w:cs="arial"/>
          <w:b/>
          <w:color w:val="000000"/>
          <w:sz w:val="20"/>
          <w:u w:val="single"/>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Teck complex includes a lead smelter plant within which there is a Kivcet lead smelter furnace. Within the Kivcet furnace is a radiant boiler (the "Boiler"), which is a rectangular tower approximately five square metres in area, and about 35 metres high. This tower is also known as the "Uptake Shaft". The Boiler has two additional components: the convection boiler, a horizontal structure located adjacent to the Uptake Shaft near, but below, its top; and a "downcomer" section connecting the top of the Uptake Shaft to the beginning of the convection boiler.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Uptake Shaft consists of vertical carbon steel tubes joined by welded membrane and supported by buckstays. At the bottom of the walls of the Uptake Shaft, the tubes turn 180 degrees, forming "U-bends". Water circulates through the steel tubes to cool the off-gasses from the smelting process. Heat from the off-gasses is recovered as high pressure steam.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Carbon steel is susceptible to wear, and eventually failure, as a result of the harsh environment within the Boiler. To prevent corrosion of the steel tubes from exposure to the off-gasses, the tube walls are covered in a protective layer of an alloy known as Inconel 625, a specialty weld metal. The process of applying the Inconel 625 weld to the steel tubes is known as "overlay".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explosion of February 2004 occurred near the base of the Uptake Shaft. Teck's theory of liability is that the explosion resulted from the rupture of a patch that was negligently, and without Teck's knowledge, installed by WSI on the hot side of the lower north wall of the Uptake Shaft in Tube 50 (the "Patch") and concealed by the overlay. The rupture is thought to have released water from Tube 50 into the Boiler, which came into contact with the molten slag bath below, causing the latter to flash into steam and create a steam explosion.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From 1998 to 2002, Teck retained WSI to install overlay in the Boiler, including in the Uptake Shaft, and to inspect for and repair any other areas of exposed carbon steel in the Uptake Shaft. WSI performed this work during the August 2002 routine maintenance shutdown.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Work such as that required to maintain and repair the Boiler is performed in an extremely dangerous environment and, accordingly, the work must be completed in accordance with stringent legislative requirements and standards, including those set by the </w:t>
      </w:r>
      <w:r>
        <w:rPr>
          <w:rFonts w:ascii="arial" w:eastAsia="arial" w:hAnsi="arial" w:cs="arial"/>
          <w:i/>
          <w:color w:val="000000"/>
          <w:sz w:val="20"/>
          <w:lang w:val="en-US" w:eastAsia="en-US" w:bidi="ar-SA"/>
        </w:rPr>
        <w:t>Power Engineers and Boiler and Pressure Vessel Safety Act,</w:t>
      </w:r>
      <w:r>
        <w:rPr>
          <w:rFonts w:ascii="arial" w:eastAsia="arial" w:hAnsi="arial" w:cs="arial"/>
          <w:color w:val="000000"/>
          <w:sz w:val="20"/>
          <w:lang w:val="en-US" w:eastAsia="en-US" w:bidi="ar-SA"/>
        </w:rPr>
        <w:t xml:space="preserve"> </w:t>
      </w:r>
      <w:hyperlink r:id="rId157" w:history="1">
        <w:r>
          <w:rPr>
            <w:rFonts w:ascii="arial" w:eastAsia="arial" w:hAnsi="arial" w:cs="arial"/>
            <w:i/>
            <w:color w:val="0077CC"/>
            <w:sz w:val="20"/>
            <w:u w:val="single"/>
            <w:shd w:val="clear" w:color="auto" w:fill="FFFFFF"/>
            <w:lang w:val="en-US" w:eastAsia="en-US" w:bidi="ar-SA"/>
          </w:rPr>
          <w:t>R.S.B.C. 1996, c. 368</w:t>
        </w:r>
      </w:hyperlink>
      <w:r>
        <w:rPr>
          <w:rFonts w:ascii="arial" w:eastAsia="arial" w:hAnsi="arial" w:cs="arial"/>
          <w:color w:val="000000"/>
          <w:sz w:val="20"/>
          <w:lang w:val="en-US" w:eastAsia="en-US" w:bidi="ar-SA"/>
        </w:rPr>
        <w:t xml:space="preserve"> and regulations (the "Boiler Code"), the </w:t>
      </w:r>
      <w:r>
        <w:rPr>
          <w:rFonts w:ascii="arial" w:eastAsia="arial" w:hAnsi="arial" w:cs="arial"/>
          <w:i/>
          <w:color w:val="000000"/>
          <w:sz w:val="20"/>
          <w:lang w:val="en-US" w:eastAsia="en-US" w:bidi="ar-SA"/>
        </w:rPr>
        <w:t>American Society of Mechanical Engineers Boiler and Pressure Vessel Code</w:t>
      </w:r>
      <w:r>
        <w:rPr>
          <w:rFonts w:ascii="arial" w:eastAsia="arial" w:hAnsi="arial" w:cs="arial"/>
          <w:color w:val="000000"/>
          <w:sz w:val="20"/>
          <w:lang w:val="en-US" w:eastAsia="en-US" w:bidi="ar-SA"/>
        </w:rPr>
        <w:t xml:space="preserve"> (the "ASME Code") and the B.C. Boiler and Pressure Vessels Branch (the "B.C. Boiler Branch").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May 2002, during an emergency shutdown of the Boiler, Teck engaged WKM to repair a pinhole leak in a strip of exposed carbon steel approximately one metre long by 1.3 centimetres (0.5 inches) wide on north wall of Tube 50, approximately 2.5 to 3.5 metres above the lower U-bends in the Uptake Shaft. WKM performed the repair, under Teck's supervision, by installing a patch approximately 30 centimetres (12 inches) long in the strip of exposed carbon steel. Teck asserts that the patch was installed in accordance with the standards and requirements of all applicable Codes, including those set by the Boiler Code and the B.C. Boiler Branch.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installation of overlay on the repair done by WKM in May 2002 was within the scope of WSI's work during the routine maintenance performed in August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Teck alleges that while performing its overlay work in the course of the routine maintenance in August 2002, WSI, without Teck's knowledge or approval, removed the WKM patch, cut a slot approximately 1.1 metres long in the strip of exposed carbon steel on Tube 50, inserted a piece of carbon steel cut from a similar tube and welded it into the slot as a purported patch, and then applied overlay which concealed the presence of the repair to Teck. Teck says WSI did not report or otherwise disclose the installation of the Patch to Teck or to the British Columbia Boilers Branch.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WSI denies installing the Patch and says that it has no knowledge of CIMS personnel installing it. The theory of WSI is that the failed Patch was not installed during the routine maintenance of the Boiler in August 2002, but was the very patch installed by WKM during the emergency maintenance shutdown in May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the issue of the failed Patch, it is the position of WSI that neither WSI nor CIMS removed the patch installed by WKM or installed any patch in the Boiler in August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Only in the alternative, if the Court finds that the Patch was installed in August 2002, does WSI say the Patch must have been made and installed by CIMS in the context of the overlay work, without the knowledge of WSI. WSI describes its claim against CIMS in the amended third party claim as follows, firstly at paragraph 20 and then paragraph 22:</w:t>
      </w:r>
      <w:r>
        <w:rPr>
          <w:rFonts w:ascii="arial" w:eastAsia="arial" w:hAnsi="arial" w:cs="arial"/>
          <w:sz w:val="20"/>
          <w:lang w:val="en-US" w:eastAsia="en-US" w:bidi="ar-SA"/>
        </w:rPr>
        <w:cr/>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August 2002 Shutdown, CIMS:</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overlaid the areas identified...as requiring overlay, which included manual welding work in the uptake shaft referred to as "uptake pickups";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specifically, overlaid the area in which West Kootenay [WKM] had installed the WKM Patch.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breach of the August 2002 Contracts, and of its duty of care to WSI, CIMS performed their work negligently. Particulars of such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include the following: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patch that failed is not the WKM Patch--which is specifically denied--then the particulars of CIMS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include:</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removing the WKM Patch and installing a new patch (the "CIMS Patch"), in breach of the August 2002 Welding Contracts, and in violation of the Boiler Code, the ASME Code and the NBI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Particulars of CIMS'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set out in subparagraph 22(b)(i), track the 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alleged by Teck against WSI in its amended notice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Teck did not name CIMS as a defendant in the action, and does not allege any wrongdoing by CIMS personnel.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evidentiary record filed in the application consists of affidavit evidence and examination for discovery read-ins.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Steven Smith was employed by WSI as its project manager on the August 2002 routine maintenance of the Boiler. In that role, he was responsible for overseeing all aspects of the work done during that maintenance. In an affidavit filed by WSI, Mr. Smith described the August 2002 work as encompassing three principal tasks:</w:t>
      </w:r>
      <w:r>
        <w:rPr>
          <w:rFonts w:ascii="arial" w:eastAsia="arial" w:hAnsi="arial" w:cs="arial"/>
          <w:sz w:val="20"/>
          <w:lang w:val="en-US" w:eastAsia="en-US" w:bidi="ar-SA"/>
        </w:rPr>
        <w:cr/>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overlaying the exposed areas of carbon steel, and performing other repairs, on the tubes at the top of the Boiler in the downcomer and convection sections (the "Convection Work");</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removing and replacing panels of carbon steel at the bottom of the Uptake Shaft where the U-bends are located (the "Panel Replacement Work"); and,</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repairing defects in overlay previously applied in the Uptake Shaft (the "Uptake Pick-ups").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contract between Teck and WSI describes the Convection Work, which at all times was within the scope of work of WSI,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General Requirement: Provide manpower, equipment, and expertise to overlay all areas in the convection section and uptake section during the August 2002 shutdown at the Teckcominco Kivcet Boiler in Trail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WSI subcontracted the Panel Replacement Work to CIMS. Specifically, WSI retained CIMS to remove and replace the U-bends and other tubes near the upper part of the Uptake Shaft in the convection and oschatz areas. Pursuant to the contract between WSI and CIMS, all aspects of the removal and replacement of the carbon steel panels were within the scope of work of CIMS. A WSI Purchase Order dated August 21, 2002, required CIMS to supply all of "the necessary supervision, labor, tools and equipment" to perform this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WSI also subcontracted with CIMS to supply personnel to assist WSI with the Convection Work and the Uptake Pick-ups. This primarily involved the application of overlay to corroded areas of carbon steel in each of the three main areas of the Boiler. The same August 21, 2002 Purchase Order required CIMS to supply WSI with "manpower for operation of [5] overlay machines".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Overlay is applied in one of three ways, depending on the nature and size of the area to be overlaid, either with an automatic, semi-automatic, or manual welding machine. Given the expanse of the Boiler, the overlay for the Convection Work was to be applied primarily with automatic welding machines, which are the size of a big trunk. These machines are mounted on rails to permit their movement about ten feet vertically and ten feet laterally. Each such machine requires an operator trained in its use and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All of the welders that WSI proposed using were boilermakers. The British Columbia Boilermakers Local 359 (the "Boilermakers' Union") expressed concern about WSI using the company's U.S. welders instead of B.C. boilermakers. Under the International Boilermakers Agreement, WSI's American welders were only allowed to comprise one-third of the total welders operating the welding machines. CIMS was permitted to provide another third, and the local union hiring hall the final third. To address this requirement, WSI negotiated an arrangement with the Boilermakers' Union to perform a portion of the work using B.C. boilermakers. In the result, WSI subcontracted with CIMS for the supply of B.C. boilermakers.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Convection Work and the Uptake Pick-ups remained within the scope of work of WSI. As reflected in the August 21, 2002 Purchase Order, WSI's arrangement with CIMS was limited to the supply of manpower to operate the overlay machines for this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his affidavit, Mr. Smith, WSI's project manager for the work, explained that the CIMS boilermakers had to pass a test to demonstrate that they could perform the various jobs required of them in carrying out the work, including the application of overlay. Once qualified to do overlay work with a semi-automatic welding machine, they required no further formal qualifications to operate the automatic machines. However, the automatic welding machines represented a relatively new technology that WSI owned and used to complete the overlay work. WSI boilermakers, having experience with the machines, understood automatic welding operations. Some of the CIMS boilermakers had worked with WSI boilermakers using the automatic welding machines on previous projects, but many others -- and in particular those hired directly from the union hall -- had no experience with the machines.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Smith deposed that recognition of this lack of experience of the CIMS' boilermakers was reflected in the arrangements WSI and CIMS made with the Boilermakers' Union with respect to the Convection Work, which was to be completed primarily with the automatic machines. Each machine was to be staffed by a "trainer", who was a WSI welder trained in the operation of the automatic machines, and a CIMS boilermaker.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documentary record reflects the commitment of WSI to train and certify the CIMS personnel to perform the welding operations for the overlay work using the automatic machines.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WSI provided no evidence suggesting that the overlay machines were ever operated independently by CIMS employees. Any evidence was to the contrary.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Stephen Johnson, a project superintendent employed by CIMS, deposed that he was one of two project supervisors assigned to the August 2002 maintenance work. He was assigned to the night shift, while the second supervisor was assigned to the day shift. Mr. Johnson oversaw the Panel Replacement Work on his shift, all of which was performed by CIMS workers in accordance with the agreement between WSI and CIMS. That work required the boilermakers to work only with carbon steel.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Johnson's role with respect to the overlay work was to determine the number of CIMS personnel available to work at the start of each night shift, based on WSI's stated requirements. The CIMS foremen then assigned specific personnel to the work. According to Mr. Johnson, WSI then assigned the specific personnel to the individual automatic welding machines used for the overlay installation. Mr. Johnson did not supervise or direct the CIMS personnel during that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Johnson deposed that the CIMS personnel assigned to the overlay installation were supplied to WSI for the work. These personnel were then supervised and directed by WSI, which had at least one WSI welder or supervisor assigned to operate and/or monitor each of the automatic welding machines used for the overlay installation. Although his evidence in this regard was the subject of an objection by WSI on the basis of hearsay, I note that it merely confirms the affidavit evidence of Mr. Smith to the effect that each of the automatic machines was staffed by a WSI "trainer" and a CIMS employee. It also confirms evidence given by Mr. Johnson on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Smith drafted an initial scope of work outline detailing all of the work required by Teck during the August 2002 maintenance. Within the Panel Replacement Work he included the following weld overlay requirement: "Weld overlay repair done about 4 meters up the north wall in May 2002 (strip approximately 1 meter long by 40 mm wide)." This describes the location of the patch installed by WKM during the emergency shutdown.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Smith also deposed that he was responsible for retaining all subcontractors for the August 2002 maintenance work, including CIMS. He drafted the outline of the scope of work to be completed by WSI and CIMS during the project (the "Draft Work Scope"). Initially, the Panel Replacement Work to be performed by CIMS involved some overlay work, including the application of overlay to the location of the patch installed by WKM.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However, Mr. Smith deposed that he subsequently moved the task of overlaying the WKM repair from the Panel Replacement Work to the Convection Work. As noted earlier, the latter was within WSI's work scope. That is also reflected in the final draft of the scope of work ("Work Scope Outline").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Teck required WSI to commit that the cost of completing all of the specified work required during the August 2002 maintenance would not exceed $8,500,000. The Uptake Pick-ups fell outside the scope of work that WSI agreed to perform on a "not-to exceed" basis. That work was authorized by Teck as an "extra". However, the overlay of the patch installed by WKM was specifically described as a task within the Convection Work and, according to the terms of the contract between Teck and WSI, was to be completed within the not-to-exceed contractual price and not as an extra.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All of the overlay installation, whether required as part of the Convection Work or performed as part of the Uptake Pick-ups, was the responsibility of WSI and performed under its welding procedures.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Panel Replacement Work was the responsibility of CIMS and performed under its welding procedures.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Both WSI and CIMS were required to complete a document known as the Boiler Repair/Alteration Report upon completion of their work as mandated by the governing Codes.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CIMS completed such a Report, detailing the work performed by CIMS under its contractor's license number using its welding procedures. None of the work itemized in the Report involves the installation of any Inconel 625 weld overlay.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Neither Teck nor WSI alleges that CIMS was negligent in the completion of the Panel Replacement Work, or that any of this work caused the explosion.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WKM repair, and the area of the failed Patch, was approximately 8 to 11 feet above the area of the Panel Replacement Work completed by CIMS.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WSI completed a Boiler Repair/Alteration Report concerning the work it performed for Teck. The Report states that WSI performed the Inconel 625 weld overlay work in each of the areas specified in its contract with Teck, including the Convection Work and the Uptake Pick-ups, under its contractor's license number and using its welding procedures. As already noted, the task of applying overlay in the area of the WKM repair fell within the scope of the Convection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Report also requires identification of the welders who completed all of the required overlay work. In compliance with that requirement, WSI attached a document known as the "Control Traveler". A representative of WSI, Anthony Nappi, confirmed in his examination for discovery that all of the welders identified by WSI in the Control Traveler as the persons who performed the overlay work in the Boiler were WSI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While the overlay of the WKM repair was part of the Convection Work, and therefore designated as WSI's work in the Scope of Work Outline, installation of the failed Patch was not. Neither WSI nor CIMS sought payment for repairs or installation of a patch in the vicinity of the failed Patch.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gist of Mr. Smith's evidence on behalf of WSI is that he has no knowledge of either WSI or CIMS performing a repair or installing a patch in the vicinity of the patch installed by WKM, and that no person who worked on the Boiler ever suggested to him that such an event occurred. Mr. Smith stated that he knows of no evidence to suggest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According to Mr. Smith, the work involved in the installation of the failed Patch as alleged by Teck would take at least seven welders and 17 hours of work to 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III. </w:t>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CIMS brings its application for dismissal of the third party notice pursuant to Rule 9-7. Rule 9-7(15) contemplates that where, on the whole of the evidence, the Court is able to find the facts necessary to decide the issues of fact and law, and it would be just to do so, the Court should proceed to determine the matter. This rule applies even where conflicts exist in the affidavit evidence: </w:t>
      </w:r>
      <w:r>
        <w:rPr>
          <w:rFonts w:ascii="arial" w:eastAsia="arial" w:hAnsi="arial" w:cs="arial"/>
          <w:i/>
          <w:color w:val="000000"/>
          <w:sz w:val="20"/>
          <w:lang w:val="en-US" w:eastAsia="en-US" w:bidi="ar-SA"/>
        </w:rPr>
        <w:t>Haughian v. Jiwa,</w:t>
      </w:r>
      <w:r>
        <w:rPr>
          <w:rFonts w:ascii="arial" w:eastAsia="arial" w:hAnsi="arial" w:cs="arial"/>
          <w:color w:val="000000"/>
          <w:sz w:val="20"/>
          <w:lang w:val="en-US" w:eastAsia="en-US" w:bidi="ar-SA"/>
        </w:rPr>
        <w:t xml:space="preserve"> </w:t>
      </w:r>
      <w:hyperlink r:id="rId158" w:history="1">
        <w:r>
          <w:rPr>
            <w:rFonts w:ascii="arial" w:eastAsia="arial" w:hAnsi="arial" w:cs="arial"/>
            <w:i/>
            <w:color w:val="0077CC"/>
            <w:sz w:val="20"/>
            <w:u w:val="single"/>
            <w:shd w:val="clear" w:color="auto" w:fill="FFFFFF"/>
            <w:lang w:val="en-US" w:eastAsia="en-US" w:bidi="ar-SA"/>
          </w:rPr>
          <w:t>2011 BCSC 1632</w:t>
        </w:r>
      </w:hyperlink>
      <w:r>
        <w:rPr>
          <w:rFonts w:ascii="arial" w:eastAsia="arial" w:hAnsi="arial" w:cs="arial"/>
          <w:color w:val="000000"/>
          <w:sz w:val="20"/>
          <w:lang w:val="en-US" w:eastAsia="en-US" w:bidi="ar-SA"/>
        </w:rPr>
        <w:t xml:space="preserve"> at paras. 42-45; </w:t>
      </w:r>
      <w:r>
        <w:rPr>
          <w:rFonts w:ascii="arial" w:eastAsia="arial" w:hAnsi="arial" w:cs="arial"/>
          <w:i/>
          <w:color w:val="000000"/>
          <w:sz w:val="20"/>
          <w:lang w:val="en-US" w:eastAsia="en-US" w:bidi="ar-SA"/>
        </w:rPr>
        <w:t>Paterson v. Langley Memorial Hospital,</w:t>
      </w:r>
      <w:r>
        <w:rPr>
          <w:rFonts w:ascii="arial" w:eastAsia="arial" w:hAnsi="arial" w:cs="arial"/>
          <w:color w:val="000000"/>
          <w:sz w:val="20"/>
          <w:lang w:val="en-US" w:eastAsia="en-US" w:bidi="ar-SA"/>
        </w:rPr>
        <w:t xml:space="preserve"> </w:t>
      </w:r>
      <w:hyperlink r:id="rId159" w:history="1">
        <w:r>
          <w:rPr>
            <w:rFonts w:ascii="arial" w:eastAsia="arial" w:hAnsi="arial" w:cs="arial"/>
            <w:i/>
            <w:color w:val="0077CC"/>
            <w:sz w:val="20"/>
            <w:u w:val="single"/>
            <w:shd w:val="clear" w:color="auto" w:fill="FFFFFF"/>
            <w:lang w:val="en-US" w:eastAsia="en-US" w:bidi="ar-SA"/>
          </w:rPr>
          <w:t>2004 BCSC 1224</w:t>
        </w:r>
      </w:hyperlink>
      <w:r>
        <w:rPr>
          <w:rFonts w:ascii="arial" w:eastAsia="arial" w:hAnsi="arial" w:cs="arial"/>
          <w:color w:val="000000"/>
          <w:sz w:val="20"/>
          <w:lang w:val="en-US" w:eastAsia="en-US" w:bidi="ar-SA"/>
        </w:rPr>
        <w:t xml:space="preserve">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Our Court of Appeal recently summarized the correct approach on an application such as this in </w:t>
      </w:r>
      <w:r>
        <w:rPr>
          <w:rFonts w:ascii="arial" w:eastAsia="arial" w:hAnsi="arial" w:cs="arial"/>
          <w:i/>
          <w:color w:val="000000"/>
          <w:sz w:val="20"/>
          <w:lang w:val="en-US" w:eastAsia="en-US" w:bidi="ar-SA"/>
        </w:rPr>
        <w:t>Harrison v. British Columbia (Children and Family Development),</w:t>
      </w:r>
      <w:r>
        <w:rPr>
          <w:rFonts w:ascii="arial" w:eastAsia="arial" w:hAnsi="arial" w:cs="arial"/>
          <w:color w:val="000000"/>
          <w:sz w:val="20"/>
          <w:lang w:val="en-US" w:eastAsia="en-US" w:bidi="ar-SA"/>
        </w:rPr>
        <w:t xml:space="preserve"> </w:t>
      </w:r>
      <w:hyperlink r:id="rId160" w:history="1">
        <w:r>
          <w:rPr>
            <w:rFonts w:ascii="arial" w:eastAsia="arial" w:hAnsi="arial" w:cs="arial"/>
            <w:i/>
            <w:color w:val="0077CC"/>
            <w:sz w:val="20"/>
            <w:u w:val="single"/>
            <w:shd w:val="clear" w:color="auto" w:fill="FFFFFF"/>
            <w:lang w:val="en-US" w:eastAsia="en-US" w:bidi="ar-SA"/>
          </w:rPr>
          <w:t>2010 BCCA 220</w:t>
        </w:r>
      </w:hyperlink>
      <w:r>
        <w:rPr>
          <w:rFonts w:ascii="arial" w:eastAsia="arial" w:hAnsi="arial" w:cs="arial"/>
          <w:color w:val="000000"/>
          <w:sz w:val="20"/>
          <w:lang w:val="en-US" w:eastAsia="en-US" w:bidi="ar-SA"/>
        </w:rPr>
        <w:t xml:space="preserve"> at paras. 40-41: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[40] The trial judge was required to grant judgment if the evidence adduced on the R. 18A application provided the facts necessary to decide the issue of liability, and it would not have been unjust to do so. It is not a question of whether a full trial could conceivably "turn something up" or produce a different result.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[40] When an application under R. 18A is made, it is the obligation of the parties to take every reasonable step to put themselves in the best possible position and adduce all evidence they believe is necessary for judgment: </w:t>
      </w:r>
      <w:r>
        <w:rPr>
          <w:rFonts w:ascii="arial" w:eastAsia="arial" w:hAnsi="arial" w:cs="arial"/>
          <w:i/>
          <w:color w:val="000000"/>
          <w:sz w:val="20"/>
          <w:lang w:val="en-US" w:eastAsia="en-US" w:bidi="ar-SA"/>
        </w:rPr>
        <w:t>Everest Canadian Properties Ltd. v. Mallmann</w:t>
      </w:r>
      <w:r>
        <w:rPr>
          <w:rFonts w:ascii="arial" w:eastAsia="arial" w:hAnsi="arial" w:cs="arial"/>
          <w:color w:val="000000"/>
          <w:sz w:val="20"/>
          <w:lang w:val="en-US" w:eastAsia="en-US" w:bidi="ar-SA"/>
        </w:rPr>
        <w:t xml:space="preserve">, </w:t>
      </w:r>
      <w:hyperlink r:id="rId161" w:history="1">
        <w:r>
          <w:rPr>
            <w:rFonts w:ascii="arial" w:eastAsia="arial" w:hAnsi="arial" w:cs="arial"/>
            <w:i/>
            <w:color w:val="0077CC"/>
            <w:sz w:val="20"/>
            <w:u w:val="single"/>
            <w:shd w:val="clear" w:color="auto" w:fill="FFFFFF"/>
            <w:lang w:val="en-US" w:eastAsia="en-US" w:bidi="ar-SA"/>
          </w:rPr>
          <w:t>2008 BCCA 275</w:t>
        </w:r>
      </w:hyperlink>
      <w:r>
        <w:rPr>
          <w:rFonts w:ascii="arial" w:eastAsia="arial" w:hAnsi="arial" w:cs="arial"/>
          <w:color w:val="000000"/>
          <w:sz w:val="20"/>
          <w:lang w:val="en-US" w:eastAsia="en-US" w:bidi="ar-SA"/>
        </w:rPr>
        <w:t xml:space="preserve"> at para. 34. I find the parties had this opportunity, and note that the record before the trial judge was considerable.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Where a party seeks dismissal of a third party claim, it is appropriate for the Court to proceed where determination of an issue does not require a finding of fact determinative of the main action: </w:t>
      </w:r>
      <w:r>
        <w:rPr>
          <w:rFonts w:ascii="arial" w:eastAsia="arial" w:hAnsi="arial" w:cs="arial"/>
          <w:i/>
          <w:color w:val="000000"/>
          <w:sz w:val="20"/>
          <w:lang w:val="en-US" w:eastAsia="en-US" w:bidi="ar-SA"/>
        </w:rPr>
        <w:t>Chen (Guardian ad litem of) v. Jose Narvaez (The),</w:t>
      </w:r>
      <w:r>
        <w:rPr>
          <w:rFonts w:ascii="arial" w:eastAsia="arial" w:hAnsi="arial" w:cs="arial"/>
          <w:color w:val="000000"/>
          <w:sz w:val="20"/>
          <w:lang w:val="en-US" w:eastAsia="en-US" w:bidi="ar-SA"/>
        </w:rPr>
        <w:t xml:space="preserve"> </w:t>
      </w:r>
      <w:hyperlink r:id="rId162" w:history="1">
        <w:r>
          <w:rPr>
            <w:rFonts w:ascii="arial" w:eastAsia="arial" w:hAnsi="arial" w:cs="arial"/>
            <w:i/>
            <w:color w:val="0077CC"/>
            <w:sz w:val="20"/>
            <w:u w:val="single"/>
            <w:shd w:val="clear" w:color="auto" w:fill="FFFFFF"/>
            <w:lang w:val="en-US" w:eastAsia="en-US" w:bidi="ar-SA"/>
          </w:rPr>
          <w:t>2003 BCSC 996</w:t>
        </w:r>
      </w:hyperlink>
      <w:r>
        <w:rPr>
          <w:rFonts w:ascii="arial" w:eastAsia="arial" w:hAnsi="arial" w:cs="arial"/>
          <w:color w:val="000000"/>
          <w:sz w:val="20"/>
          <w:lang w:val="en-US" w:eastAsia="en-US" w:bidi="ar-SA"/>
        </w:rPr>
        <w:t xml:space="preserve"> at paras. 14-23 [</w:t>
      </w:r>
      <w:r>
        <w:rPr>
          <w:rFonts w:ascii="arial" w:eastAsia="arial" w:hAnsi="arial" w:cs="arial"/>
          <w:i/>
          <w:color w:val="000000"/>
          <w:sz w:val="20"/>
          <w:lang w:val="en-US" w:eastAsia="en-US" w:bidi="ar-SA"/>
        </w:rPr>
        <w:t>Chen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If the adjudication of the issues in this application required findings of fact that bear on the issues to be determined between Teck and WSI at the trial, disposition of the third party claim against CIMS would not be appropriate. In particular, if adjudication of the issues required findings of fact with respect to the cause of the explosion or WSI's involvement, if any, in the events leading to the explosion, the trial of the main action would be impacted. However, no such findings are necessary to determine WSI's third party claim against CIMS, a party who is not being sued by Teck. CIMS' liability is entirely contingent on a finding that WSI is liable to Teck for the explosion.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Further, it should be noted that if CIMS establishes that this application is suitable for summary disposition under Rule 9-7, and I am satisfied that it has, then it is WSI who bears the burden of establishing the merits of its claim against CIMS. As noted by Madam Justice Ross in </w:t>
      </w:r>
      <w:r>
        <w:rPr>
          <w:rFonts w:ascii="arial" w:eastAsia="arial" w:hAnsi="arial" w:cs="arial"/>
          <w:i/>
          <w:color w:val="000000"/>
          <w:sz w:val="20"/>
          <w:lang w:val="en-US" w:eastAsia="en-US" w:bidi="ar-SA"/>
        </w:rPr>
        <w:t>Chen</w:t>
      </w:r>
      <w:r>
        <w:rPr>
          <w:rFonts w:ascii="arial" w:eastAsia="arial" w:hAnsi="arial" w:cs="arial"/>
          <w:color w:val="000000"/>
          <w:sz w:val="20"/>
          <w:lang w:val="en-US" w:eastAsia="en-US" w:bidi="ar-SA"/>
        </w:rPr>
        <w:t xml:space="preserve"> at paras. 24-26, in circumstances such as these, as between the defendant and the third party it is the defendant WSI who stands as the plaintiff and must establish its claim against the third party CIMS on a balance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Teck does not seek any finding of liability as against CIMS. Teck alleges only that WSI, the party responsible for the overlay installation in the Boiler, and, specifically, in the area of the failed Patch, installed the failed Patch in the course of performing the overlay work. The issue between WSI and CIMS arises as a result of WSI's alternative position in response to the Teck claim, which is that if any party other than WKM installed the failed Patch (which is denied), it must have been CIMS.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WSI argues that its third party claim against CIMS has two distinct analytical bases. First, WSI alleges that CIMS breached its contract with WSI by replacing the WKM patch. This claim is to be determined by examining the rights and obligations of WSI and CIMS </w:t>
      </w:r>
      <w:r>
        <w:rPr>
          <w:rFonts w:ascii="arial" w:eastAsia="arial" w:hAnsi="arial" w:cs="arial"/>
          <w:i/>
          <w:color w:val="000000"/>
          <w:sz w:val="20"/>
          <w:lang w:val="en-US" w:eastAsia="en-US" w:bidi="ar-SA"/>
        </w:rPr>
        <w:t>inter se.</w:t>
      </w:r>
      <w:r>
        <w:rPr>
          <w:rFonts w:ascii="arial" w:eastAsia="arial" w:hAnsi="arial" w:cs="arial"/>
          <w:color w:val="000000"/>
          <w:sz w:val="20"/>
          <w:lang w:val="en-US" w:eastAsia="en-US" w:bidi="ar-SA"/>
        </w:rPr>
        <w:t xml:space="preserve"> Second, WSI alleges that CIMS as well as WSI owed a duty of care to Teck, and that CIMS is vicariously liable for the actions of its employees carried out in the course of their employment. This claim, argues WSI, is to be determined by examining the rights and obligations as between Teck and WSI; however, CIMS may be required to bear some of the loss if WSI is held responsible for the installation of the failed Patch.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With respect to the first branch of its argument, WSI says that CIMS performed the overlay in the area of the WKM repair, including work on the Uptake Pick-ups, and, in the course of that work, removed the WKM patch and inserted a new one without WSI's knowledge. This theory has been described by the parties as the "rogue actor" theory.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However, WSI has not established any basis in the evidence for its assertion that CIMS installed the failed Patch as a rogue actor while completing the overlay work in the area of the WKM repair. The evidence of WSI's own representatives establishes that, first, the overlay of the WKM repair fell within the scope of work of WSI, and, second, that the overlay work was in fact carried out under the control and direction of WSI.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As noted earlier, Mr. Smith's evidence is that he moved the task of overlaying the WKM repair from the Panel Replacement Work to the Convection Work, and that the task was within the not-to-exceed contract price negotiated between Teck and WSI. In other words, the work fell squarely within WSI's scope of work. Mr. Nappi's evidence, confirmed by WSI's Boiler Repair/Alteration Report, is that WSI performed, under its own welding procedures, all of the overlay within the scope of the Convection Work as well as the overlay required for the Uptake Pick-ups.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Moreover, the evidence of Mr. Nappi, confirmed by the Control Traveler document appended to the Report, establishes that all of the overlay work -- including the overlay of the failed Patch -- was in fact performed by WSI welders. WSI objected to portions of CIMS' affidavit evidence aimed at establishing that WSI directed the work of CIMS personnel who were assisting with the overlay work, yet provided no explanation for Mr. Nappi's evidence or the documents clearly confirming his evidence. If WSI did not complete the overlay work, why did it certify the work as its own? If WSI employees did not perform the work, why did WSI identify the welders as its own in the Control Traveler document? WSI has provided no answer to this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Within the first branch of its argument, WSI argues that, even if the Court determines that CIMS did not perform the overlay work in the area of the failed Patch, the evidence establishes that CIMS was replacing the steel tubes above the U-bends, some 8 to 11 feet below the area of the failed Patch. As I understand WSI's argument, because CIMS was performing carbon steel work, and because the making and insertion of a patch to replace the WKM patch would have involved carbon steel work, it is open to the trial judge to infer that CIMS likely made the failed Patch.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However, the arrangement between WSI and CIMS did not call for CIMS to inspect the area of the Patch or any part of the Boiler. It did not call for CIMS to repair the Patch. WSI led no evidence to the effect that CIMS personnel did any repair work involving the area of the Patch or completed the overlay over top of the failed Patch. Mr. Smith denied any knowledge of such work, and, as noted earlier, he estimated that it would have taken seven welders approximately 17 hours to complete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WSI's hypothesis is based entirely on two pieces of unrelated evidence: the fact that the Panel Replacement Work performed by CIMS involved carbon steel work, and the fact that the installation of the failed Patch required carbon steel work. These are simply two unrelated facts. Without any evidentiary bridge between the two, WSI's hypothesis is pure speculation.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second branch of WSI's argument is that, even assuming the CIMS boilermakers were part of a "borrowed workforce" (which, at least in its written submissions, WSI appears not to have conceded), CIMS may still be either vicariously or jointly liable as the "general employer" for the actions of the CIMS employees "borrowed" by WSI.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That argument is, of course, based on the assumption that the evidence may establish that WSI, using its own employees and those of CIMS, in fact installed the failed Patch. That, however, is vigorously contested by WSI and there was no evidence led on this application to suggest such an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my view, there can be little doubt that the arrangement between WSI and CIMS constituted a borrowed workforce arrangement. CIMS' contractual obligation to WSI was to provide manpower for the overlay machines. However, the record establishes that CIMS did not commit to providing personnel who had experience or expertise in the operation of the automatic overlay machines. As WSI's own Mr. Smith deposed, it was WSI who developed and owned the technology and possessed the expertise for its operation. According to Mr. Smith, WSI was well aware that most of the boilermakers supplied by CIMS -- both those in the employ of CIMS and those hired by CIMS from the union hall -- did not have the expertise of the WSI boilermakers in the operation of the machines. For that reason, each machine was manned by a WSI boilermaker, who was the "trainer" on the machine, and a CIMS employee.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On the issue of the potential liability of CIMS as a "general employer" of a borrowed workforce, WSI stated the following in its written argument: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a temporary employer borrows a worker from the worker's general employer, the general employer must discharge a heavy burden to prove the arrangement constituted the worker a true employee of the temporary employer so as to make the temporary employer, and not the general employer, liable for the worker's actions during the arrangement. That burden is to show that the employee is "under the entire and absolute control" of the temporary employer.</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McKee v. Dumas</w:t>
      </w:r>
      <w:r>
        <w:rPr>
          <w:rFonts w:ascii="arial" w:eastAsia="arial" w:hAnsi="arial" w:cs="arial"/>
          <w:color w:val="000000"/>
          <w:sz w:val="20"/>
          <w:lang w:val="en-US" w:eastAsia="en-US" w:bidi="ar-SA"/>
        </w:rPr>
        <w:t xml:space="preserve"> </w:t>
      </w:r>
      <w:hyperlink r:id="rId163" w:history="1">
        <w:r>
          <w:rPr>
            <w:rFonts w:ascii="arial" w:eastAsia="arial" w:hAnsi="arial" w:cs="arial"/>
            <w:i/>
            <w:color w:val="0077CC"/>
            <w:sz w:val="20"/>
            <w:u w:val="single"/>
            <w:shd w:val="clear" w:color="auto" w:fill="FFFFFF"/>
            <w:lang w:val="en-US" w:eastAsia="en-US" w:bidi="ar-SA"/>
          </w:rPr>
          <w:t>(1977), 12 O.R. (2d) 670</w:t>
        </w:r>
      </w:hyperlink>
      <w:r>
        <w:rPr>
          <w:rFonts w:ascii="arial" w:eastAsia="arial" w:hAnsi="arial" w:cs="arial"/>
          <w:color w:val="000000"/>
          <w:sz w:val="20"/>
          <w:lang w:val="en-US" w:eastAsia="en-US" w:bidi="ar-SA"/>
        </w:rPr>
        <w:t xml:space="preserve">, </w:t>
      </w:r>
      <w:hyperlink r:id="rId163" w:history="1">
        <w:r>
          <w:rPr>
            <w:rFonts w:ascii="arial" w:eastAsia="arial" w:hAnsi="arial" w:cs="arial"/>
            <w:i/>
            <w:color w:val="0077CC"/>
            <w:sz w:val="20"/>
            <w:u w:val="single"/>
            <w:shd w:val="clear" w:color="auto" w:fill="FFFFFF"/>
            <w:lang w:val="en-US" w:eastAsia="en-US" w:bidi="ar-SA"/>
          </w:rPr>
          <w:t>1976 CanLII 579</w:t>
        </w:r>
      </w:hyperlink>
      <w:r>
        <w:rPr>
          <w:rFonts w:ascii="arial" w:eastAsia="arial" w:hAnsi="arial" w:cs="arial"/>
          <w:color w:val="000000"/>
          <w:sz w:val="20"/>
          <w:lang w:val="en-US" w:eastAsia="en-US" w:bidi="ar-SA"/>
        </w:rPr>
        <w:t xml:space="preserve"> (Ont. C.A.)</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Mersey Docks and Harbour Board v. Coggins &amp; Griffiths (Liverpool) Ltd.</w:t>
      </w:r>
      <w:r>
        <w:rPr>
          <w:rFonts w:ascii="arial" w:eastAsia="arial" w:hAnsi="arial" w:cs="arial"/>
          <w:color w:val="000000"/>
          <w:sz w:val="20"/>
          <w:lang w:val="en-US" w:eastAsia="en-US" w:bidi="ar-SA"/>
        </w:rPr>
        <w:t xml:space="preserve"> [ (1946), 2 All E.R. 345] (H.L.)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WSI argues that CIMS has not discharged this heavy burden. I cannot agree with that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The decision of the House of Lords in </w:t>
      </w:r>
      <w:r>
        <w:rPr>
          <w:rFonts w:ascii="arial" w:eastAsia="arial" w:hAnsi="arial" w:cs="arial"/>
          <w:i/>
          <w:color w:val="000000"/>
          <w:sz w:val="20"/>
          <w:lang w:val="en-US" w:eastAsia="en-US" w:bidi="ar-SA"/>
        </w:rPr>
        <w:t>Mersey Docks</w:t>
      </w:r>
      <w:r>
        <w:rPr>
          <w:rFonts w:ascii="arial" w:eastAsia="arial" w:hAnsi="arial" w:cs="arial"/>
          <w:color w:val="000000"/>
          <w:sz w:val="20"/>
          <w:lang w:val="en-US" w:eastAsia="en-US" w:bidi="ar-SA"/>
        </w:rPr>
        <w:t xml:space="preserve"> is a decision of considerable vintage that has been the subject of much discourse in the jurisprudence. The facts underlying the decision, and the reasons of the various Law Lords, are instructive.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Mersey Docks was in the business of supplying cranes and their skilled operators to stevedoring companies. In that case, the defendant stevedoring company hired a crane and its operator to do certain work on the docks of Liverpool. The stevedoring company directed the nature of the work to be done, but not how it should be done, given the ownership of the cranes and expertise of the crane operators in the operation of the machines. A crane operator hired by the stevedoring company was negligent in the operation of his crane and injured a third party. The House of Lords held that Mersey Docks, the general employer, was liable for the crane operator's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because it had vested in the operator the discretion as to the actual operation of the crane when carrying out the instructions of the temporary employer, the stevedoring company. Both the crane and the operator had been provided by Mersey Docks, which had contracted to provide both the equipment capable of performing the work and an operator competent to complete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As noted by Lord Simon in his judgment (at 349), the issue was which party controlled the </w:t>
      </w:r>
      <w:r>
        <w:rPr>
          <w:rFonts w:ascii="arial" w:eastAsia="arial" w:hAnsi="arial" w:cs="arial"/>
          <w:i/>
          <w:color w:val="000000"/>
          <w:sz w:val="20"/>
          <w:lang w:val="en-US" w:eastAsia="en-US" w:bidi="ar-SA"/>
        </w:rPr>
        <w:t>method</w:t>
      </w:r>
      <w:r>
        <w:rPr>
          <w:rFonts w:ascii="arial" w:eastAsia="arial" w:hAnsi="arial" w:cs="arial"/>
          <w:color w:val="000000"/>
          <w:sz w:val="20"/>
          <w:lang w:val="en-US" w:eastAsia="en-US" w:bidi="ar-SA"/>
        </w:rPr>
        <w:t xml:space="preserve"> of performing the work. Had the stevedoring company intervened and given directions to the crane operator as to how to perform his work, then it may have been liable for the injury to the third party either solely or as a joint tortfeasor. As stated by Lord MacMillan in his reasons (at 349):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stevedores were entitled to tell him where to go, what parcels to lift, and where to take them,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xml:space="preserve">, they could direct him as to what they wanted him to do, but they had no authority to tell him how he was to handle the crane in doing his work. In driving the crane, which was the board's property confined to his charge, he was acting as the servant of the board, not as the servant of the stevedores. It was not in consequence of any order of the stevedores that he negligently ran down the plaintiff. It was in consequence of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driving the crane, that is to say, in performing the work which he was employed by the appellant board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And, as stated by Lord Uthwatt (at 355):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proper test is whether or not the hirer had authority to control the manner of execution of the act in question. Given the existence of that authority, its the exercise or non-exercise on the occasion of the doing of the act is irrelevant.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But perhaps the best articulation of the test came from Lord Porter, who said the following at 351: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Many factors have a bearing on the result. Who is the paymaster, who can dismiss, how long the alternative service lasts, what machinery is employed--all these questions have to be kept in mind. .. ..[B]ut among the many tests suggested I think that the most satisfactory by which to ascertain who is the employer at any particular time is to ask who is entitled to tell the employee the way in which he is to do the work upon which he is engaged. If someone other than his general employer is authorised to do this, he will, as a rule, be the person liable for the employee's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But it is not enough that the task to be performed should be under his control, he must also control the method of performing it. It is true that in most cases no orders as to how a job should be done are given or required. The man is left to do his own work in his own way, but the ultimate question is not what specific orders, or whether any specific orders, were given, but who is entitled to give the orders as how the work should be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Ultimately, according to the House of Lords, the question is "Who is entitled to give the orders as to </w:t>
      </w:r>
      <w:r>
        <w:rPr>
          <w:rFonts w:ascii="arial" w:eastAsia="arial" w:hAnsi="arial" w:cs="arial"/>
          <w:i/>
          <w:color w:val="000000"/>
          <w:sz w:val="20"/>
          <w:lang w:val="en-US" w:eastAsia="en-US" w:bidi="ar-SA"/>
        </w:rPr>
        <w:t>how</w:t>
      </w:r>
      <w:r>
        <w:rPr>
          <w:rFonts w:ascii="arial" w:eastAsia="arial" w:hAnsi="arial" w:cs="arial"/>
          <w:color w:val="000000"/>
          <w:sz w:val="20"/>
          <w:lang w:val="en-US" w:eastAsia="en-US" w:bidi="ar-SA"/>
        </w:rPr>
        <w:t xml:space="preserve"> the work should be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This principle was endorsed by the Alberta Court of Appeal in </w:t>
      </w:r>
      <w:r>
        <w:rPr>
          <w:rFonts w:ascii="arial" w:eastAsia="arial" w:hAnsi="arial" w:cs="arial"/>
          <w:i/>
          <w:color w:val="000000"/>
          <w:sz w:val="20"/>
          <w:lang w:val="en-US" w:eastAsia="en-US" w:bidi="ar-SA"/>
        </w:rPr>
        <w:t>Marine Pipeline &amp; Dredging Ltd. v. Canadian Fina Oil Ltd.</w:t>
      </w:r>
      <w:r>
        <w:rPr>
          <w:rFonts w:ascii="arial" w:eastAsia="arial" w:hAnsi="arial" w:cs="arial"/>
          <w:color w:val="000000"/>
          <w:sz w:val="20"/>
          <w:lang w:val="en-US" w:eastAsia="en-US" w:bidi="ar-SA"/>
        </w:rPr>
        <w:t xml:space="preserve"> </w:t>
      </w:r>
      <w:hyperlink r:id="rId164" w:history="1">
        <w:r>
          <w:rPr>
            <w:rFonts w:ascii="arial" w:eastAsia="arial" w:hAnsi="arial" w:cs="arial"/>
            <w:i/>
            <w:color w:val="0077CC"/>
            <w:sz w:val="20"/>
            <w:u w:val="single"/>
            <w:shd w:val="clear" w:color="auto" w:fill="FFFFFF"/>
            <w:lang w:val="en-US" w:eastAsia="en-US" w:bidi="ar-SA"/>
          </w:rPr>
          <w:t>(1964), 46 D.L.R. (2d) 495</w:t>
        </w:r>
      </w:hyperlink>
      <w:r>
        <w:rPr>
          <w:rFonts w:ascii="arial" w:eastAsia="arial" w:hAnsi="arial" w:cs="arial"/>
          <w:color w:val="000000"/>
          <w:sz w:val="20"/>
          <w:lang w:val="en-US" w:eastAsia="en-US" w:bidi="ar-SA"/>
        </w:rPr>
        <w:t xml:space="preserve"> (Alta. C.A.) at para. 37 [</w:t>
      </w:r>
      <w:r>
        <w:rPr>
          <w:rFonts w:ascii="arial" w:eastAsia="arial" w:hAnsi="arial" w:cs="arial"/>
          <w:i/>
          <w:color w:val="000000"/>
          <w:sz w:val="20"/>
          <w:lang w:val="en-US" w:eastAsia="en-US" w:bidi="ar-SA"/>
        </w:rPr>
        <w:t>Marine Pipeline &amp; Dredging</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Significantly, this Court endorsed the principle more recently in </w:t>
      </w:r>
      <w:r>
        <w:rPr>
          <w:rFonts w:ascii="arial" w:eastAsia="arial" w:hAnsi="arial" w:cs="arial"/>
          <w:i/>
          <w:color w:val="000000"/>
          <w:sz w:val="20"/>
          <w:lang w:val="en-US" w:eastAsia="en-US" w:bidi="ar-SA"/>
        </w:rPr>
        <w:t>Nelson et al. v. Gubbins and Byron Price &amp; Associates Ltd.</w:t>
      </w:r>
      <w:r>
        <w:rPr>
          <w:rFonts w:ascii="arial" w:eastAsia="arial" w:hAnsi="arial" w:cs="arial"/>
          <w:color w:val="000000"/>
          <w:sz w:val="20"/>
          <w:lang w:val="en-US" w:eastAsia="en-US" w:bidi="ar-SA"/>
        </w:rPr>
        <w:t xml:space="preserve"> (1979), </w:t>
      </w:r>
      <w:hyperlink r:id="rId165" w:history="1">
        <w:r>
          <w:rPr>
            <w:rFonts w:ascii="arial" w:eastAsia="arial" w:hAnsi="arial" w:cs="arial"/>
            <w:i/>
            <w:color w:val="0077CC"/>
            <w:sz w:val="20"/>
            <w:u w:val="single"/>
            <w:shd w:val="clear" w:color="auto" w:fill="FFFFFF"/>
            <w:lang w:val="en-US" w:eastAsia="en-US" w:bidi="ar-SA"/>
          </w:rPr>
          <w:t>(1980), 106 D.L.R. (3d) 486</w:t>
        </w:r>
      </w:hyperlink>
      <w:r>
        <w:rPr>
          <w:rFonts w:ascii="arial" w:eastAsia="arial" w:hAnsi="arial" w:cs="arial"/>
          <w:color w:val="000000"/>
          <w:sz w:val="20"/>
          <w:lang w:val="en-US" w:eastAsia="en-US" w:bidi="ar-SA"/>
        </w:rPr>
        <w:t xml:space="preserve"> (B.C.S.C.), where Mr. Justice Taylor (as he then was), adopted the decision in </w:t>
      </w:r>
      <w:r>
        <w:rPr>
          <w:rFonts w:ascii="arial" w:eastAsia="arial" w:hAnsi="arial" w:cs="arial"/>
          <w:i/>
          <w:color w:val="000000"/>
          <w:sz w:val="20"/>
          <w:lang w:val="en-US" w:eastAsia="en-US" w:bidi="ar-SA"/>
        </w:rPr>
        <w:t>Marine Pipeline &amp; Dredging Ltd.</w:t>
      </w:r>
      <w:r>
        <w:rPr>
          <w:rFonts w:ascii="arial" w:eastAsia="arial" w:hAnsi="arial" w:cs="arial"/>
          <w:color w:val="000000"/>
          <w:sz w:val="20"/>
          <w:lang w:val="en-US" w:eastAsia="en-US" w:bidi="ar-SA"/>
        </w:rPr>
        <w:t xml:space="preserve"> Taylor J. said the following at 489-490: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Insofar as the law on this matter can be said to be clear, it is, I think, clear that the existence of a master-servant relationship, or so-called contract of service, is </w:t>
      </w:r>
      <w:r>
        <w:rPr>
          <w:rFonts w:ascii="arial" w:eastAsia="arial" w:hAnsi="arial" w:cs="arial"/>
          <w:i/>
          <w:color w:val="000000"/>
          <w:sz w:val="20"/>
          <w:lang w:val="en-US" w:eastAsia="en-US" w:bidi="ar-SA"/>
        </w:rPr>
        <w:t>not</w:t>
      </w:r>
      <w:r>
        <w:rPr>
          <w:rFonts w:ascii="arial" w:eastAsia="arial" w:hAnsi="arial" w:cs="arial"/>
          <w:color w:val="000000"/>
          <w:sz w:val="20"/>
          <w:lang w:val="en-US" w:eastAsia="en-US" w:bidi="ar-SA"/>
        </w:rPr>
        <w:t xml:space="preserve"> dependent on the right either to employ or discharge, nor on the payment of the servant's wages being the responsibility of the alleged master. The criteria for establishment of the existence of the relationship are discussed by the Alberta Court of Appeal in </w:t>
      </w:r>
      <w:r>
        <w:rPr>
          <w:rFonts w:ascii="arial" w:eastAsia="arial" w:hAnsi="arial" w:cs="arial"/>
          <w:i/>
          <w:color w:val="000000"/>
          <w:sz w:val="20"/>
          <w:lang w:val="en-US" w:eastAsia="en-US" w:bidi="ar-SA"/>
        </w:rPr>
        <w:t>Marine Pipeline &amp; Dredging Ltd...</w:t>
      </w:r>
      <w:r>
        <w:rPr>
          <w:rFonts w:ascii="arial" w:eastAsia="arial" w:hAnsi="arial" w:cs="arial"/>
          <w:color w:val="000000"/>
          <w:sz w:val="20"/>
          <w:lang w:val="en-US" w:eastAsia="en-US" w:bidi="ar-SA"/>
        </w:rPr>
        <w:t xml:space="preserve"> Kane J.A., giving judgment of the court in that case, noted that Lord Thankerton, whose view was concurred in by all of the Law Lords, adopted in </w:t>
      </w:r>
      <w:r>
        <w:rPr>
          <w:rFonts w:ascii="arial" w:eastAsia="arial" w:hAnsi="arial" w:cs="arial"/>
          <w:i/>
          <w:color w:val="000000"/>
          <w:sz w:val="20"/>
          <w:lang w:val="en-US" w:eastAsia="en-US" w:bidi="ar-SA"/>
        </w:rPr>
        <w:t>Short v. J. and W. Henderson Ltd.</w:t>
      </w:r>
      <w:r>
        <w:rPr>
          <w:rFonts w:ascii="arial" w:eastAsia="arial" w:hAnsi="arial" w:cs="arial"/>
          <w:color w:val="000000"/>
          <w:sz w:val="20"/>
          <w:lang w:val="en-US" w:eastAsia="en-US" w:bidi="ar-SA"/>
        </w:rPr>
        <w:t xml:space="preserve"> (1946), 174 L.T. 417 (H.L.) , a statement of the present law which places emphasis, not on the right to hire and discharge and the duty to pay wages, but on </w:t>
      </w:r>
      <w:r>
        <w:rPr>
          <w:rFonts w:ascii="arial" w:eastAsia="arial" w:hAnsi="arial" w:cs="arial"/>
          <w:i/>
          <w:color w:val="000000"/>
          <w:sz w:val="20"/>
          <w:lang w:val="en-US" w:eastAsia="en-US" w:bidi="ar-SA"/>
        </w:rPr>
        <w:t>control of the method of doing the work,</w:t>
      </w:r>
      <w:r>
        <w:rPr>
          <w:rFonts w:ascii="arial" w:eastAsia="arial" w:hAnsi="arial" w:cs="arial"/>
          <w:color w:val="000000"/>
          <w:sz w:val="20"/>
          <w:lang w:val="en-US" w:eastAsia="en-US" w:bidi="ar-SA"/>
        </w:rPr>
        <w:t xml:space="preserve"> as pointing to the servant's master. The statement cited by Lord Thankerton with approval is to the effect that the principal requirement of a contract of service is "the right of the master in some reasonable sense to control the method of doing the work" and that this factor of "superintendence and control" may be decisive of the existence of the relationship.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above statement of the law by Taylor J. is, in my respectful view, the correct statement of the law with respect to the question of liability where the workforce in question is a borrowed workforce.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It is common ground that CIMS was solely responsible for the hiring of the CIMS boilermakers, subject only to the hiring hall rules of the Boilermakers' Union, and that CIMS paid the wages, accommodation expenses, and travel expenses of its employees. However, the issue here is not whether CIMS was the general employer of its personnel, or whether the CIMS personnel were employees or independent contractors (the issues addressed in much of the case law advanced by WSI). CIMS does not dispute that it employed the B.C. boilermakers. The whole point of the arrangement between WSI and CIMS was to have CIMS provide the manpower, much of it from CIMS' own workforce, to provide WSI with assistance for the overlay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issue arising in this application is who directed and controlled the method of performing the Convection Work, including application of the overlay in the area previously repaired by WKM.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evidence, as already noted, is that the method of doing the work was directed and controlled by WSI. Mr. Johnson, the representative of CIMS with direct knowledge of the workplace arrangements between WSI and CIMS, and who was examined for discovery by WSI presumably because of that direct knowledge, deposed that WSI trained and certified the CIMS boilermakers, and directed all of the overlay work. The overlay work was the specific responsibility of WSI. WSI developed and owned the technology and had the expertise to use it. WSI certified that it completed the work under its welding procedures and with its own employees in the Boiler Repair/Alteration Report that it was under a statutory duty to provide.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the main action, Teck must prove its assertion that the failed Patch was the work of WSI. If Teck fails to prove that assertion, WSI will not be liable to Teck and will have no claim against CIMS for indemnity or contribution.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WSI denies having installed the failed Patch and denies any knowledge of CIMS having done so. WSI issued the third party notice against CIMS at least in part on the basis of its defence that CIMS, as a "rogue actor", installed the Patch without the consent or direction of WSI. The difficulty for WSI on this application is that it has provided no evidence, direct or circumstantial, to establish even the possibility of succeeding on such a claim. Having said that, were the trial judge to find that CIMS installed the Patch as a rogue actor, the result would be the dismissal of Teck's action against WSI and, once again, there would be no claim against CIMS for indemnity or contribution.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On the other hand, if WSI is found to have installed the failed Patch in August 2002, there is no basis in the evidence as it currently stands permitting WSI to seek contribution or indemnity from CIMS. Only the Panel Replacement Work was within CIMS' scope of work, and CIMS certified that it was done under its welding procedures with its workforce. The only work done in the area of the failed Patch was work specifically and fully within WSI's scope of work. That work was done under the control and supervision of WSI, who certified that the work was done under its welding procedures and by its employees. In the event that WSI is found to have installed the Patch, on the evidence as it currently stands, WSI did so without a work order, it did not disclose to Teck that it performed the work, and it did not certify the work. There is no evidence to suggest that WSI can attribute any of that conduct to CIMS.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IV. </w:t>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On the basis of the foregoing, CIMS is entitled to the order it seeks dismissing the third party claim of WSI.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Unless there are issues relating to costs of which I am not aware, CIMS is entitled to its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 WEDGE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0" style="position:absolute;z-index:2517678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66"/>
          <w:headerReference w:type="default" r:id="rId167"/>
          <w:footerReference w:type="even" r:id="rId168"/>
          <w:footerReference w:type="default" r:id="rId169"/>
          <w:headerReference w:type="first" r:id="rId170"/>
          <w:footerReference w:type="first" r:id="rId17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72" w:history="1">
        <w:r>
          <w:rPr>
            <w:rFonts w:ascii="arial" w:eastAsia="arial" w:hAnsi="arial" w:cs="arial"/>
            <w:b/>
            <w:bCs/>
            <w:i/>
            <w:color w:val="0077CC"/>
            <w:kern w:val="32"/>
            <w:sz w:val="28"/>
            <w:szCs w:val="32"/>
            <w:u w:val="single"/>
            <w:shd w:val="clear" w:color="auto" w:fill="FFFFFF"/>
            <w:lang w:val="en-US" w:eastAsia="en-US" w:bidi="ar-SA"/>
          </w:rPr>
          <w:t>Tenhunen v. Tenhunen, [2015] B.C.J. No. 1161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 Johnston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3-7, 2014; submissions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plaintiff and defendant, April 23,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May 5, 7 and 13,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4,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12-4341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1161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955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Beverly Elaine Esther Tenhunen, Plaintiff, and Kim Tenhunen,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(38 paras.)</w:t>
      </w:r>
    </w:p>
    <w:p>
      <w:pPr>
        <w:jc w:val="both"/>
        <w:rPr>
          <w:rFonts w:ascii="arial" w:eastAsia="arial" w:hAnsi="arial" w:cs="arial"/>
          <w:sz w:val="20"/>
          <w:lang w:val="en-US" w:eastAsia="en-US" w:bidi="ar-SA"/>
        </w:rPr>
      </w:pPr>
      <w:bookmarkStart w:id="56" w:name="Counsel_7"/>
      <w:bookmarkEnd w:id="5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1" style="position:absolute;z-index:251666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J.A.S. Legh.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M.F. O'Meara.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7" w:name="Judgment_7"/>
      <w:bookmarkEnd w:id="57"/>
      <w:r>
        <w:pict>
          <v:line id="_x0000_s1052" style="position:absolute;z-index:25171763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(On Costs)</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8" w:name="R. JOHNSTON J."/>
            <w:bookmarkEnd w:id="58"/>
            <w:r>
              <w:rPr>
                <w:rFonts w:ascii="arial" w:eastAsia="arial" w:hAnsi="arial" w:cs="arial"/>
                <w:b/>
                <w:color w:val="000000"/>
                <w:sz w:val="30"/>
                <w:lang w:val="en-US" w:eastAsia="en-US" w:bidi="ar-SA"/>
              </w:rPr>
              <w:t>R. JOHNSTON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action, in which damages were claimed for breach of duties under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resulted in an equal division of liability between plaintiff and defendant, with the plaintiff's damages assessed at $250,182.38 before apportionment for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reasons for these results can be found at </w:t>
      </w:r>
      <w:hyperlink r:id="rId173" w:history="1">
        <w:r>
          <w:rPr>
            <w:rFonts w:ascii="arial" w:eastAsia="arial" w:hAnsi="arial" w:cs="arial"/>
            <w:i/>
            <w:color w:val="0077CC"/>
            <w:sz w:val="20"/>
            <w:u w:val="single"/>
            <w:shd w:val="clear" w:color="auto" w:fill="FFFFFF"/>
            <w:lang w:val="en-US" w:eastAsia="en-US" w:bidi="ar-SA"/>
          </w:rPr>
          <w:t>2015 BCSC 26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 now seeks 100% of her costs in spite of the division of liability, asking that the court exercise its discretion under s. 3(1)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also seeks double costs after October 10, 2014, when she offered to settle her claims for $100,000 plus costs, or in the alternative double costs after October 30, 2014, when she delivered a new offer in which she said she would accept $80,000 plus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October 10, 2014, offer was open for acceptance until 4:00 p.m. on October 23, 2014. The October 30, 2014, offer was open until the commencement of trial. Neither offer was accepted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plaintiff's claims sounded in occupiers' liability. The defendant denied liability and argued in the alternative that the plaintiff failed to take reasonable care for her own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slipped and fell from a ramp built by the defendant outside the defendant's rental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plaintiff's major injury was a fracture in her knee, with resulting ligament instability.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trial proceeded on November 3, 2014, and lasted five days, with judgment reserved.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Full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plaintiff's first submission is based on s. 3(1)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which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(1) Unless the court otherwise directs, the liability for costs of the parties to every action is in the same proportion as their respective liability to make good the damage or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 submits that the court should exercise the discretion conferred by the statute to award her full costs in spite of the division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defendant submits that the court should apply the "usual rule" and apportion costs in the same way as liability, the rule that has been accepted since the decision in </w:t>
      </w:r>
      <w:r>
        <w:rPr>
          <w:rFonts w:ascii="arial" w:eastAsia="arial" w:hAnsi="arial" w:cs="arial"/>
          <w:i/>
          <w:color w:val="000000"/>
          <w:sz w:val="20"/>
          <w:lang w:val="en-US" w:eastAsia="en-US" w:bidi="ar-SA"/>
        </w:rPr>
        <w:t>Flatley v. Denike</w:t>
      </w:r>
      <w:r>
        <w:rPr>
          <w:rFonts w:ascii="arial" w:eastAsia="arial" w:hAnsi="arial" w:cs="arial"/>
          <w:color w:val="000000"/>
          <w:sz w:val="20"/>
          <w:lang w:val="en-US" w:eastAsia="en-US" w:bidi="ar-SA"/>
        </w:rPr>
        <w:t xml:space="preserve"> </w:t>
      </w:r>
      <w:hyperlink r:id="rId174" w:history="1">
        <w:r>
          <w:rPr>
            <w:rFonts w:ascii="arial" w:eastAsia="arial" w:hAnsi="arial" w:cs="arial"/>
            <w:i/>
            <w:color w:val="0077CC"/>
            <w:sz w:val="20"/>
            <w:u w:val="single"/>
            <w:shd w:val="clear" w:color="auto" w:fill="FFFFFF"/>
            <w:lang w:val="en-US" w:eastAsia="en-US" w:bidi="ar-SA"/>
          </w:rPr>
          <w:t>(1997), 144 D.L.R. (4th) 450</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That was the issue in </w:t>
      </w:r>
      <w:r>
        <w:rPr>
          <w:rFonts w:ascii="arial" w:eastAsia="arial" w:hAnsi="arial" w:cs="arial"/>
          <w:i/>
          <w:color w:val="000000"/>
          <w:sz w:val="20"/>
          <w:lang w:val="en-US" w:eastAsia="en-US" w:bidi="ar-SA"/>
        </w:rPr>
        <w:t>Moses v. Kim</w:t>
      </w:r>
      <w:r>
        <w:rPr>
          <w:rFonts w:ascii="arial" w:eastAsia="arial" w:hAnsi="arial" w:cs="arial"/>
          <w:color w:val="000000"/>
          <w:sz w:val="20"/>
          <w:lang w:val="en-US" w:eastAsia="en-US" w:bidi="ar-SA"/>
        </w:rPr>
        <w:t xml:space="preserve">, </w:t>
      </w:r>
      <w:hyperlink r:id="rId26" w:history="1">
        <w:r>
          <w:rPr>
            <w:rFonts w:ascii="arial" w:eastAsia="arial" w:hAnsi="arial" w:cs="arial"/>
            <w:i/>
            <w:color w:val="0077CC"/>
            <w:sz w:val="20"/>
            <w:u w:val="single"/>
            <w:shd w:val="clear" w:color="auto" w:fill="FFFFFF"/>
            <w:lang w:val="en-US" w:eastAsia="en-US" w:bidi="ar-SA"/>
          </w:rPr>
          <w:t>2007 BCSC 1820</w:t>
        </w:r>
      </w:hyperlink>
      <w:r>
        <w:rPr>
          <w:rFonts w:ascii="arial" w:eastAsia="arial" w:hAnsi="arial" w:cs="arial"/>
          <w:color w:val="000000"/>
          <w:sz w:val="20"/>
          <w:lang w:val="en-US" w:eastAsia="en-US" w:bidi="ar-SA"/>
        </w:rPr>
        <w:t>, where the trial judge apportioned fault for an accident at 65% to the plaintiff pedestrian, 35% to the defendant driver, and then exercised her discretion to award the plaintiff 90% of his costs, listing eleven factors relevant to the exercise of discretion.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Both parties argued this application on the basis of the eleven factors set out in the trial decision in </w:t>
      </w:r>
      <w:r>
        <w:rPr>
          <w:rFonts w:ascii="arial" w:eastAsia="arial" w:hAnsi="arial" w:cs="arial"/>
          <w:i/>
          <w:color w:val="000000"/>
          <w:sz w:val="20"/>
          <w:lang w:val="en-US" w:eastAsia="en-US" w:bidi="ar-SA"/>
        </w:rPr>
        <w:t>Moses</w:t>
      </w:r>
      <w:r>
        <w:rPr>
          <w:rFonts w:ascii="arial" w:eastAsia="arial" w:hAnsi="arial" w:cs="arial"/>
          <w:color w:val="000000"/>
          <w:sz w:val="20"/>
          <w:lang w:val="en-US" w:eastAsia="en-US" w:bidi="ar-SA"/>
        </w:rPr>
        <w:t xml:space="preserve">, but </w:t>
      </w:r>
      <w:r>
        <w:rPr>
          <w:rFonts w:ascii="arial" w:eastAsia="arial" w:hAnsi="arial" w:cs="arial"/>
          <w:i/>
          <w:color w:val="000000"/>
          <w:sz w:val="20"/>
          <w:lang w:val="en-US" w:eastAsia="en-US" w:bidi="ar-SA"/>
        </w:rPr>
        <w:t>Moses</w:t>
      </w:r>
      <w:r>
        <w:rPr>
          <w:rFonts w:ascii="arial" w:eastAsia="arial" w:hAnsi="arial" w:cs="arial"/>
          <w:color w:val="000000"/>
          <w:sz w:val="20"/>
          <w:lang w:val="en-US" w:eastAsia="en-US" w:bidi="ar-SA"/>
        </w:rPr>
        <w:t xml:space="preserve"> went to appeal, including on the costs issue: </w:t>
      </w:r>
      <w:r>
        <w:rPr>
          <w:rFonts w:ascii="arial" w:eastAsia="arial" w:hAnsi="arial" w:cs="arial"/>
          <w:i/>
          <w:color w:val="000000"/>
          <w:sz w:val="20"/>
          <w:lang w:val="en-US" w:eastAsia="en-US" w:bidi="ar-SA"/>
        </w:rPr>
        <w:t>Moses v. Kim</w:t>
      </w:r>
      <w:r>
        <w:rPr>
          <w:rFonts w:ascii="arial" w:eastAsia="arial" w:hAnsi="arial" w:cs="arial"/>
          <w:color w:val="000000"/>
          <w:sz w:val="20"/>
          <w:lang w:val="en-US" w:eastAsia="en-US" w:bidi="ar-SA"/>
        </w:rPr>
        <w:t xml:space="preserve">, </w:t>
      </w:r>
      <w:hyperlink r:id="rId175" w:history="1">
        <w:r>
          <w:rPr>
            <w:rFonts w:ascii="arial" w:eastAsia="arial" w:hAnsi="arial" w:cs="arial"/>
            <w:i/>
            <w:color w:val="0077CC"/>
            <w:sz w:val="20"/>
            <w:u w:val="single"/>
            <w:shd w:val="clear" w:color="auto" w:fill="FFFFFF"/>
            <w:lang w:val="en-US" w:eastAsia="en-US" w:bidi="ar-SA"/>
          </w:rPr>
          <w:t>2009 BCCA 82</w:t>
        </w:r>
      </w:hyperlink>
      <w:r>
        <w:rPr>
          <w:rFonts w:ascii="arial" w:eastAsia="arial" w:hAnsi="arial" w:cs="arial"/>
          <w:color w:val="000000"/>
          <w:sz w:val="20"/>
          <w:lang w:val="en-US" w:eastAsia="en-US" w:bidi="ar-SA"/>
        </w:rPr>
        <w:t>. The Court of Appeal reduced the trial judge's eleven factors to six, and said that one of those six -- the plaintiff's financial circumstances -- was considered in error by the trial judge. The five that remained were:</w:t>
      </w:r>
      <w:r>
        <w:rPr>
          <w:rFonts w:ascii="arial" w:eastAsia="arial" w:hAnsi="arial" w:cs="arial"/>
          <w:sz w:val="20"/>
          <w:lang w:val="en-US" w:eastAsia="en-US" w:bidi="ar-SA"/>
        </w:rPr>
        <w:cr/>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seriously injured and no longer employable;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defence denied liability, arguing that the accident was entirely the fault of the plaintiff;</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trial lasted nine days, with one day of evidence relating to liability and one half day of argument on the liability issue;</w:t>
      </w:r>
    </w:p>
    <w:p>
      <w:pPr>
        <w:numPr>
          <w:numId w:val="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awarded were $218,050; and</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calculation of taxable costs was approximately $84,000.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Court of Appeal added its own considerations, including:</w:t>
      </w:r>
      <w:r>
        <w:rPr>
          <w:rFonts w:ascii="arial" w:eastAsia="arial" w:hAnsi="arial" w:cs="arial"/>
          <w:sz w:val="20"/>
          <w:lang w:val="en-US" w:eastAsia="en-US" w:bidi="ar-SA"/>
        </w:rPr>
        <w:cr/>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award of $218,050 amounted to about a quarter of what he had sought and a third of what he proved at trial; and</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trial judge had failed to consider the defendants' degree of success on their claim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Employing these criteria, the Court of Appeal reduced the plaintiff's costs recovery from 90% to 75%. I will apply the factors listed in the appellate decision as a non-exhaustive set of criteria.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Tenhunen's injuries were more than trifling. They have not prevented her from working but have caused the plaintiff discomfort and inconvenience at her job. I consider this factor relatively neutral.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defendant denied liability throughout, culminating in a "no evidence" motion at the close of the plaintiff's case. This was in spite of the defendant's knowledge that the ramp she had built herself had no guard or handrail, and despite the defendant having it pointed out to her that the slope of the ramp was greater than provided in the Building Code when the plaintiff's expert report was delivered. This factor favours an increase in the plaintiff's costs recovery beyond the "usual rule" reflecting the division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trial lasted five days, during which the plaintiff testified slightly longer about liability issues than quantum issues. The plaintiff's other witnesses called to support her damages claims took no more than another day, and the balance was devoted to liability. The plaintiff testified all of the first day and somewhat more than an hour on the second day. As a rough assessment, I estimate that about 60% of the evidence portion of the trial, in which I include a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 xml:space="preserve"> on the admissibility of an expert report and the defendant's no evidence motion, was devoted to liability. The rest was devoted to proving damages. This factor very slightly favours leaving costs at the same proportion as the liability division.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damages awarded were just over $125,000 after reduction for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which represents success on the plaintiff's part. This factor favours an increase in the cost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has presented a draft bill of costs that shows 170 units claimed, for $18,700 before taxes on the costs portion, and $21,597.75 in disbursements. With taxes the bill as presented totals $42,541.75. This factor is somewhat difficult to evaluate, as in every case where liability is divided, and a defendant has suffered no damage, the plaintiff will recover a portion only of his or her costs of succeeding. Full costs have never been intended to fully indemnify a party who has been compelled to incur often substantial expense to establish a right to recover damages, and the situation is always worse when liability for damages is divided, and recovery only partial. There continue to be incentives to both parties to settle before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defendant was equally successful on the issue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which I repeat took over half of the trial time. This factor is neutral in my 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all of these circumstances, I am persuaded that this is a case where I should exercise my discretion to deviate from the ordinary rule as set out in s. 3(1)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and the plaintiff shall recover 65% of her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Double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Both parties made offers to settle prior to trial, thus Rule 9-1(5) and (6) are applicable. They provide:</w:t>
      </w:r>
      <w:r>
        <w:rPr>
          <w:rFonts w:ascii="arial" w:eastAsia="arial" w:hAnsi="arial" w:cs="arial"/>
          <w:sz w:val="20"/>
          <w:lang w:val="en-US" w:eastAsia="en-US" w:bidi="ar-SA"/>
        </w:rPr>
        <w:cr/>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options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 proceeding in which an offer to settle has been made, the court may do one or more of the following:</w:t>
      </w:r>
    </w:p>
    <w:p>
      <w:pPr>
        <w:numPr>
          <w:numId w:val="10"/>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deprive a party of any or all of the costs, including any or all of the disbursements, to which the party would otherwise be entitled in respect of all or some of the steps taken in the proceeding after the date of delivery or service of the offer to settle;</w:t>
      </w:r>
    </w:p>
    <w:p>
      <w:pPr>
        <w:numPr>
          <w:numId w:val="11"/>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award double costs of all or some of the steps taken in the proceeding after the date of delivery or service of the offer to settle;</w:t>
      </w:r>
    </w:p>
    <w:p>
      <w:pPr>
        <w:numPr>
          <w:numId w:val="12"/>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award to a party, in respect of all or some of the steps taken in the proceeding after the date of delivery or service of the offer to settle, costs to which the party would have been entitled had the offer not been made;</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offer was made by a defendant and the judgment awarded to the plaintiff was no greater than the amount of the offer to settle, award to the defendant the defendant's costs in respect of all or some of the steps taken in the proceeding after the date of delivery or service of the offer to settle.</w:t>
      </w:r>
    </w:p>
    <w:p>
      <w:pPr>
        <w:numPr>
          <w:numId w:val="16"/>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Considerations of court</w:t>
      </w:r>
    </w:p>
    <w:p>
      <w:pPr>
        <w:numPr>
          <w:numId w:val="17"/>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In making an order under subrule (5), the court may consider the following:</w:t>
      </w:r>
    </w:p>
    <w:p>
      <w:pPr>
        <w:numPr>
          <w:numId w:val="18"/>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offer to settle was one that ought reasonably to have been accepted, either on the date that the offer to settle was delivered or served or on any later date;</w:t>
      </w:r>
    </w:p>
    <w:p>
      <w:pPr>
        <w:numPr>
          <w:numId w:val="19"/>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relationship between the terms of settlement offered and the final judgment of the court;</w:t>
      </w:r>
    </w:p>
    <w:p>
      <w:pPr>
        <w:numPr>
          <w:numId w:val="2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relative financial circumstances of the parties;</w:t>
      </w:r>
    </w:p>
    <w:p>
      <w:pPr>
        <w:numPr>
          <w:numId w:val="2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factor the court considers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seeks double costs after the second of her three offers to settle.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history of the offers to settle starts with the plaintiff, who offered to accept $160,000 plus costs by letter dated June 6, 2014. On October 10, 2014, the plaintiff offered to accept $100,000 plus costs. This offer was open until October 23, 2014. It was not accepted. On October 30, 2014, the defendant offered to settle for $40,000 all-inclusive of costs and disbursements, this offer open until 9:30 a.m., November 3, 2014, the day the trial started. Also on October 30, the plaintiff offered to accept $80,000 plus costs and disbursements, her offer to remain open as well until the morning of trial. This offer was also not accepted.</w:t>
      </w:r>
      <w:r>
        <w:rPr>
          <w:rFonts w:ascii="arial" w:eastAsia="arial" w:hAnsi="arial" w:cs="arial"/>
          <w:sz w:val="20"/>
          <w:lang w:val="en-US" w:eastAsia="en-US" w:bidi="ar-SA"/>
        </w:rPr>
        <w:cr/>
      </w:r>
    </w:p>
    <w:p>
      <w:pPr>
        <w:numPr>
          <w:numId w:val="2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Whether the offer ought reasonably to have been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This factor is to be considered from the point of view of the defendant as offeree at the time the offer was open for acceptance, and should be considered independent of the result, that is, without benefit of hindsight: </w:t>
      </w:r>
      <w:r>
        <w:rPr>
          <w:rFonts w:ascii="arial" w:eastAsia="arial" w:hAnsi="arial" w:cs="arial"/>
          <w:i/>
          <w:color w:val="000000"/>
          <w:sz w:val="20"/>
          <w:lang w:val="en-US" w:eastAsia="en-US" w:bidi="ar-SA"/>
        </w:rPr>
        <w:t>Ward v. Klaus</w:t>
      </w:r>
      <w:r>
        <w:rPr>
          <w:rFonts w:ascii="arial" w:eastAsia="arial" w:hAnsi="arial" w:cs="arial"/>
          <w:color w:val="000000"/>
          <w:sz w:val="20"/>
          <w:lang w:val="en-US" w:eastAsia="en-US" w:bidi="ar-SA"/>
        </w:rPr>
        <w:t xml:space="preserve">, </w:t>
      </w:r>
      <w:hyperlink r:id="rId176" w:history="1">
        <w:r>
          <w:rPr>
            <w:rFonts w:ascii="arial" w:eastAsia="arial" w:hAnsi="arial" w:cs="arial"/>
            <w:i/>
            <w:color w:val="0077CC"/>
            <w:sz w:val="20"/>
            <w:u w:val="single"/>
            <w:shd w:val="clear" w:color="auto" w:fill="FFFFFF"/>
            <w:lang w:val="en-US" w:eastAsia="en-US" w:bidi="ar-SA"/>
          </w:rPr>
          <w:t>2012 BCSC 99</w:t>
        </w:r>
      </w:hyperlink>
      <w:r>
        <w:rPr>
          <w:rFonts w:ascii="arial" w:eastAsia="arial" w:hAnsi="arial" w:cs="arial"/>
          <w:color w:val="000000"/>
          <w:sz w:val="20"/>
          <w:lang w:val="en-US" w:eastAsia="en-US" w:bidi="ar-SA"/>
        </w:rPr>
        <w:t xml:space="preserve"> at para.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As well, how much time an offeree has to decide whether to accept an offer can be a relevant consideration. A reasonable amount of time in which to consider an offer has been held to be seven days: see </w:t>
      </w:r>
      <w:r>
        <w:rPr>
          <w:rFonts w:ascii="arial" w:eastAsia="arial" w:hAnsi="arial" w:cs="arial"/>
          <w:i/>
          <w:color w:val="000000"/>
          <w:sz w:val="20"/>
          <w:lang w:val="en-US" w:eastAsia="en-US" w:bidi="ar-SA"/>
        </w:rPr>
        <w:t>Coquitlam (City) v. Crawford</w:t>
      </w:r>
      <w:r>
        <w:rPr>
          <w:rFonts w:ascii="arial" w:eastAsia="arial" w:hAnsi="arial" w:cs="arial"/>
          <w:color w:val="000000"/>
          <w:sz w:val="20"/>
          <w:lang w:val="en-US" w:eastAsia="en-US" w:bidi="ar-SA"/>
        </w:rPr>
        <w:t xml:space="preserve">, </w:t>
      </w:r>
      <w:hyperlink r:id="rId177" w:history="1">
        <w:r>
          <w:rPr>
            <w:rFonts w:ascii="arial" w:eastAsia="arial" w:hAnsi="arial" w:cs="arial"/>
            <w:i/>
            <w:color w:val="0077CC"/>
            <w:sz w:val="20"/>
            <w:u w:val="single"/>
            <w:shd w:val="clear" w:color="auto" w:fill="FFFFFF"/>
            <w:lang w:val="en-US" w:eastAsia="en-US" w:bidi="ar-SA"/>
          </w:rPr>
          <w:t>2008 BCSC 1507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Arnold v. Cartwright Estate</w:t>
      </w:r>
      <w:r>
        <w:rPr>
          <w:rFonts w:ascii="arial" w:eastAsia="arial" w:hAnsi="arial" w:cs="arial"/>
          <w:color w:val="000000"/>
          <w:sz w:val="20"/>
          <w:lang w:val="en-US" w:eastAsia="en-US" w:bidi="ar-SA"/>
        </w:rPr>
        <w:t xml:space="preserve">, </w:t>
      </w:r>
      <w:hyperlink r:id="rId178" w:history="1">
        <w:r>
          <w:rPr>
            <w:rFonts w:ascii="arial" w:eastAsia="arial" w:hAnsi="arial" w:cs="arial"/>
            <w:i/>
            <w:color w:val="0077CC"/>
            <w:sz w:val="20"/>
            <w:u w:val="single"/>
            <w:shd w:val="clear" w:color="auto" w:fill="FFFFFF"/>
            <w:lang w:val="en-US" w:eastAsia="en-US" w:bidi="ar-SA"/>
          </w:rPr>
          <w:t>2008 BCSC 1575</w:t>
        </w:r>
      </w:hyperlink>
      <w:r>
        <w:rPr>
          <w:rFonts w:ascii="arial" w:eastAsia="arial" w:hAnsi="arial" w:cs="arial"/>
          <w:color w:val="000000"/>
          <w:sz w:val="20"/>
          <w:lang w:val="en-US" w:eastAsia="en-US" w:bidi="ar-SA"/>
        </w:rPr>
        <w:t xml:space="preserve"> at para. 22; </w:t>
      </w:r>
      <w:r>
        <w:rPr>
          <w:rFonts w:ascii="arial" w:eastAsia="arial" w:hAnsi="arial" w:cs="arial"/>
          <w:i/>
          <w:color w:val="000000"/>
          <w:sz w:val="20"/>
          <w:lang w:val="en-US" w:eastAsia="en-US" w:bidi="ar-SA"/>
        </w:rPr>
        <w:t>Towson v. Bergman</w:t>
      </w:r>
      <w:r>
        <w:rPr>
          <w:rFonts w:ascii="arial" w:eastAsia="arial" w:hAnsi="arial" w:cs="arial"/>
          <w:color w:val="000000"/>
          <w:sz w:val="20"/>
          <w:lang w:val="en-US" w:eastAsia="en-US" w:bidi="ar-SA"/>
        </w:rPr>
        <w:t xml:space="preserve">, </w:t>
      </w:r>
      <w:hyperlink r:id="rId179" w:history="1">
        <w:r>
          <w:rPr>
            <w:rFonts w:ascii="arial" w:eastAsia="arial" w:hAnsi="arial" w:cs="arial"/>
            <w:i/>
            <w:color w:val="0077CC"/>
            <w:sz w:val="20"/>
            <w:u w:val="single"/>
            <w:shd w:val="clear" w:color="auto" w:fill="FFFFFF"/>
            <w:lang w:val="en-US" w:eastAsia="en-US" w:bidi="ar-SA"/>
          </w:rPr>
          <w:t>2009 BCSC 978</w:t>
        </w:r>
      </w:hyperlink>
      <w:r>
        <w:rPr>
          <w:rFonts w:ascii="arial" w:eastAsia="arial" w:hAnsi="arial" w:cs="arial"/>
          <w:color w:val="000000"/>
          <w:sz w:val="20"/>
          <w:lang w:val="en-US" w:eastAsia="en-US" w:bidi="ar-SA"/>
        </w:rPr>
        <w:t xml:space="preserve">. However, there is no rule to that effect, and what is a reasonable time will depend on the circumstances of the case: see </w:t>
      </w:r>
      <w:r>
        <w:rPr>
          <w:rFonts w:ascii="arial" w:eastAsia="arial" w:hAnsi="arial" w:cs="arial"/>
          <w:i/>
          <w:color w:val="000000"/>
          <w:sz w:val="20"/>
          <w:lang w:val="en-US" w:eastAsia="en-US" w:bidi="ar-SA"/>
        </w:rPr>
        <w:t>Dodge v. Shaw Cablesystems Ltd.</w:t>
      </w:r>
      <w:r>
        <w:rPr>
          <w:rFonts w:ascii="arial" w:eastAsia="arial" w:hAnsi="arial" w:cs="arial"/>
          <w:color w:val="000000"/>
          <w:sz w:val="20"/>
          <w:lang w:val="en-US" w:eastAsia="en-US" w:bidi="ar-SA"/>
        </w:rPr>
        <w:t xml:space="preserve">, </w:t>
      </w:r>
      <w:hyperlink r:id="rId180" w:history="1">
        <w:r>
          <w:rPr>
            <w:rFonts w:ascii="arial" w:eastAsia="arial" w:hAnsi="arial" w:cs="arial"/>
            <w:i/>
            <w:color w:val="0077CC"/>
            <w:sz w:val="20"/>
            <w:u w:val="single"/>
            <w:shd w:val="clear" w:color="auto" w:fill="FFFFFF"/>
            <w:lang w:val="en-US" w:eastAsia="en-US" w:bidi="ar-SA"/>
          </w:rPr>
          <w:t>2009 BCSC 1765</w:t>
        </w:r>
      </w:hyperlink>
      <w:r>
        <w:rPr>
          <w:rFonts w:ascii="arial" w:eastAsia="arial" w:hAnsi="arial" w:cs="arial"/>
          <w:color w:val="000000"/>
          <w:sz w:val="20"/>
          <w:lang w:val="en-US" w:eastAsia="en-US" w:bidi="ar-SA"/>
        </w:rPr>
        <w:t xml:space="preserve"> at para. 14. In this case, the defendant had a reasonable amount of time to consider the plaintiff's offer, particularly in light of the earlier and higher offer delivered October 10, 2014.</w:t>
      </w:r>
      <w:r>
        <w:rPr>
          <w:rFonts w:ascii="arial" w:eastAsia="arial" w:hAnsi="arial" w:cs="arial"/>
          <w:sz w:val="20"/>
          <w:lang w:val="en-US" w:eastAsia="en-US" w:bidi="ar-SA"/>
        </w:rPr>
        <w:cr/>
      </w:r>
    </w:p>
    <w:p>
      <w:pPr>
        <w:numPr>
          <w:numId w:val="23"/>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relationship between the offer and the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award at trial is an objective measure of the reasonableness of the offer and the decision to reject it. The plaintiff was awarded slightly over $125,000 at trial after apportionment. She will recover more than what she offered to accept.</w:t>
      </w:r>
      <w:r>
        <w:rPr>
          <w:rFonts w:ascii="arial" w:eastAsia="arial" w:hAnsi="arial" w:cs="arial"/>
          <w:sz w:val="20"/>
          <w:lang w:val="en-US" w:eastAsia="en-US" w:bidi="ar-SA"/>
        </w:rPr>
        <w:cr/>
      </w:r>
    </w:p>
    <w:p>
      <w:pPr>
        <w:numPr>
          <w:numId w:val="24"/>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relative financial circumstances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defendant's principal argument is based on Rule 9-1(6)(c), as she points to her own unfortunate circumstances, subsisting barely on a disability pension, and contrasts this to the far better financial position enjoyed by the plaintiff, who had been employed on an income between $77,000 and $101,511 in the five years between 2009 and 2013. The defendant argues that this financial disparity militates against an order for double costs. This submission, bearing in mind the evidence at trial, raises a logical question of insurance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and defendant are mother and daughter, respectively. They were and are close. The defendant ordinarily lives in the rented house where the plaintiff fell and suffered her injury, and from the photographs submitted into evidence, that residence would not suggest an ability to pay substantial damages. It is unlikely in the extreme that the plaintiff would sue her daughter, and proceed to trial, if the only prospects of recovery were limited to the defendant's disability pension.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While the defendant's straightened finances would argue against her being able to afford insurance premiums, those same financial constraints would argue more strongly against the defendant being able to afford to retain senior counsel for the entire action, or to offer to settle her mother's claims for $80,000 all-inclusive on October 30, 2014. I recognize that an offer to settle is not a guarantee of payment, as it would simply have entitled the plaintiff to enter judgment for the amount of the offer, had she accepted it. In these circumstances, however, the plaintiff would have every reason to know that her daughter had no ability to pay the amount offered from her own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defendant's argument under Rule 9-1(6)(c) made the question of insurance relevant to the costs issue, and by memorandum to counsel I invoked Rule 7-1(4) and asked if there were a policy of insurance to which the defendant could turn for indemnity. The Rule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Despite subrule (3), information concerning the insurance policy must not be disclosed to the court at trial unless it is relevant to an issue in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Counsel for the defendant replied to this question in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Finally, and more on the basis of a footnote, the Court has inquired as to whether there is a policy of insurance that the Defendant may look to for indemnification of damages and Costs. It would be entirely inappropriate for defence counsel to make any submission as to whether Ms. Kim Tenhunen may or may not look to a policy of insurance for indemnification. Defence counsel has a dual retainer in the circumstances and owes an obligation to both the Defendant and to an insurer not to compromise their respective interests: </w:t>
      </w:r>
      <w:r>
        <w:rPr>
          <w:rFonts w:ascii="arial" w:eastAsia="arial" w:hAnsi="arial" w:cs="arial"/>
          <w:i/>
          <w:color w:val="000000"/>
          <w:sz w:val="20"/>
          <w:lang w:val="en-US" w:eastAsia="en-US" w:bidi="ar-SA"/>
        </w:rPr>
        <w:t>Professional Conduct Handbook</w:t>
      </w:r>
      <w:r>
        <w:rPr>
          <w:rFonts w:ascii="arial" w:eastAsia="arial" w:hAnsi="arial" w:cs="arial"/>
          <w:color w:val="000000"/>
          <w:sz w:val="20"/>
          <w:lang w:val="en-US" w:eastAsia="en-US" w:bidi="ar-SA"/>
        </w:rPr>
        <w:t>, Chapter 6.4(a-d).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Code of Professional Conduct for British Columbia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Code</w:t>
      </w:r>
      <w:r>
        <w:rPr>
          <w:rFonts w:ascii="arial" w:eastAsia="arial" w:hAnsi="arial" w:cs="arial"/>
          <w:color w:val="000000"/>
          <w:sz w:val="20"/>
          <w:lang w:val="en-US" w:eastAsia="en-US" w:bidi="ar-SA"/>
        </w:rPr>
        <w:t xml:space="preserve">) replaced the </w:t>
      </w:r>
      <w:r>
        <w:rPr>
          <w:rFonts w:ascii="arial" w:eastAsia="arial" w:hAnsi="arial" w:cs="arial"/>
          <w:i/>
          <w:color w:val="000000"/>
          <w:sz w:val="20"/>
          <w:lang w:val="en-US" w:eastAsia="en-US" w:bidi="ar-SA"/>
        </w:rPr>
        <w:t>Professional Conduct Handbook</w:t>
      </w:r>
      <w:r>
        <w:rPr>
          <w:rFonts w:ascii="arial" w:eastAsia="arial" w:hAnsi="arial" w:cs="arial"/>
          <w:color w:val="000000"/>
          <w:sz w:val="20"/>
          <w:lang w:val="en-US" w:eastAsia="en-US" w:bidi="ar-SA"/>
        </w:rPr>
        <w:t xml:space="preserve"> on January 1, 2013. I have examined the previous rule cited by counsel, and see nothing there to prevent the disclosure requested. I have examined the </w:t>
      </w:r>
      <w:r>
        <w:rPr>
          <w:rFonts w:ascii="arial" w:eastAsia="arial" w:hAnsi="arial" w:cs="arial"/>
          <w:i/>
          <w:color w:val="000000"/>
          <w:sz w:val="20"/>
          <w:lang w:val="en-US" w:eastAsia="en-US" w:bidi="ar-SA"/>
        </w:rPr>
        <w:t>BC Code</w:t>
      </w:r>
      <w:r>
        <w:rPr>
          <w:rFonts w:ascii="arial" w:eastAsia="arial" w:hAnsi="arial" w:cs="arial"/>
          <w:color w:val="000000"/>
          <w:sz w:val="20"/>
          <w:lang w:val="en-US" w:eastAsia="en-US" w:bidi="ar-SA"/>
        </w:rPr>
        <w:t>, with the same results.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most charitable interpretation of counsel's argument is that it is hypothetical. Even on that assumption, it still does not respond to the question posed under Rule 7-1(4), and that is whether the existence of a policy of insurance is relevant to the costs issue, and, if it is, whether there is a policy of insurance available to the defendant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How a lawyer's duties are supervised by the Law Society -- to both an insurer who retains the lawyer and the insured on whose behalf the lawyer acts under the retainer -- have little to do with the question raised in this application. Nothing in the question put to counsel could raise a risk of dividing counsel's loyalties to an insurer and insured, assuming that is the relationship that has existed.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Counsel for the plaintiff has provided a copy of the policy of insurance that the defendant was obliged to produce as part of pre-trial document discovery. The argument against double costs based on the parties' relative financial circumstances ought not to have been made.</w:t>
      </w:r>
      <w:r>
        <w:rPr>
          <w:rFonts w:ascii="arial" w:eastAsia="arial" w:hAnsi="arial" w:cs="arial"/>
          <w:sz w:val="20"/>
          <w:lang w:val="en-US" w:eastAsia="en-US" w:bidi="ar-SA"/>
        </w:rPr>
        <w:cr/>
      </w:r>
    </w:p>
    <w:p>
      <w:pPr>
        <w:numPr>
          <w:numId w:val="25"/>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Any other factor the court considers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Neither party argued any other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plaintiff's offer of October 30, 2014, ought reasonably to have been accepted. It was less than the plaintiff achieved through trial. I infer that a party able to retain experienced counsel to conduct litigation through a five day trial and beyond, and to offer to settle for $80,000 before trial, is able to pay double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order the defendant to pay the plaintiff 65% of her costs at Scale B to October 30, 2014, and 65% doubled from October 30 to the present, plus 65% of her disbursements throughout.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 JOHNSTON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3" style="position:absolute;z-index:2517688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81"/>
          <w:headerReference w:type="default" r:id="rId182"/>
          <w:footerReference w:type="even" r:id="rId183"/>
          <w:footerReference w:type="default" r:id="rId184"/>
          <w:headerReference w:type="first" r:id="rId185"/>
          <w:footerReference w:type="first" r:id="rId18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79" w:history="1">
        <w:r>
          <w:rPr>
            <w:rFonts w:ascii="arial" w:eastAsia="arial" w:hAnsi="arial" w:cs="arial"/>
            <w:b/>
            <w:bCs/>
            <w:i/>
            <w:color w:val="0077CC"/>
            <w:kern w:val="32"/>
            <w:sz w:val="28"/>
            <w:szCs w:val="32"/>
            <w:u w:val="single"/>
            <w:shd w:val="clear" w:color="auto" w:fill="FFFFFF"/>
            <w:lang w:val="en-US" w:eastAsia="en-US" w:bidi="ar-SA"/>
          </w:rPr>
          <w:t>Towson v. Bergman, [2009] B.C.J. No. 1861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 Gray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21, 2009; written submissions, February 27,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March 16, 24 and April 8,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21,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M044452 and M054186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1861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978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CarswellBC 2498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181 A.C.W.S. (3d) 239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Erin Towson, Plaintiff, and Shawn Bergman, The Attorney General of British Columbia, Manuel Pizarro and Insurance Corporation of British Columbia, Defendants And between Erin Towson, Plaintiff, and Yuk Ching Teresa Chan and Yiu K. Ko,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(135 paras.)</w:t>
      </w:r>
    </w:p>
    <w:p>
      <w:pPr>
        <w:jc w:val="both"/>
        <w:rPr>
          <w:rFonts w:ascii="arial" w:eastAsia="arial" w:hAnsi="arial" w:cs="arial"/>
          <w:sz w:val="20"/>
          <w:lang w:val="en-US" w:eastAsia="en-US" w:bidi="ar-SA"/>
        </w:rPr>
      </w:pPr>
      <w:bookmarkStart w:id="59" w:name="Counsel_8"/>
      <w:bookmarkEnd w:id="5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4" style="position:absolute;z-index:251667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Y.S. Wong, M.P. Maryn.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AG of British Columbia and M. Pizarro: D. Kwan, M. Volk.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Shawn Bergman, Teresa Chan and Yiu K. Ko: G.L.F. Somers, Q.C., D.D. Poulin.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0" w:name="Judgment_8"/>
      <w:bookmarkEnd w:id="60"/>
      <w:r>
        <w:pict>
          <v:line id="_x0000_s1055" style="position:absolute;z-index:25171865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Re: Costs, Tax Gross-up, Periodic Payments,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and Deductions from Past Income Loss</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1" w:name="GRAY J."/>
            <w:bookmarkEnd w:id="61"/>
            <w:r>
              <w:rPr>
                <w:rFonts w:ascii="arial" w:eastAsia="arial" w:hAnsi="arial" w:cs="arial"/>
                <w:b/>
                <w:color w:val="000000"/>
                <w:sz w:val="30"/>
                <w:lang w:val="en-US" w:eastAsia="en-US" w:bidi="ar-SA"/>
              </w:rPr>
              <w:t>GRAY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October 27, 2002, the plaintiff, Ms. Towson, was a passenger in a car driven by her boyfriend, Mr. Bergman, when the car was struck by a RCMP vehicle driven by Cst. Pizarro. On February 18, 2004, Ms. Towson was in another accident with Ms. Chan, who was driving a car owned by Mr. Ko. Ms. Towson commenced two lawsuits claiming damages from the two accidents, and they were heard together at a 14-day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In reasons for judgment reported at </w:t>
      </w:r>
      <w:hyperlink r:id="rId187" w:history="1">
        <w:r>
          <w:rPr>
            <w:rFonts w:ascii="arial" w:eastAsia="arial" w:hAnsi="arial" w:cs="arial"/>
            <w:i/>
            <w:color w:val="0077CC"/>
            <w:sz w:val="20"/>
            <w:u w:val="single"/>
            <w:shd w:val="clear" w:color="auto" w:fill="FFFFFF"/>
            <w:lang w:val="en-US" w:eastAsia="en-US" w:bidi="ar-SA"/>
          </w:rPr>
          <w:t>2009 BCSC 143</w:t>
        </w:r>
      </w:hyperlink>
      <w:r>
        <w:rPr>
          <w:rFonts w:ascii="arial" w:eastAsia="arial" w:hAnsi="arial" w:cs="arial"/>
          <w:color w:val="000000"/>
          <w:sz w:val="20"/>
          <w:lang w:val="en-US" w:eastAsia="en-US" w:bidi="ar-SA"/>
        </w:rPr>
        <w:t xml:space="preserve"> ("Trial Reasons"), Ms. Towson's claims against Mr. Bergman, Cst. Pizarro, Ms. Chan and Mr. Ko were dismissed. Cst. Pizarro was found negligent. Her Majesty the Queen in Right of the Province of British Columbia as represented by the Minister of Public Safety and Solicitor General ("MPS") was held vicariously liable for Cst. Pizarro's tort, which arose in the course of his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Towson was awarded judgment against MPS for $1,186,425, consisting of non-pecuniary damages of $185,000, past wage loss of $66,075, $725,000 for her lost future earning capacity, $4,200 for her lost opportunity to purchase a townhouse, $76,000 for the cost of future care, special damages of $10,000, and $120,150 for management fees. She was also awarded the applicable pre-judgment interest. Following release of the trial reasons for judgment, the parties provided written submissions on the outstanding issues of tax gross-up, periodic payments, deductions from past income loss, and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1. </w:t>
      </w:r>
      <w:r>
        <w:rPr>
          <w:rFonts w:ascii="arial" w:eastAsia="arial" w:hAnsi="arial" w:cs="arial"/>
          <w:b/>
          <w:color w:val="000000"/>
          <w:sz w:val="20"/>
          <w:u w:val="single"/>
          <w:lang w:val="en-US" w:eastAsia="en-US" w:bidi="ar-SA"/>
        </w:rPr>
        <w:t>Tax Gross-up and Periodic Payments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linked issues of tax gross-up and periodic payments affect only Ms. Towson and MPS. Ms. Towson submits that an appropriate award for tax gross-up would be $2,000. MPS agreed that the proper award is $2,000, but argued that as a result, periodic payments should be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MPS argued that Ms. Towson's request for a tax gross-up triggers s. 99(1)(b) in Part 6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I(V)Act</w:t>
      </w:r>
      <w:r>
        <w:rPr>
          <w:rFonts w:ascii="arial" w:eastAsia="arial" w:hAnsi="arial" w:cs="arial"/>
          <w:color w:val="000000"/>
          <w:sz w:val="20"/>
          <w:lang w:val="en-US" w:eastAsia="en-US" w:bidi="ar-SA"/>
        </w:rPr>
        <w:t>"). This section provides that the court must order periodic payments of pecuniary damages if the plaintiff has requested a tax gross-up and if periodic payments would not be contrary to the plaintiff's best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Section 99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99 (1) The court must order that an award for pecuniary damages in a vehicle action be paid periodically, on the terms the court considers just,</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award for pecuniary damages is, after section 83 has been applied, at least $100 000 and the court considers it to be in the best interests of the plaintiff, or</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w:t>
      </w:r>
    </w:p>
    <w:p>
      <w:pPr>
        <w:numPr>
          <w:numId w:val="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requests that an amount be included in the award to compensate for income tax payable on income from investment of the award, and</w:t>
      </w:r>
    </w:p>
    <w:p>
      <w:pPr>
        <w:numPr>
          <w:numId w:val="3"/>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considers that the order, that the award be paid periodically, is not contrary to the best interests of the plaintiff.</w:t>
      </w:r>
    </w:p>
    <w:p>
      <w:pPr>
        <w:numPr>
          <w:numId w:val="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subsection (1), the court must not make an order under this section</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one or more of the parties in respect of whom the order would be made satisfies the court that those parties do not have sufficient means to fund the order, or</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court is satisfied that an order to pay the award periodically would have the effect of preventing the plaintiff or another person from obtaining full recovery for damages arising out of the accident.</w:t>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court does not make an order for periodic payments under this section, it may make an award for damages that includes an amount to offset liability for income tax on income from investment of the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Ms. Towson argued that the </w:t>
      </w:r>
      <w:r>
        <w:rPr>
          <w:rFonts w:ascii="arial" w:eastAsia="arial" w:hAnsi="arial" w:cs="arial"/>
          <w:i/>
          <w:color w:val="000000"/>
          <w:sz w:val="20"/>
          <w:lang w:val="en-US" w:eastAsia="en-US" w:bidi="ar-SA"/>
        </w:rPr>
        <w:t>I(V)Act</w:t>
      </w:r>
      <w:r>
        <w:rPr>
          <w:rFonts w:ascii="arial" w:eastAsia="arial" w:hAnsi="arial" w:cs="arial"/>
          <w:color w:val="000000"/>
          <w:sz w:val="20"/>
          <w:lang w:val="en-US" w:eastAsia="en-US" w:bidi="ar-SA"/>
        </w:rPr>
        <w:t xml:space="preserve"> does not apply to her lawsuit. Ms. Towson argued that MPS, the sole unsuccessful defendant in this action, is excluded from the statutory provisions of the </w:t>
      </w:r>
      <w:r>
        <w:rPr>
          <w:rFonts w:ascii="arial" w:eastAsia="arial" w:hAnsi="arial" w:cs="arial"/>
          <w:i/>
          <w:color w:val="000000"/>
          <w:sz w:val="20"/>
          <w:lang w:val="en-US" w:eastAsia="en-US" w:bidi="ar-SA"/>
        </w:rPr>
        <w:t>I(V)Act</w:t>
      </w:r>
      <w:r>
        <w:rPr>
          <w:rFonts w:ascii="arial" w:eastAsia="arial" w:hAnsi="arial" w:cs="arial"/>
          <w:color w:val="000000"/>
          <w:sz w:val="20"/>
          <w:lang w:val="en-US" w:eastAsia="en-US" w:bidi="ar-SA"/>
        </w:rPr>
        <w:t xml:space="preserve"> by virtue of s. 43: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43(1) This Act and the regulations do not apply to vehicles owned, leased or operated by Canada or the government of another province, territory or state, but apply to vehicles owned and operated or leased and operated by the government of British Columbia and their drivers.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subsection (1), the corporation may negotiate and conclude an agreement with a government excluded under that subsection to bring any or all vehicles owned, leased or operated by that government in British Columbia within the operation of this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Ms. Towson referred to the police report (Exhibit 40 at trial) which states that the police cruiser Cst. Pizarro was driving was owned by the government of Canada. Ms. Towson argued that MPS failed to establish that the police cruiser was owned by an entity other than the federal government, and failed to establish that ICBC has an agreement with the federal government to bring its vehicles within the operation of the </w:t>
      </w:r>
      <w:r>
        <w:rPr>
          <w:rFonts w:ascii="arial" w:eastAsia="arial" w:hAnsi="arial" w:cs="arial"/>
          <w:i/>
          <w:color w:val="000000"/>
          <w:sz w:val="20"/>
          <w:lang w:val="en-US" w:eastAsia="en-US" w:bidi="ar-SA"/>
        </w:rPr>
        <w:t>I(V)Act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MPS responded that the </w:t>
      </w:r>
      <w:r>
        <w:rPr>
          <w:rFonts w:ascii="arial" w:eastAsia="arial" w:hAnsi="arial" w:cs="arial"/>
          <w:i/>
          <w:color w:val="000000"/>
          <w:sz w:val="20"/>
          <w:lang w:val="en-US" w:eastAsia="en-US" w:bidi="ar-SA"/>
        </w:rPr>
        <w:t>I(V)Act</w:t>
      </w:r>
      <w:r>
        <w:rPr>
          <w:rFonts w:ascii="arial" w:eastAsia="arial" w:hAnsi="arial" w:cs="arial"/>
          <w:color w:val="000000"/>
          <w:sz w:val="20"/>
          <w:lang w:val="en-US" w:eastAsia="en-US" w:bidi="ar-SA"/>
        </w:rPr>
        <w:t xml:space="preserve"> applies to </w:t>
      </w:r>
      <w:r>
        <w:rPr>
          <w:rFonts w:ascii="arial" w:eastAsia="arial" w:hAnsi="arial" w:cs="arial"/>
          <w:color w:val="000000"/>
          <w:sz w:val="20"/>
          <w:u w:val="single"/>
          <w:lang w:val="en-US" w:eastAsia="en-US" w:bidi="ar-SA"/>
        </w:rPr>
        <w:t>vehicles</w:t>
      </w:r>
      <w:r>
        <w:rPr>
          <w:rFonts w:ascii="arial" w:eastAsia="arial" w:hAnsi="arial" w:cs="arial"/>
          <w:color w:val="000000"/>
          <w:sz w:val="20"/>
          <w:lang w:val="en-US" w:eastAsia="en-US" w:bidi="ar-SA"/>
        </w:rPr>
        <w:t xml:space="preserve"> owned by the government of British Columbia and their drivers, but not to </w:t>
      </w:r>
      <w:r>
        <w:rPr>
          <w:rFonts w:ascii="arial" w:eastAsia="arial" w:hAnsi="arial" w:cs="arial"/>
          <w:color w:val="000000"/>
          <w:sz w:val="20"/>
          <w:u w:val="single"/>
          <w:lang w:val="en-US" w:eastAsia="en-US" w:bidi="ar-SA"/>
        </w:rPr>
        <w:t>drivers</w:t>
      </w:r>
      <w:r>
        <w:rPr>
          <w:rFonts w:ascii="arial" w:eastAsia="arial" w:hAnsi="arial" w:cs="arial"/>
          <w:color w:val="000000"/>
          <w:sz w:val="20"/>
          <w:lang w:val="en-US" w:eastAsia="en-US" w:bidi="ar-SA"/>
        </w:rPr>
        <w:t xml:space="preserve"> of vehicles owned by the government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Ms. Towson responded that this interpretation of s. 43 is absurd, since if drivers of federal government vehicles, but not the vehicles themselves, are caught by the </w:t>
      </w:r>
      <w:r>
        <w:rPr>
          <w:rFonts w:ascii="arial" w:eastAsia="arial" w:hAnsi="arial" w:cs="arial"/>
          <w:i/>
          <w:color w:val="000000"/>
          <w:sz w:val="20"/>
          <w:lang w:val="en-US" w:eastAsia="en-US" w:bidi="ar-SA"/>
        </w:rPr>
        <w:t>I(V)Act</w:t>
      </w:r>
      <w:r>
        <w:rPr>
          <w:rFonts w:ascii="arial" w:eastAsia="arial" w:hAnsi="arial" w:cs="arial"/>
          <w:color w:val="000000"/>
          <w:sz w:val="20"/>
          <w:lang w:val="en-US" w:eastAsia="en-US" w:bidi="ar-SA"/>
        </w:rPr>
        <w:t>, s. 43 would never be applicable.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Section 99 of the </w:t>
      </w:r>
      <w:r>
        <w:rPr>
          <w:rFonts w:ascii="arial" w:eastAsia="arial" w:hAnsi="arial" w:cs="arial"/>
          <w:i/>
          <w:color w:val="000000"/>
          <w:sz w:val="20"/>
          <w:lang w:val="en-US" w:eastAsia="en-US" w:bidi="ar-SA"/>
        </w:rPr>
        <w:t>I(V)Act</w:t>
      </w:r>
      <w:r>
        <w:rPr>
          <w:rFonts w:ascii="arial" w:eastAsia="arial" w:hAnsi="arial" w:cs="arial"/>
          <w:color w:val="000000"/>
          <w:sz w:val="20"/>
          <w:lang w:val="en-US" w:eastAsia="en-US" w:bidi="ar-SA"/>
        </w:rPr>
        <w:t xml:space="preserve"> sets out what a court must order in a "vehicle action", which is defined as "an action brought in British Columbia in which damages are claimed for bodily injury, death or loss of or damage to property that arises out of the use or operation of a vehicle." Section 99 therefore applies to this case, irrespective of whether the </w:t>
      </w:r>
      <w:r>
        <w:rPr>
          <w:rFonts w:ascii="arial" w:eastAsia="arial" w:hAnsi="arial" w:cs="arial"/>
          <w:i/>
          <w:color w:val="000000"/>
          <w:sz w:val="20"/>
          <w:lang w:val="en-US" w:eastAsia="en-US" w:bidi="ar-SA"/>
        </w:rPr>
        <w:t>I(V)Act</w:t>
      </w:r>
      <w:r>
        <w:rPr>
          <w:rFonts w:ascii="arial" w:eastAsia="arial" w:hAnsi="arial" w:cs="arial"/>
          <w:color w:val="000000"/>
          <w:sz w:val="20"/>
          <w:lang w:val="en-US" w:eastAsia="en-US" w:bidi="ar-SA"/>
        </w:rPr>
        <w:t xml:space="preserve"> applies to Cst. Pizarro or the police cruiser he was driving. Therefore it is necessary to consider whether an order for periodic payments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Some uncertainty has surrounded the onus of proof under s. 99. Section 99(1)(a) provides that an award for periodic payments must be made if the court considers it "to be in the best interests of the plaintiff", while s. 99(1)(b) requires such an order if it is not "contrary to the best interests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In considering this question in </w:t>
      </w:r>
      <w:r>
        <w:rPr>
          <w:rFonts w:ascii="arial" w:eastAsia="arial" w:hAnsi="arial" w:cs="arial"/>
          <w:i/>
          <w:color w:val="000000"/>
          <w:sz w:val="20"/>
          <w:lang w:val="en-US" w:eastAsia="en-US" w:bidi="ar-SA"/>
        </w:rPr>
        <w:t>Lines v. W&amp;D Logging Co. Ltd.</w:t>
      </w:r>
      <w:r>
        <w:rPr>
          <w:rFonts w:ascii="arial" w:eastAsia="arial" w:hAnsi="arial" w:cs="arial"/>
          <w:color w:val="000000"/>
          <w:sz w:val="20"/>
          <w:lang w:val="en-US" w:eastAsia="en-US" w:bidi="ar-SA"/>
        </w:rPr>
        <w:t xml:space="preserve">, </w:t>
      </w:r>
      <w:hyperlink r:id="rId188"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w:t>
      </w:r>
      <w:hyperlink r:id="rId188" w:history="1">
        <w:r>
          <w:rPr>
            <w:rFonts w:ascii="arial" w:eastAsia="arial" w:hAnsi="arial" w:cs="arial"/>
            <w:i/>
            <w:color w:val="0077CC"/>
            <w:sz w:val="20"/>
            <w:u w:val="single"/>
            <w:shd w:val="clear" w:color="auto" w:fill="FFFFFF"/>
            <w:lang w:val="en-US" w:eastAsia="en-US" w:bidi="ar-SA"/>
          </w:rPr>
          <w:t>90 B.C.L.R. (4th) 203</w:t>
        </w:r>
      </w:hyperlink>
      <w:r>
        <w:rPr>
          <w:rFonts w:ascii="arial" w:eastAsia="arial" w:hAnsi="arial" w:cs="arial"/>
          <w:color w:val="000000"/>
          <w:sz w:val="20"/>
          <w:lang w:val="en-US" w:eastAsia="en-US" w:bidi="ar-SA"/>
        </w:rPr>
        <w:t xml:space="preserve">, Saunders J.A. endorsed </w:t>
      </w:r>
      <w:r>
        <w:rPr>
          <w:rFonts w:ascii="arial" w:eastAsia="arial" w:hAnsi="arial" w:cs="arial"/>
          <w:i/>
          <w:color w:val="000000"/>
          <w:sz w:val="20"/>
          <w:lang w:val="en-US" w:eastAsia="en-US" w:bidi="ar-SA"/>
        </w:rPr>
        <w:t>Wilson v. Martinello</w:t>
      </w:r>
      <w:r>
        <w:rPr>
          <w:rFonts w:ascii="arial" w:eastAsia="arial" w:hAnsi="arial" w:cs="arial"/>
          <w:color w:val="000000"/>
          <w:sz w:val="20"/>
          <w:lang w:val="en-US" w:eastAsia="en-US" w:bidi="ar-SA"/>
        </w:rPr>
        <w:t xml:space="preserve"> </w:t>
      </w:r>
      <w:hyperlink r:id="rId189" w:history="1">
        <w:r>
          <w:rPr>
            <w:rFonts w:ascii="arial" w:eastAsia="arial" w:hAnsi="arial" w:cs="arial"/>
            <w:i/>
            <w:color w:val="0077CC"/>
            <w:sz w:val="20"/>
            <w:u w:val="single"/>
            <w:shd w:val="clear" w:color="auto" w:fill="FFFFFF"/>
            <w:lang w:val="en-US" w:eastAsia="en-US" w:bidi="ar-SA"/>
          </w:rPr>
          <w:t>(1995), 23 O.R. (3d) 417</w:t>
        </w:r>
      </w:hyperlink>
      <w:r>
        <w:rPr>
          <w:rFonts w:ascii="arial" w:eastAsia="arial" w:hAnsi="arial" w:cs="arial"/>
          <w:color w:val="000000"/>
          <w:sz w:val="20"/>
          <w:lang w:val="en-US" w:eastAsia="en-US" w:bidi="ar-SA"/>
        </w:rPr>
        <w:t xml:space="preserve"> at 425, </w:t>
      </w:r>
      <w:hyperlink r:id="rId189" w:history="1">
        <w:r>
          <w:rPr>
            <w:rFonts w:ascii="arial" w:eastAsia="arial" w:hAnsi="arial" w:cs="arial"/>
            <w:i/>
            <w:color w:val="0077CC"/>
            <w:sz w:val="20"/>
            <w:u w:val="single"/>
            <w:shd w:val="clear" w:color="auto" w:fill="FFFFFF"/>
            <w:lang w:val="en-US" w:eastAsia="en-US" w:bidi="ar-SA"/>
          </w:rPr>
          <w:t>125 D.L.R. (4th) 240</w:t>
        </w:r>
      </w:hyperlink>
      <w:r>
        <w:rPr>
          <w:rFonts w:ascii="arial" w:eastAsia="arial" w:hAnsi="arial" w:cs="arial"/>
          <w:color w:val="000000"/>
          <w:sz w:val="20"/>
          <w:lang w:val="en-US" w:eastAsia="en-US" w:bidi="ar-SA"/>
        </w:rPr>
        <w:t xml:space="preserve"> (C.A.). In that case, the Ontario Court of Appeal stated that the question of which party bears the onus of proof "will likely become a non-issue", and that, generally speaking, where a gross-up has been requested by the plaintiff, a structured award is mandatory unless the plaintiff can satisfy the court that it would not be in his or her best interests. The question is a factual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Saunders J.A., writing for the court on this issue, considered the application of s. 99. The trial judge had decided that a structured award was not in the plaintiff's best interests because the proposed annuities were "well below the level required for the plaintiff to recover the present-day value of his future losses." The issue in </w:t>
      </w:r>
      <w:r>
        <w:rPr>
          <w:rFonts w:ascii="arial" w:eastAsia="arial" w:hAnsi="arial" w:cs="arial"/>
          <w:i/>
          <w:color w:val="000000"/>
          <w:sz w:val="20"/>
          <w:lang w:val="en-US" w:eastAsia="en-US" w:bidi="ar-SA"/>
        </w:rPr>
        <w:t>Lines</w:t>
      </w:r>
      <w:r>
        <w:rPr>
          <w:rFonts w:ascii="arial" w:eastAsia="arial" w:hAnsi="arial" w:cs="arial"/>
          <w:color w:val="000000"/>
          <w:sz w:val="20"/>
          <w:lang w:val="en-US" w:eastAsia="en-US" w:bidi="ar-SA"/>
        </w:rPr>
        <w:t xml:space="preserve"> was whether the trial judge was entitled to compare the money stream underlying the lump sum award and the periodic payment presented to the court. Saunders J.A. held that the trial judge was entitled to do so, provided the income streams compared were treated alike for tax purposes, which was the case for the cost of future care award. However, on the evidence provided to the trial judge, income from investment of sums awarded for lost future earning capacity would be subject to income tax, but periodic annuity payments would not. She therefore remitted the question of tax gross-up to the trial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Towson argued that, because the court has already awarded her management fees, it has effectively decided that a structured award would not be in her best interests. MPS replied that the appropriateness of periodic payments has not been addressed by the court, and that Ms. Towson has not met the burden of demonstrating that a structured award would not be in her best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O'Brien (Guardian ad litem of) v. Anderson</w:t>
      </w:r>
      <w:r>
        <w:rPr>
          <w:rFonts w:ascii="arial" w:eastAsia="arial" w:hAnsi="arial" w:cs="arial"/>
          <w:color w:val="000000"/>
          <w:sz w:val="20"/>
          <w:lang w:val="en-US" w:eastAsia="en-US" w:bidi="ar-SA"/>
        </w:rPr>
        <w:t xml:space="preserve">, </w:t>
      </w:r>
      <w:hyperlink r:id="rId190" w:history="1">
        <w:r>
          <w:rPr>
            <w:rFonts w:ascii="arial" w:eastAsia="arial" w:hAnsi="arial" w:cs="arial"/>
            <w:i/>
            <w:color w:val="0077CC"/>
            <w:sz w:val="20"/>
            <w:u w:val="single"/>
            <w:shd w:val="clear" w:color="auto" w:fill="FFFFFF"/>
            <w:lang w:val="en-US" w:eastAsia="en-US" w:bidi="ar-SA"/>
          </w:rPr>
          <w:t>2001 BCSC 668</w:t>
        </w:r>
      </w:hyperlink>
      <w:r>
        <w:rPr>
          <w:rFonts w:ascii="arial" w:eastAsia="arial" w:hAnsi="arial" w:cs="arial"/>
          <w:color w:val="000000"/>
          <w:sz w:val="20"/>
          <w:lang w:val="en-US" w:eastAsia="en-US" w:bidi="ar-SA"/>
        </w:rPr>
        <w:t xml:space="preserve">, </w:t>
      </w:r>
      <w:hyperlink r:id="rId190" w:history="1">
        <w:r>
          <w:rPr>
            <w:rFonts w:ascii="arial" w:eastAsia="arial" w:hAnsi="arial" w:cs="arial"/>
            <w:i/>
            <w:color w:val="0077CC"/>
            <w:sz w:val="20"/>
            <w:u w:val="single"/>
            <w:shd w:val="clear" w:color="auto" w:fill="FFFFFF"/>
            <w:lang w:val="en-US" w:eastAsia="en-US" w:bidi="ar-SA"/>
          </w:rPr>
          <w:t>91 B.C.L.R. (3d) 137</w:t>
        </w:r>
      </w:hyperlink>
      <w:r>
        <w:rPr>
          <w:rFonts w:ascii="arial" w:eastAsia="arial" w:hAnsi="arial" w:cs="arial"/>
          <w:color w:val="000000"/>
          <w:sz w:val="20"/>
          <w:lang w:val="en-US" w:eastAsia="en-US" w:bidi="ar-SA"/>
        </w:rPr>
        <w:t xml:space="preserve">, reversed on other grounds, </w:t>
      </w:r>
      <w:hyperlink r:id="rId191" w:history="1">
        <w:r>
          <w:rPr>
            <w:rFonts w:ascii="arial" w:eastAsia="arial" w:hAnsi="arial" w:cs="arial"/>
            <w:i/>
            <w:color w:val="0077CC"/>
            <w:sz w:val="20"/>
            <w:u w:val="single"/>
            <w:shd w:val="clear" w:color="auto" w:fill="FFFFFF"/>
            <w:lang w:val="en-US" w:eastAsia="en-US" w:bidi="ar-SA"/>
          </w:rPr>
          <w:t>2001 BCCA 641</w:t>
        </w:r>
      </w:hyperlink>
      <w:r>
        <w:rPr>
          <w:rFonts w:ascii="arial" w:eastAsia="arial" w:hAnsi="arial" w:cs="arial"/>
          <w:color w:val="000000"/>
          <w:sz w:val="20"/>
          <w:lang w:val="en-US" w:eastAsia="en-US" w:bidi="ar-SA"/>
        </w:rPr>
        <w:t>, R.R. Holmes J. ordered periodic payments, finding that the plaintiff was impulsive and unreasonable when handling money. He noted that the purpose of a structured award is to guard against the plaintiff dissipating the award and becoming a charge on society.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Lee v. Dawson</w:t>
      </w:r>
      <w:r>
        <w:rPr>
          <w:rFonts w:ascii="arial" w:eastAsia="arial" w:hAnsi="arial" w:cs="arial"/>
          <w:color w:val="000000"/>
          <w:sz w:val="20"/>
          <w:lang w:val="en-US" w:eastAsia="en-US" w:bidi="ar-SA"/>
        </w:rPr>
        <w:t xml:space="preserve">, </w:t>
      </w:r>
      <w:hyperlink r:id="rId192" w:history="1">
        <w:r>
          <w:rPr>
            <w:rFonts w:ascii="arial" w:eastAsia="arial" w:hAnsi="arial" w:cs="arial"/>
            <w:i/>
            <w:color w:val="0077CC"/>
            <w:sz w:val="20"/>
            <w:u w:val="single"/>
            <w:shd w:val="clear" w:color="auto" w:fill="FFFFFF"/>
            <w:lang w:val="en-US" w:eastAsia="en-US" w:bidi="ar-SA"/>
          </w:rPr>
          <w:t>2003 BCSC 1012</w:t>
        </w:r>
      </w:hyperlink>
      <w:r>
        <w:rPr>
          <w:rFonts w:ascii="arial" w:eastAsia="arial" w:hAnsi="arial" w:cs="arial"/>
          <w:color w:val="000000"/>
          <w:sz w:val="20"/>
          <w:lang w:val="en-US" w:eastAsia="en-US" w:bidi="ar-SA"/>
        </w:rPr>
        <w:t xml:space="preserve">, </w:t>
      </w:r>
      <w:hyperlink r:id="rId192" w:history="1">
        <w:r>
          <w:rPr>
            <w:rFonts w:ascii="arial" w:eastAsia="arial" w:hAnsi="arial" w:cs="arial"/>
            <w:i/>
            <w:color w:val="0077CC"/>
            <w:sz w:val="20"/>
            <w:u w:val="single"/>
            <w:shd w:val="clear" w:color="auto" w:fill="FFFFFF"/>
            <w:lang w:val="en-US" w:eastAsia="en-US" w:bidi="ar-SA"/>
          </w:rPr>
          <w:t>17 B.C.L.R. (4th) 80</w:t>
        </w:r>
      </w:hyperlink>
      <w:r>
        <w:rPr>
          <w:rFonts w:ascii="arial" w:eastAsia="arial" w:hAnsi="arial" w:cs="arial"/>
          <w:color w:val="000000"/>
          <w:sz w:val="20"/>
          <w:lang w:val="en-US" w:eastAsia="en-US" w:bidi="ar-SA"/>
        </w:rPr>
        <w:t xml:space="preserve">, aff'd </w:t>
      </w:r>
      <w:hyperlink r:id="rId193" w:history="1">
        <w:r>
          <w:rPr>
            <w:rFonts w:ascii="arial" w:eastAsia="arial" w:hAnsi="arial" w:cs="arial"/>
            <w:i/>
            <w:color w:val="0077CC"/>
            <w:sz w:val="20"/>
            <w:u w:val="single"/>
            <w:shd w:val="clear" w:color="auto" w:fill="FFFFFF"/>
            <w:lang w:val="en-US" w:eastAsia="en-US" w:bidi="ar-SA"/>
          </w:rPr>
          <w:t>2006 BCCA 159</w:t>
        </w:r>
      </w:hyperlink>
      <w:r>
        <w:rPr>
          <w:rFonts w:ascii="arial" w:eastAsia="arial" w:hAnsi="arial" w:cs="arial"/>
          <w:color w:val="000000"/>
          <w:sz w:val="20"/>
          <w:lang w:val="en-US" w:eastAsia="en-US" w:bidi="ar-SA"/>
        </w:rPr>
        <w:t xml:space="preserve">, </w:t>
      </w:r>
      <w:hyperlink r:id="rId193" w:history="1">
        <w:r>
          <w:rPr>
            <w:rFonts w:ascii="arial" w:eastAsia="arial" w:hAnsi="arial" w:cs="arial"/>
            <w:i/>
            <w:color w:val="0077CC"/>
            <w:sz w:val="20"/>
            <w:u w:val="single"/>
            <w:shd w:val="clear" w:color="auto" w:fill="FFFFFF"/>
            <w:lang w:val="en-US" w:eastAsia="en-US" w:bidi="ar-SA"/>
          </w:rPr>
          <w:t>51 B.C.L.R. (4th) 221</w:t>
        </w:r>
      </w:hyperlink>
      <w:r>
        <w:rPr>
          <w:rFonts w:ascii="arial" w:eastAsia="arial" w:hAnsi="arial" w:cs="arial"/>
          <w:color w:val="000000"/>
          <w:sz w:val="20"/>
          <w:lang w:val="en-US" w:eastAsia="en-US" w:bidi="ar-SA"/>
        </w:rPr>
        <w:t xml:space="preserve">, leave to appeal refused (2006), </w:t>
      </w:r>
      <w:hyperlink r:id="rId194" w:history="1">
        <w:r>
          <w:rPr>
            <w:rFonts w:ascii="arial" w:eastAsia="arial" w:hAnsi="arial" w:cs="arial"/>
            <w:i/>
            <w:color w:val="0077CC"/>
            <w:sz w:val="20"/>
            <w:u w:val="single"/>
            <w:shd w:val="clear" w:color="auto" w:fill="FFFFFF"/>
            <w:lang w:val="en-US" w:eastAsia="en-US" w:bidi="ar-SA"/>
          </w:rPr>
          <w:t>[2006] S.C.C.A. No. 192</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240 B.C.A.C. 319</w:t>
        </w:r>
      </w:hyperlink>
      <w:r>
        <w:rPr>
          <w:rFonts w:ascii="arial" w:eastAsia="arial" w:hAnsi="arial" w:cs="arial"/>
          <w:color w:val="000000"/>
          <w:sz w:val="20"/>
          <w:lang w:val="en-US" w:eastAsia="en-US" w:bidi="ar-SA"/>
        </w:rPr>
        <w:t xml:space="preserve"> (S.C.C.), Loo J. considered that the plaintiff had never controlled large sums of money and that he had no specific plans for the award. However, Loo J. was satisfied that the plaintiff's father would engage a professional to manage the funds and ensure that they generated an income stream sufficient to meet the plaintiff's needs. Loo J. was also concerned that a structured award would be too inflexible to provide for large expenditures, such as, desired facial reconstructive surgery. She declined to order periodic payments.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Yeung v. Au</w:t>
      </w:r>
      <w:r>
        <w:rPr>
          <w:rFonts w:ascii="arial" w:eastAsia="arial" w:hAnsi="arial" w:cs="arial"/>
          <w:color w:val="000000"/>
          <w:sz w:val="20"/>
          <w:lang w:val="en-US" w:eastAsia="en-US" w:bidi="ar-SA"/>
        </w:rPr>
        <w:t xml:space="preserve">, </w:t>
      </w:r>
      <w:hyperlink r:id="rId195" w:history="1">
        <w:r>
          <w:rPr>
            <w:rFonts w:ascii="arial" w:eastAsia="arial" w:hAnsi="arial" w:cs="arial"/>
            <w:i/>
            <w:color w:val="0077CC"/>
            <w:sz w:val="20"/>
            <w:u w:val="single"/>
            <w:shd w:val="clear" w:color="auto" w:fill="FFFFFF"/>
            <w:lang w:val="en-US" w:eastAsia="en-US" w:bidi="ar-SA"/>
          </w:rPr>
          <w:t>2007 BCSC 175</w:t>
        </w:r>
      </w:hyperlink>
      <w:r>
        <w:rPr>
          <w:rFonts w:ascii="arial" w:eastAsia="arial" w:hAnsi="arial" w:cs="arial"/>
          <w:color w:val="000000"/>
          <w:sz w:val="20"/>
          <w:lang w:val="en-US" w:eastAsia="en-US" w:bidi="ar-SA"/>
        </w:rPr>
        <w:t xml:space="preserve">, </w:t>
      </w:r>
      <w:hyperlink r:id="rId195" w:history="1">
        <w:r>
          <w:rPr>
            <w:rFonts w:ascii="arial" w:eastAsia="arial" w:hAnsi="arial" w:cs="arial"/>
            <w:i/>
            <w:color w:val="0077CC"/>
            <w:sz w:val="20"/>
            <w:u w:val="single"/>
            <w:shd w:val="clear" w:color="auto" w:fill="FFFFFF"/>
            <w:lang w:val="en-US" w:eastAsia="en-US" w:bidi="ar-SA"/>
          </w:rPr>
          <w:t>69 B.C.L.R. (4th) 376</w:t>
        </w:r>
      </w:hyperlink>
      <w:r>
        <w:rPr>
          <w:rFonts w:ascii="arial" w:eastAsia="arial" w:hAnsi="arial" w:cs="arial"/>
          <w:color w:val="000000"/>
          <w:sz w:val="20"/>
          <w:lang w:val="en-US" w:eastAsia="en-US" w:bidi="ar-SA"/>
        </w:rPr>
        <w:t>, Tysoe J. (as he then was) declined to order periodic payments, because there was no suggestion that the plaintiff was irresponsible with money. Although the plaintiff was not herself capable of managing her financial affairs, a committee for the plaintiff had been appointed who had engaged the services of a financial advisor.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this case, as set out in para. 268 of the Trial Reasons, Mr. Hildebrand testified that, on the basis of the economy at the time of trial, a structured settlement was not in Ms. Towson's best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Some evidence was led at trial suggesting Ms. Towson's brain injury caused her to act irresponsibly. However, there was also evidence that she consulted family members before making significant decisions, such as resigning from work. It is likely that Ms. Towson's family can assist her in managing the award and that she will accept that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Part of Ms. Towson's award was for the lost opportunity to purchase a townhouse. It is likely that Ms. Towson will want to use some of her award to purchase a house. A structured award would not allow Ms. Towson flexibility if she wished to make large purchases, such as a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As a result, a structured award is not in Ms. Towson's best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Towson is entitled to $2,000 for tax-gross-up. The application of MPS for periodic payments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2. </w:t>
      </w:r>
      <w:r>
        <w:rPr>
          <w:rFonts w:ascii="arial" w:eastAsia="arial" w:hAnsi="arial" w:cs="arial"/>
          <w:b/>
          <w:color w:val="000000"/>
          <w:sz w:val="20"/>
          <w:u w:val="single"/>
          <w:lang w:val="en-US" w:eastAsia="en-US" w:bidi="ar-SA"/>
        </w:rPr>
        <w:t>Deductions to determine net past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issue of deductions to determine net past income loss affects only Ms. Towson and MPS.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MPS argued that Ms. Towson's award for past income loss should be reduced to $52,214 to give effect to s. 98 of the </w:t>
      </w:r>
      <w:r>
        <w:rPr>
          <w:rFonts w:ascii="arial" w:eastAsia="arial" w:hAnsi="arial" w:cs="arial"/>
          <w:i/>
          <w:color w:val="000000"/>
          <w:sz w:val="20"/>
          <w:lang w:val="en-US" w:eastAsia="en-US" w:bidi="ar-SA"/>
        </w:rPr>
        <w:t>I(V)Act</w:t>
      </w:r>
      <w:r>
        <w:rPr>
          <w:rFonts w:ascii="arial" w:eastAsia="arial" w:hAnsi="arial" w:cs="arial"/>
          <w:color w:val="000000"/>
          <w:sz w:val="20"/>
          <w:lang w:val="en-US" w:eastAsia="en-US" w:bidi="ar-SA"/>
        </w:rPr>
        <w:t>. MPS does not seek a deduction of benefits under s. 83, but asks that if the court deems it necessary to rule on the availability of these deductions, it be permitted to file further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Ms. Towson argued that, because Cst. Pizarro was driving a federally-owned vehicle, s. 98 did not apply pursuant to s. 43 of the </w:t>
      </w:r>
      <w:r>
        <w:rPr>
          <w:rFonts w:ascii="arial" w:eastAsia="arial" w:hAnsi="arial" w:cs="arial"/>
          <w:i/>
          <w:color w:val="000000"/>
          <w:sz w:val="20"/>
          <w:lang w:val="en-US" w:eastAsia="en-US" w:bidi="ar-SA"/>
        </w:rPr>
        <w:t>I(V)Act.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As with s. 99, s. 98 is in Part 6 of the </w:t>
      </w:r>
      <w:r>
        <w:rPr>
          <w:rFonts w:ascii="arial" w:eastAsia="arial" w:hAnsi="arial" w:cs="arial"/>
          <w:i/>
          <w:color w:val="000000"/>
          <w:sz w:val="20"/>
          <w:lang w:val="en-US" w:eastAsia="en-US" w:bidi="ar-SA"/>
        </w:rPr>
        <w:t>I(V)Act</w:t>
      </w:r>
      <w:r>
        <w:rPr>
          <w:rFonts w:ascii="arial" w:eastAsia="arial" w:hAnsi="arial" w:cs="arial"/>
          <w:color w:val="000000"/>
          <w:sz w:val="20"/>
          <w:lang w:val="en-US" w:eastAsia="en-US" w:bidi="ar-SA"/>
        </w:rPr>
        <w:t>, which part is entitled "Vehicle Actions." Section 98 provides:</w:t>
      </w:r>
      <w:r>
        <w:rPr>
          <w:rFonts w:ascii="arial" w:eastAsia="arial" w:hAnsi="arial" w:cs="arial"/>
          <w:sz w:val="20"/>
          <w:lang w:val="en-US" w:eastAsia="en-US" w:bidi="ar-SA"/>
        </w:rPr>
        <w:cr/>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any other enactment or rule of law but subject to this Part, a person who suffers a loss of income as a result of an accident or, if deceased, his or her personal representative, is entitled to recover from designated defendants, as damages for the income loss suffered after the accident and before the first day of trial of any action brought in relation to it, not more than the net income loss that the person suffered in that period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term "accident" is defined for the purposes of Part 6 as "an unintentional mishap occurring in British Columbia as a result of which a person suffers bodily injury, death or loss of or damage to property that arises out of the use or operation of a vehicle". Ms. Towson is a person who suffered a loss of income as a result of such an accident, and therefore s. 98 applies to her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MPS is a "designated defendant" as defined in s. 95 of the </w:t>
      </w:r>
      <w:r>
        <w:rPr>
          <w:rFonts w:ascii="arial" w:eastAsia="arial" w:hAnsi="arial" w:cs="arial"/>
          <w:i/>
          <w:color w:val="000000"/>
          <w:sz w:val="20"/>
          <w:lang w:val="en-US" w:eastAsia="en-US" w:bidi="ar-SA"/>
        </w:rPr>
        <w:t>I(V)Act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"designated defendants", subject to section 90 (b), means, in relation to an accident, the following persons: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each operator of or passenger in or on a vehicle involved in the accident and each person vicariously liable for that individual;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Cst. Pizarro was the operator of the vehicle involved in the accident, and MPS was held vicariously liable for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under ss. 11 and 14 of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367</w:t>
      </w:r>
      <w:r>
        <w:rPr>
          <w:rFonts w:ascii="arial" w:eastAsia="arial" w:hAnsi="arial" w:cs="arial"/>
          <w:color w:val="000000"/>
          <w:sz w:val="20"/>
          <w:lang w:val="en-US" w:eastAsia="en-US" w:bidi="ar-SA"/>
        </w:rPr>
        <w:t>, and British Columbia O.I.C. 430/2008 (</w:t>
      </w:r>
      <w:r>
        <w:rPr>
          <w:rFonts w:ascii="arial" w:eastAsia="arial" w:hAnsi="arial" w:cs="arial"/>
          <w:i/>
          <w:color w:val="000000"/>
          <w:sz w:val="20"/>
          <w:lang w:val="en-US" w:eastAsia="en-US" w:bidi="ar-SA"/>
        </w:rPr>
        <w:t>Constitution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MPS provided evidence of the applicable tax deductions on Ms. Towson's gross past earnings of $66,075. The accountant relied on by MPS estimated the applicable tax to be $13,150 and the employment insurance premiums to be $711, using the rates for a 2008 BC taxpayer, for a net award of $52,214. The estimate employed the method set out by Pitfield J. in </w:t>
      </w:r>
      <w:r>
        <w:rPr>
          <w:rFonts w:ascii="arial" w:eastAsia="arial" w:hAnsi="arial" w:cs="arial"/>
          <w:i/>
          <w:color w:val="000000"/>
          <w:sz w:val="20"/>
          <w:lang w:val="en-US" w:eastAsia="en-US" w:bidi="ar-SA"/>
        </w:rPr>
        <w:t>Hudniuk v. Warkentin</w:t>
      </w:r>
      <w:r>
        <w:rPr>
          <w:rFonts w:ascii="arial" w:eastAsia="arial" w:hAnsi="arial" w:cs="arial"/>
          <w:color w:val="000000"/>
          <w:sz w:val="20"/>
          <w:lang w:val="en-US" w:eastAsia="en-US" w:bidi="ar-SA"/>
        </w:rPr>
        <w:t xml:space="preserve">, </w:t>
      </w:r>
      <w:hyperlink r:id="rId196" w:history="1">
        <w:r>
          <w:rPr>
            <w:rFonts w:ascii="arial" w:eastAsia="arial" w:hAnsi="arial" w:cs="arial"/>
            <w:i/>
            <w:color w:val="0077CC"/>
            <w:sz w:val="20"/>
            <w:u w:val="single"/>
            <w:shd w:val="clear" w:color="auto" w:fill="FFFFFF"/>
            <w:lang w:val="en-US" w:eastAsia="en-US" w:bidi="ar-SA"/>
          </w:rPr>
          <w:t>2003 BCSC 62</w:t>
        </w:r>
      </w:hyperlink>
      <w:r>
        <w:rPr>
          <w:rFonts w:ascii="arial" w:eastAsia="arial" w:hAnsi="arial" w:cs="arial"/>
          <w:color w:val="000000"/>
          <w:sz w:val="20"/>
          <w:lang w:val="en-US" w:eastAsia="en-US" w:bidi="ar-SA"/>
        </w:rPr>
        <w:t xml:space="preserve">, </w:t>
      </w:r>
      <w:hyperlink r:id="rId196" w:history="1">
        <w:r>
          <w:rPr>
            <w:rFonts w:ascii="arial" w:eastAsia="arial" w:hAnsi="arial" w:cs="arial"/>
            <w:i/>
            <w:color w:val="0077CC"/>
            <w:sz w:val="20"/>
            <w:u w:val="single"/>
            <w:shd w:val="clear" w:color="auto" w:fill="FFFFFF"/>
            <w:lang w:val="en-US" w:eastAsia="en-US" w:bidi="ar-SA"/>
          </w:rPr>
          <w:t>9 B.C.L.R. (4th) 324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Hudniuk</w:t>
      </w:r>
      <w:r>
        <w:rPr>
          <w:rFonts w:ascii="arial" w:eastAsia="arial" w:hAnsi="arial" w:cs="arial"/>
          <w:color w:val="000000"/>
          <w:sz w:val="20"/>
          <w:lang w:val="en-US" w:eastAsia="en-US" w:bidi="ar-SA"/>
        </w:rPr>
        <w:t xml:space="preserve"> was recently considered by the Court of Appeal in </w:t>
      </w:r>
      <w:r>
        <w:rPr>
          <w:rFonts w:ascii="arial" w:eastAsia="arial" w:hAnsi="arial" w:cs="arial"/>
          <w:i/>
          <w:color w:val="000000"/>
          <w:sz w:val="20"/>
          <w:lang w:val="en-US" w:eastAsia="en-US" w:bidi="ar-SA"/>
        </w:rPr>
        <w:t>Lines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As set out above, s. 98 provides that a person is entitled to recover "not more than the net income loss that the person suffered ... as a result of the accident". "Net income loss" is defined in s. 95 as:</w:t>
      </w:r>
      <w:r>
        <w:rPr>
          <w:rFonts w:ascii="arial" w:eastAsia="arial" w:hAnsi="arial" w:cs="arial"/>
          <w:sz w:val="20"/>
          <w:lang w:val="en-US" w:eastAsia="en-US" w:bidi="ar-SA"/>
        </w:rPr>
        <w:cr/>
      </w:r>
    </w:p>
    <w:p>
      <w:pPr>
        <w:numPr>
          <w:numId w:val="1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person is a person referred to in section 2 (1) of the </w:t>
      </w:r>
      <w:r>
        <w:rPr>
          <w:rFonts w:ascii="arial" w:eastAsia="arial" w:hAnsi="arial" w:cs="arial"/>
          <w:i/>
          <w:color w:val="000000"/>
          <w:sz w:val="20"/>
          <w:lang w:val="en-US" w:eastAsia="en-US" w:bidi="ar-SA"/>
        </w:rPr>
        <w:t>Income Tax Act,</w:t>
      </w:r>
      <w:r>
        <w:rPr>
          <w:rFonts w:ascii="arial" w:eastAsia="arial" w:hAnsi="arial" w:cs="arial"/>
          <w:color w:val="000000"/>
          <w:sz w:val="20"/>
          <w:lang w:val="en-US" w:eastAsia="en-US" w:bidi="ar-SA"/>
        </w:rPr>
        <w:t xml:space="preserve"> the gross income that the person lost in that period less the amount that would have been payable on that gross income for the following:</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income tax under the </w:t>
      </w:r>
      <w:r>
        <w:rPr>
          <w:rFonts w:ascii="arial" w:eastAsia="arial" w:hAnsi="arial" w:cs="arial"/>
          <w:i/>
          <w:color w:val="000000"/>
          <w:sz w:val="20"/>
          <w:lang w:val="en-US" w:eastAsia="en-US" w:bidi="ar-SA"/>
        </w:rPr>
        <w:t>Income Tax Act</w:t>
      </w:r>
      <w:r>
        <w:rPr>
          <w:rFonts w:ascii="arial" w:eastAsia="arial" w:hAnsi="arial" w:cs="arial"/>
          <w:color w:val="000000"/>
          <w:sz w:val="20"/>
          <w:lang w:val="en-US" w:eastAsia="en-US" w:bidi="ar-SA"/>
        </w:rPr>
        <w:t>, as that Act read on December 31 of the calendar year before the calendar year in respect of which the net income loss is to be determined, calculated in accordance with the regulations and with reference to prescribed deductions and tax credits;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income tax under the </w:t>
      </w:r>
      <w:r>
        <w:rPr>
          <w:rFonts w:ascii="arial" w:eastAsia="arial" w:hAnsi="arial" w:cs="arial"/>
          <w:i/>
          <w:color w:val="000000"/>
          <w:sz w:val="20"/>
          <w:lang w:val="en-US" w:eastAsia="en-US" w:bidi="ar-SA"/>
        </w:rPr>
        <w:t>Income Tax Act</w:t>
      </w:r>
      <w:r>
        <w:rPr>
          <w:rFonts w:ascii="arial" w:eastAsia="arial" w:hAnsi="arial" w:cs="arial"/>
          <w:color w:val="000000"/>
          <w:sz w:val="20"/>
          <w:lang w:val="en-US" w:eastAsia="en-US" w:bidi="ar-SA"/>
        </w:rPr>
        <w:t xml:space="preserve"> (Canada) as that Act read on December 31 of the calendar year before the calendar year in respect of which the net income loss is to be determined, calculated in accordance with the regulations under, and with reference to deductions and tax credits prescribed under, this Act;</w:t>
      </w:r>
    </w:p>
    <w:p>
      <w:pPr>
        <w:numPr>
          <w:numId w:val="1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premiums under the </w:t>
      </w:r>
      <w:r>
        <w:rPr>
          <w:rFonts w:ascii="arial" w:eastAsia="arial" w:hAnsi="arial" w:cs="arial"/>
          <w:i/>
          <w:color w:val="000000"/>
          <w:sz w:val="20"/>
          <w:lang w:val="en-US" w:eastAsia="en-US" w:bidi="ar-SA"/>
        </w:rPr>
        <w:t>Employment Insurance Act</w:t>
      </w:r>
      <w:r>
        <w:rPr>
          <w:rFonts w:ascii="arial" w:eastAsia="arial" w:hAnsi="arial" w:cs="arial"/>
          <w:color w:val="000000"/>
          <w:sz w:val="20"/>
          <w:lang w:val="en-US" w:eastAsia="en-US" w:bidi="ar-SA"/>
        </w:rPr>
        <w:t xml:space="preserve"> (Canada), as that Act read on December 31 of the calendar year before the calendar year in respect of which the net income loss is to be determined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"prescribed deductions and tax credits" are further defined in s. 180 of the </w:t>
      </w:r>
      <w:r>
        <w:rPr>
          <w:rFonts w:ascii="arial" w:eastAsia="arial" w:hAnsi="arial" w:cs="arial"/>
          <w:i/>
          <w:color w:val="000000"/>
          <w:sz w:val="20"/>
          <w:lang w:val="en-US" w:eastAsia="en-US" w:bidi="ar-SA"/>
        </w:rPr>
        <w:t>Insurance (Vehicle) Regulation</w:t>
      </w:r>
      <w:r>
        <w:rPr>
          <w:rFonts w:ascii="arial" w:eastAsia="arial" w:hAnsi="arial" w:cs="arial"/>
          <w:color w:val="000000"/>
          <w:sz w:val="20"/>
          <w:lang w:val="en-US" w:eastAsia="en-US" w:bidi="ar-SA"/>
        </w:rPr>
        <w:t xml:space="preserve">, </w:t>
      </w:r>
      <w:hyperlink r:id="rId197" w:history="1">
        <w:r>
          <w:rPr>
            <w:rFonts w:ascii="arial" w:eastAsia="arial" w:hAnsi="arial" w:cs="arial"/>
            <w:i/>
            <w:color w:val="0077CC"/>
            <w:sz w:val="20"/>
            <w:u w:val="single"/>
            <w:shd w:val="clear" w:color="auto" w:fill="FFFFFF"/>
            <w:lang w:val="en-US" w:eastAsia="en-US" w:bidi="ar-SA"/>
          </w:rPr>
          <w:t>B.C. Reg. 447/83</w:t>
        </w:r>
      </w:hyperlink>
      <w:r>
        <w:rPr>
          <w:rFonts w:ascii="arial" w:eastAsia="arial" w:hAnsi="arial" w:cs="arial"/>
          <w:color w:val="000000"/>
          <w:sz w:val="20"/>
          <w:lang w:val="en-US" w:eastAsia="en-US" w:bidi="ar-SA"/>
        </w:rPr>
        <w:t>, as amended: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deductions, tax credits and premiums prescribed for the purposes of the definition of "net income loss" in section 95 of the Act are</w:t>
      </w:r>
    </w:p>
    <w:p>
      <w:pPr>
        <w:numPr>
          <w:numId w:val="16"/>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deductions and tax credits under the </w:t>
      </w:r>
      <w:r>
        <w:rPr>
          <w:rFonts w:ascii="arial" w:eastAsia="arial" w:hAnsi="arial" w:cs="arial"/>
          <w:i/>
          <w:color w:val="000000"/>
          <w:sz w:val="20"/>
          <w:lang w:val="en-US" w:eastAsia="en-US" w:bidi="ar-SA"/>
        </w:rPr>
        <w:t>Income Tax Act</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Income Tax Act</w:t>
      </w:r>
      <w:r>
        <w:rPr>
          <w:rFonts w:ascii="arial" w:eastAsia="arial" w:hAnsi="arial" w:cs="arial"/>
          <w:color w:val="000000"/>
          <w:sz w:val="20"/>
          <w:lang w:val="en-US" w:eastAsia="en-US" w:bidi="ar-SA"/>
        </w:rPr>
        <w:t xml:space="preserve"> (Canada) and the premiums under the </w:t>
      </w:r>
      <w:r>
        <w:rPr>
          <w:rFonts w:ascii="arial" w:eastAsia="arial" w:hAnsi="arial" w:cs="arial"/>
          <w:i/>
          <w:color w:val="000000"/>
          <w:sz w:val="20"/>
          <w:lang w:val="en-US" w:eastAsia="en-US" w:bidi="ar-SA"/>
        </w:rPr>
        <w:t>Employment Insurance Act</w:t>
      </w:r>
      <w:r>
        <w:rPr>
          <w:rFonts w:ascii="arial" w:eastAsia="arial" w:hAnsi="arial" w:cs="arial"/>
          <w:color w:val="000000"/>
          <w:sz w:val="20"/>
          <w:lang w:val="en-US" w:eastAsia="en-US" w:bidi="ar-SA"/>
        </w:rPr>
        <w:t xml:space="preserve"> (Canada) that apply, in the period in respect of which the net income loss is to be calculated, to the person in respect of whom the calculation of net income loss is being made, or</w:t>
      </w:r>
    </w:p>
    <w:p>
      <w:pPr>
        <w:numPr>
          <w:numId w:val="16"/>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for a person referred to in paragraph (b) of the definition of "net income loss", any deductions, tax credits and premiums that apply to the person in respect of whom the calculation of net income loss is being made</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jurisdiction in which the person is liable to pay tax on income, and</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period in respect of which the net income loss is to be calculated.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Hudniuk</w:t>
      </w:r>
      <w:r>
        <w:rPr>
          <w:rFonts w:ascii="arial" w:eastAsia="arial" w:hAnsi="arial" w:cs="arial"/>
          <w:color w:val="000000"/>
          <w:sz w:val="20"/>
          <w:lang w:val="en-US" w:eastAsia="en-US" w:bidi="ar-SA"/>
        </w:rPr>
        <w:t>, Pitfield J. concluded that ss. 95 and 98 require that the amount of tax be determined as if all the past income loss had been determined on the first day of trial, chiefly because of the difficulty in allocating past income loss to different calendar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Lines</w:t>
      </w:r>
      <w:r>
        <w:rPr>
          <w:rFonts w:ascii="arial" w:eastAsia="arial" w:hAnsi="arial" w:cs="arial"/>
          <w:color w:val="000000"/>
          <w:sz w:val="20"/>
          <w:lang w:val="en-US" w:eastAsia="en-US" w:bidi="ar-SA"/>
        </w:rPr>
        <w:t>, Tysoe J.A., writing for the Court on this issue, referred to the underlying principle in damage awards of putting the plaintiff in the position he or she would have been but for the accident. "Net income loss" as defined in s. 95 is "for any period". Tysoe J.A. wrote that the intention of the legislature was to give discretion to trial judges to determine the appropriate period or periods for the determination of net income loss: at para. 184. A trial judge is entitled to consider all the circumstances in applying s. 98 which are consistent with the principles of damage assessment: at para. 186.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Tysoe J.A. makes clear that net income can be calculated, as it was in </w:t>
      </w:r>
      <w:r>
        <w:rPr>
          <w:rFonts w:ascii="arial" w:eastAsia="arial" w:hAnsi="arial" w:cs="arial"/>
          <w:i/>
          <w:color w:val="000000"/>
          <w:sz w:val="20"/>
          <w:lang w:val="en-US" w:eastAsia="en-US" w:bidi="ar-SA"/>
        </w:rPr>
        <w:t>Hudniuk</w:t>
      </w:r>
      <w:r>
        <w:rPr>
          <w:rFonts w:ascii="arial" w:eastAsia="arial" w:hAnsi="arial" w:cs="arial"/>
          <w:color w:val="000000"/>
          <w:sz w:val="20"/>
          <w:lang w:val="en-US" w:eastAsia="en-US" w:bidi="ar-SA"/>
        </w:rPr>
        <w:t>, as if the gross income had been received by the plaintiff on the first day of trial, if it is appropriate to do so. However, in a situation where, at the time of injury, the plaintiff was employed and returned to that job after recovering from her injuries "it would be appropriate to allocate the gross income loss to the calendar years between the date of the accident and the date of trial as if the plaintiff had continued working": at para. 185.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Ms. Towson was employed at the time of the accident, and returned to work approximately six months later. She continued to work full time, with two substantial interruptions, until March 2007. On the reasoning of </w:t>
      </w:r>
      <w:r>
        <w:rPr>
          <w:rFonts w:ascii="arial" w:eastAsia="arial" w:hAnsi="arial" w:cs="arial"/>
          <w:i/>
          <w:color w:val="000000"/>
          <w:sz w:val="20"/>
          <w:lang w:val="en-US" w:eastAsia="en-US" w:bidi="ar-SA"/>
        </w:rPr>
        <w:t>Lines</w:t>
      </w:r>
      <w:r>
        <w:rPr>
          <w:rFonts w:ascii="arial" w:eastAsia="arial" w:hAnsi="arial" w:cs="arial"/>
          <w:color w:val="000000"/>
          <w:sz w:val="20"/>
          <w:lang w:val="en-US" w:eastAsia="en-US" w:bidi="ar-SA"/>
        </w:rPr>
        <w:t xml:space="preserve">, MPS's calculation of her net income loss in accordance with </w:t>
      </w:r>
      <w:r>
        <w:rPr>
          <w:rFonts w:ascii="arial" w:eastAsia="arial" w:hAnsi="arial" w:cs="arial"/>
          <w:i/>
          <w:color w:val="000000"/>
          <w:sz w:val="20"/>
          <w:lang w:val="en-US" w:eastAsia="en-US" w:bidi="ar-SA"/>
        </w:rPr>
        <w:t>Hudniuk</w:t>
      </w:r>
      <w:r>
        <w:rPr>
          <w:rFonts w:ascii="arial" w:eastAsia="arial" w:hAnsi="arial" w:cs="arial"/>
          <w:color w:val="000000"/>
          <w:sz w:val="20"/>
          <w:lang w:val="en-US" w:eastAsia="en-US" w:bidi="ar-SA"/>
        </w:rPr>
        <w:t xml:space="preserve"> would be inappropriate in her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None of the parties provided submissions to the court on an appropriate calculation of net past income loss in light of the ruling in </w:t>
      </w:r>
      <w:r>
        <w:rPr>
          <w:rFonts w:ascii="arial" w:eastAsia="arial" w:hAnsi="arial" w:cs="arial"/>
          <w:i/>
          <w:color w:val="000000"/>
          <w:sz w:val="20"/>
          <w:lang w:val="en-US" w:eastAsia="en-US" w:bidi="ar-SA"/>
        </w:rPr>
        <w:t>Lines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Trial Reasons explain the basis of the past wage loss calculations at paras. 318 through 335. The deduction should be recalculated on the basis that Ms. Towson would have received the following amounts in the following calendar years:</w:t>
      </w:r>
      <w:r>
        <w:rPr>
          <w:rFonts w:ascii="arial" w:eastAsia="arial" w:hAnsi="arial" w:cs="arial"/>
          <w:sz w:val="20"/>
          <w:lang w:val="en-US" w:eastAsia="en-US" w:bidi="ar-SA"/>
        </w:rPr>
        <w:cr/>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$2,250 in 2003;</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$6,750 in 2004;</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$2,250 in 2006;</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$28,500 in 2007; and</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$28,500 in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If the parties are unable to agree on the appropriate calculation of the deductions, the amount is to be determined by the registrar.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MPS is not seeking deductions under s. 83 (for Part 7, or "no-fault" benefits) and therefore it is not necessary to discuss their availability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3. </w:t>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costs issues are complex. They include Ms. Towson's application for orders that MPS pay the costs of the other defendants, on the basis of what are often termed "Bullock", [1907] 1 KB 264, and "Sanderson", [1903] 2 KB 533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will address the costs issues in the following sequence:</w:t>
      </w:r>
      <w:r>
        <w:rPr>
          <w:rFonts w:ascii="arial" w:eastAsia="arial" w:hAnsi="arial" w:cs="arial"/>
          <w:sz w:val="20"/>
          <w:lang w:val="en-US" w:eastAsia="en-US" w:bidi="ar-SA"/>
        </w:rPr>
        <w:cr/>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How should Ms. Towson's costs payable by MPS be calculated?</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Who should pay Mr. Bergman's costs?</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Ms. Towson entitled to costs from Cst. Pizarro?</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Cst. Pizarro entitled to costs from Ms. Towson, and if so, what costs?</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Who should pay Ms. Chan's and Mr. Ko's costs, and how shall they be calculated?</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Who should pay Ms. Towson's costs of bringing the action against Ms. Chan and Mr. Ko?</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How should Ms. Towson's costs payable by MPS be calculated?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Ms. Towson claims double costs from MPS for the period commencing September 5, 2008, and single costs prior to that. MPS argued that Ms. Towson should receive only single costs for the entire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On September 5, 2008, Ms. Towson delivered an offer to settle for $500,000 ("Offer Under 37B") to defence counsel at two separate firms. Those two law firms represented MPS and Cst. Pizarro and Mr. Bergman (being the three continuing defendants in one lawsuit), and Ms. Chan and Mr. Ko (being the defendants in the other lawsuit). The Offer Under 37B was not accepted by any of the defendants. The trial commenced on September 8,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Rule 37B of the Rules of Court sets out the requirements for a valid offer to settle:</w:t>
      </w:r>
      <w:r>
        <w:rPr>
          <w:rFonts w:ascii="arial" w:eastAsia="arial" w:hAnsi="arial" w:cs="arial"/>
          <w:sz w:val="20"/>
          <w:lang w:val="en-US" w:eastAsia="en-US" w:bidi="ar-SA"/>
        </w:rPr>
        <w:cr/>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rule, "offer to settle" means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offer to settle, made after July 1, 2008, that</w:t>
      </w:r>
    </w:p>
    <w:p>
      <w:pPr>
        <w:numPr>
          <w:numId w:val="2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made in writing by a party to a proceeding,</w:t>
      </w:r>
    </w:p>
    <w:p>
      <w:pPr>
        <w:numPr>
          <w:numId w:val="2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has been delivered to all parties of record, and</w:t>
      </w:r>
    </w:p>
    <w:p>
      <w:pPr>
        <w:numPr>
          <w:numId w:val="2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contains the following sentence: "The .... [name of party making the offer] .... reserves the right to bring this offer to the attention of the court for consideration in relation to costs after the court has rendered judgment on all other issues in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As required by Rule 37B, the Offer Under 37B was in writing, was delivered to all the parties of record, and contained the statement "The plaintiff, Erin Towson, reserves the right to bring this offer to the attention of the court for consideration in relation to costs after the court has rendered judgment on all other issues in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MPS argued that the Offer Under 37B was invalid, because it included a claim for no-fault benefits, and was made to multiple defendants. Alternatively, MPS argued that, if the Offer Under 37B was valid, double costs should not be payable until seven days after it was made.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(i) </w:t>
      </w:r>
      <w:r>
        <w:rPr>
          <w:rFonts w:ascii="arial" w:eastAsia="arial" w:hAnsi="arial" w:cs="arial"/>
          <w:b/>
          <w:color w:val="000000"/>
          <w:sz w:val="20"/>
          <w:u w:val="single"/>
          <w:lang w:val="en-US" w:eastAsia="en-US" w:bidi="ar-SA"/>
        </w:rPr>
        <w:t>Including claim for no-fault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MPS argued that the Offer Under 37B was invalid because it included the words "this offer is calculated to include future damages otherwise payable pursuant to the Regulations of the </w:t>
      </w:r>
      <w:r>
        <w:rPr>
          <w:rFonts w:ascii="arial" w:eastAsia="arial" w:hAnsi="arial" w:cs="arial"/>
          <w:i/>
          <w:color w:val="000000"/>
          <w:sz w:val="20"/>
          <w:lang w:val="en-US" w:eastAsia="en-US" w:bidi="ar-SA"/>
        </w:rPr>
        <w:t>I(V)Act</w:t>
      </w:r>
      <w:r>
        <w:rPr>
          <w:rFonts w:ascii="arial" w:eastAsia="arial" w:hAnsi="arial" w:cs="arial"/>
          <w:color w:val="000000"/>
          <w:sz w:val="20"/>
          <w:lang w:val="en-US" w:eastAsia="en-US" w:bidi="ar-SA"/>
        </w:rPr>
        <w:t xml:space="preserve"> for the purposes of calculating costs." MPS argued that, by including this term, Ms. Towson included within the offer an amount which would be the subject of a claim which was not at issue in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MPS relied on </w:t>
      </w:r>
      <w:r>
        <w:rPr>
          <w:rFonts w:ascii="arial" w:eastAsia="arial" w:hAnsi="arial" w:cs="arial"/>
          <w:i/>
          <w:color w:val="000000"/>
          <w:sz w:val="20"/>
          <w:lang w:val="en-US" w:eastAsia="en-US" w:bidi="ar-SA"/>
        </w:rPr>
        <w:t>Morrison v. Pankratz</w:t>
      </w:r>
      <w:r>
        <w:rPr>
          <w:rFonts w:ascii="arial" w:eastAsia="arial" w:hAnsi="arial" w:cs="arial"/>
          <w:color w:val="000000"/>
          <w:sz w:val="20"/>
          <w:lang w:val="en-US" w:eastAsia="en-US" w:bidi="ar-SA"/>
        </w:rPr>
        <w:t xml:space="preserve"> </w:t>
      </w:r>
      <w:hyperlink r:id="rId198" w:history="1">
        <w:r>
          <w:rPr>
            <w:rFonts w:ascii="arial" w:eastAsia="arial" w:hAnsi="arial" w:cs="arial"/>
            <w:i/>
            <w:color w:val="0077CC"/>
            <w:sz w:val="20"/>
            <w:u w:val="single"/>
            <w:shd w:val="clear" w:color="auto" w:fill="FFFFFF"/>
            <w:lang w:val="en-US" w:eastAsia="en-US" w:bidi="ar-SA"/>
          </w:rPr>
          <w:t>(1996), 21 B.C.L.R. (3d) 1</w:t>
        </w:r>
      </w:hyperlink>
      <w:r>
        <w:rPr>
          <w:rFonts w:ascii="arial" w:eastAsia="arial" w:hAnsi="arial" w:cs="arial"/>
          <w:color w:val="000000"/>
          <w:sz w:val="20"/>
          <w:lang w:val="en-US" w:eastAsia="en-US" w:bidi="ar-SA"/>
        </w:rPr>
        <w:t xml:space="preserve">, </w:t>
      </w:r>
      <w:hyperlink r:id="rId198" w:history="1">
        <w:r>
          <w:rPr>
            <w:rFonts w:ascii="arial" w:eastAsia="arial" w:hAnsi="arial" w:cs="arial"/>
            <w:i/>
            <w:color w:val="0077CC"/>
            <w:sz w:val="20"/>
            <w:u w:val="single"/>
            <w:shd w:val="clear" w:color="auto" w:fill="FFFFFF"/>
            <w:lang w:val="en-US" w:eastAsia="en-US" w:bidi="ar-SA"/>
          </w:rPr>
          <w:t>[1996] 8 W.W.R. 128</w:t>
        </w:r>
      </w:hyperlink>
      <w:r>
        <w:rPr>
          <w:rFonts w:ascii="arial" w:eastAsia="arial" w:hAnsi="arial" w:cs="arial"/>
          <w:color w:val="000000"/>
          <w:sz w:val="20"/>
          <w:lang w:val="en-US" w:eastAsia="en-US" w:bidi="ar-SA"/>
        </w:rPr>
        <w:t xml:space="preserve"> (C.A.), a case decided under the former Rule 37. That case held that a "notice of payment into court" was defective because it purported to settle both a tort action, which was before the court, and an action for no-fault benefits under the </w:t>
      </w:r>
      <w:r>
        <w:rPr>
          <w:rFonts w:ascii="arial" w:eastAsia="arial" w:hAnsi="arial" w:cs="arial"/>
          <w:i/>
          <w:color w:val="000000"/>
          <w:sz w:val="20"/>
          <w:lang w:val="en-US" w:eastAsia="en-US" w:bidi="ar-SA"/>
        </w:rPr>
        <w:t>Insurance (Motor Vehicle) Act</w:t>
      </w:r>
      <w:r>
        <w:rPr>
          <w:rFonts w:ascii="arial" w:eastAsia="arial" w:hAnsi="arial" w:cs="arial"/>
          <w:color w:val="000000"/>
          <w:sz w:val="20"/>
          <w:lang w:val="en-US" w:eastAsia="en-US" w:bidi="ar-SA"/>
        </w:rPr>
        <w:t>, which was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Ms. Towson responded that the wording of the Offer Under 37B was intended to include all future costs of care, having taken into account any possible deductions. She argued that since MPS is not seeking any deductions under s. 83, the inclusion of the sentence is irrelevant.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applicability of the decision in </w:t>
      </w:r>
      <w:r>
        <w:rPr>
          <w:rFonts w:ascii="arial" w:eastAsia="arial" w:hAnsi="arial" w:cs="arial"/>
          <w:i/>
          <w:color w:val="000000"/>
          <w:sz w:val="20"/>
          <w:lang w:val="en-US" w:eastAsia="en-US" w:bidi="ar-SA"/>
        </w:rPr>
        <w:t>Morrison v. Pankratz</w:t>
      </w:r>
      <w:r>
        <w:rPr>
          <w:rFonts w:ascii="arial" w:eastAsia="arial" w:hAnsi="arial" w:cs="arial"/>
          <w:color w:val="000000"/>
          <w:sz w:val="20"/>
          <w:lang w:val="en-US" w:eastAsia="en-US" w:bidi="ar-SA"/>
        </w:rPr>
        <w:t xml:space="preserve"> has been affected by subsequent amendments to the legislation in question. At the time of the decision, s. 24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an action in respect of bodily injury ... the amount of benefits ... shall not be referred to or disclosed to the court or jury until the court has assessed the award of damages and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Likely as a result of </w:t>
      </w:r>
      <w:r>
        <w:rPr>
          <w:rFonts w:ascii="arial" w:eastAsia="arial" w:hAnsi="arial" w:cs="arial"/>
          <w:i/>
          <w:color w:val="000000"/>
          <w:sz w:val="20"/>
          <w:lang w:val="en-US" w:eastAsia="en-US" w:bidi="ar-SA"/>
        </w:rPr>
        <w:t>Morrison</w:t>
      </w:r>
      <w:r>
        <w:rPr>
          <w:rFonts w:ascii="arial" w:eastAsia="arial" w:hAnsi="arial" w:cs="arial"/>
          <w:color w:val="000000"/>
          <w:sz w:val="20"/>
          <w:lang w:val="en-US" w:eastAsia="en-US" w:bidi="ar-SA"/>
        </w:rPr>
        <w:t>, s. 24 was amended to delete the words "and costs". The current s. 83 retains this deletion.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Neufeld v. Foster</w:t>
      </w:r>
      <w:r>
        <w:rPr>
          <w:rFonts w:ascii="arial" w:eastAsia="arial" w:hAnsi="arial" w:cs="arial"/>
          <w:color w:val="000000"/>
          <w:sz w:val="20"/>
          <w:lang w:val="en-US" w:eastAsia="en-US" w:bidi="ar-SA"/>
        </w:rPr>
        <w:t xml:space="preserve">, </w:t>
      </w:r>
      <w:hyperlink r:id="rId199" w:history="1">
        <w:r>
          <w:rPr>
            <w:rFonts w:ascii="arial" w:eastAsia="arial" w:hAnsi="arial" w:cs="arial"/>
            <w:i/>
            <w:color w:val="0077CC"/>
            <w:sz w:val="20"/>
            <w:u w:val="single"/>
            <w:shd w:val="clear" w:color="auto" w:fill="FFFFFF"/>
            <w:lang w:val="en-US" w:eastAsia="en-US" w:bidi="ar-SA"/>
          </w:rPr>
          <w:t>2000 BCCA 485</w:t>
        </w:r>
      </w:hyperlink>
      <w:r>
        <w:rPr>
          <w:rFonts w:ascii="arial" w:eastAsia="arial" w:hAnsi="arial" w:cs="arial"/>
          <w:color w:val="000000"/>
          <w:sz w:val="20"/>
          <w:lang w:val="en-US" w:eastAsia="en-US" w:bidi="ar-SA"/>
        </w:rPr>
        <w:t xml:space="preserve">, </w:t>
      </w:r>
      <w:hyperlink r:id="rId199" w:history="1">
        <w:r>
          <w:rPr>
            <w:rFonts w:ascii="arial" w:eastAsia="arial" w:hAnsi="arial" w:cs="arial"/>
            <w:i/>
            <w:color w:val="0077CC"/>
            <w:sz w:val="20"/>
            <w:u w:val="single"/>
            <w:shd w:val="clear" w:color="auto" w:fill="FFFFFF"/>
            <w:lang w:val="en-US" w:eastAsia="en-US" w:bidi="ar-SA"/>
          </w:rPr>
          <w:t>5 M.V.R. (4th) 276</w:t>
        </w:r>
      </w:hyperlink>
      <w:r>
        <w:rPr>
          <w:rFonts w:ascii="arial" w:eastAsia="arial" w:hAnsi="arial" w:cs="arial"/>
          <w:color w:val="000000"/>
          <w:sz w:val="20"/>
          <w:lang w:val="en-US" w:eastAsia="en-US" w:bidi="ar-SA"/>
        </w:rPr>
        <w:t xml:space="preserve">, Rowles J.A., in dismissing the application for leave to appeal, held that the result of this amendment was that past and future no-fault benefits may affect the allocation of costs. In </w:t>
      </w:r>
      <w:r>
        <w:rPr>
          <w:rFonts w:ascii="arial" w:eastAsia="arial" w:hAnsi="arial" w:cs="arial"/>
          <w:i/>
          <w:color w:val="000000"/>
          <w:sz w:val="20"/>
          <w:lang w:val="en-US" w:eastAsia="en-US" w:bidi="ar-SA"/>
        </w:rPr>
        <w:t>Neufeld</w:t>
      </w:r>
      <w:r>
        <w:rPr>
          <w:rFonts w:ascii="arial" w:eastAsia="arial" w:hAnsi="arial" w:cs="arial"/>
          <w:color w:val="000000"/>
          <w:sz w:val="20"/>
          <w:lang w:val="en-US" w:eastAsia="en-US" w:bidi="ar-SA"/>
        </w:rPr>
        <w:t>, the defendant had made an offer to settle for $260,000 in addition to all prior payments of advances on the tort claim and no-fault benefits. L. Smith J. awarded the plaintiff $238,000 net of deductions for Part 7 benefits. In making the decision on costs, she found that the offer to settle included only past benefits and not future benefits. She deducted the present value of these future benefits from the offer to settle, finding that the offer was less than the trial judgment, and thus entitling the plaintiff to costs throughout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wording of Ms. Towson's Offer Under 37B reflects the analysis in </w:t>
      </w:r>
      <w:r>
        <w:rPr>
          <w:rFonts w:ascii="arial" w:eastAsia="arial" w:hAnsi="arial" w:cs="arial"/>
          <w:i/>
          <w:color w:val="000000"/>
          <w:sz w:val="20"/>
          <w:lang w:val="en-US" w:eastAsia="en-US" w:bidi="ar-SA"/>
        </w:rPr>
        <w:t>Neufeld</w:t>
      </w:r>
      <w:r>
        <w:rPr>
          <w:rFonts w:ascii="arial" w:eastAsia="arial" w:hAnsi="arial" w:cs="arial"/>
          <w:color w:val="000000"/>
          <w:sz w:val="20"/>
          <w:lang w:val="en-US" w:eastAsia="en-US" w:bidi="ar-SA"/>
        </w:rPr>
        <w:t xml:space="preserve">. Ms. Towson's Offer Under 37B is not invalid because the offer included Ms. Towson's potential claim for no-fault benefits. The legislation has effectively overruled the concern arising from </w:t>
      </w:r>
      <w:r>
        <w:rPr>
          <w:rFonts w:ascii="arial" w:eastAsia="arial" w:hAnsi="arial" w:cs="arial"/>
          <w:i/>
          <w:color w:val="000000"/>
          <w:sz w:val="20"/>
          <w:lang w:val="en-US" w:eastAsia="en-US" w:bidi="ar-SA"/>
        </w:rPr>
        <w:t>Morrison v. Pankratz.</w:t>
      </w:r>
      <w:r>
        <w:rPr>
          <w:rFonts w:ascii="arial" w:eastAsia="arial" w:hAnsi="arial" w:cs="arial"/>
          <w:color w:val="000000"/>
          <w:sz w:val="20"/>
          <w:lang w:val="en-US" w:eastAsia="en-US" w:bidi="ar-SA"/>
        </w:rPr>
        <w:t xml:space="preserve"> In addition, Rule 37B gives the court greater discretion in awarding costs.</w:t>
      </w:r>
      <w:r>
        <w:rPr>
          <w:rFonts w:ascii="arial" w:eastAsia="arial" w:hAnsi="arial" w:cs="arial"/>
          <w:sz w:val="20"/>
          <w:lang w:val="en-US" w:eastAsia="en-US" w:bidi="ar-SA"/>
        </w:rPr>
        <w:cr/>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Offer to multiple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MPS argued that the Offer Under 37B was invalid because it was addressed to both defence counsel, and could only have been accepted by all the defendants, including the defendants against whom Ms. Towson's claim was eventually dismissed by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effect of a global settlement offer is governed by the new Rule 37B. Under the former Rules 37 and 37A, double costs were not available on the basis of global offers to multiple parties: see e.g. </w:t>
      </w:r>
      <w:r>
        <w:rPr>
          <w:rFonts w:ascii="arial" w:eastAsia="arial" w:hAnsi="arial" w:cs="arial"/>
          <w:i/>
          <w:color w:val="000000"/>
          <w:sz w:val="20"/>
          <w:lang w:val="en-US" w:eastAsia="en-US" w:bidi="ar-SA"/>
        </w:rPr>
        <w:t>Cao (Guardian ad litem of) v. Natt</w:t>
      </w:r>
      <w:r>
        <w:rPr>
          <w:rFonts w:ascii="arial" w:eastAsia="arial" w:hAnsi="arial" w:cs="arial"/>
          <w:color w:val="000000"/>
          <w:sz w:val="20"/>
          <w:lang w:val="en-US" w:eastAsia="en-US" w:bidi="ar-SA"/>
        </w:rPr>
        <w:t xml:space="preserve">, </w:t>
      </w:r>
      <w:hyperlink r:id="rId200" w:history="1">
        <w:r>
          <w:rPr>
            <w:rFonts w:ascii="arial" w:eastAsia="arial" w:hAnsi="arial" w:cs="arial"/>
            <w:i/>
            <w:color w:val="0077CC"/>
            <w:sz w:val="20"/>
            <w:u w:val="single"/>
            <w:shd w:val="clear" w:color="auto" w:fill="FFFFFF"/>
            <w:lang w:val="en-US" w:eastAsia="en-US" w:bidi="ar-SA"/>
          </w:rPr>
          <w:t>2004 BCSC 813</w:t>
        </w:r>
      </w:hyperlink>
      <w:r>
        <w:rPr>
          <w:rFonts w:ascii="arial" w:eastAsia="arial" w:hAnsi="arial" w:cs="arial"/>
          <w:color w:val="000000"/>
          <w:sz w:val="20"/>
          <w:lang w:val="en-US" w:eastAsia="en-US" w:bidi="ar-SA"/>
        </w:rPr>
        <w:t xml:space="preserve">, </w:t>
      </w:r>
      <w:hyperlink r:id="rId200" w:history="1">
        <w:r>
          <w:rPr>
            <w:rFonts w:ascii="arial" w:eastAsia="arial" w:hAnsi="arial" w:cs="arial"/>
            <w:i/>
            <w:color w:val="0077CC"/>
            <w:sz w:val="20"/>
            <w:u w:val="single"/>
            <w:shd w:val="clear" w:color="auto" w:fill="FFFFFF"/>
            <w:lang w:val="en-US" w:eastAsia="en-US" w:bidi="ar-SA"/>
          </w:rPr>
          <w:t>32 B.C.L.R. (4th) 115</w:t>
        </w:r>
      </w:hyperlink>
      <w:r>
        <w:rPr>
          <w:rFonts w:ascii="arial" w:eastAsia="arial" w:hAnsi="arial" w:cs="arial"/>
          <w:color w:val="000000"/>
          <w:sz w:val="20"/>
          <w:lang w:val="en-US" w:eastAsia="en-US" w:bidi="ar-SA"/>
        </w:rPr>
        <w:t xml:space="preserve">, aff'd </w:t>
      </w:r>
      <w:hyperlink r:id="rId201" w:history="1">
        <w:r>
          <w:rPr>
            <w:rFonts w:ascii="arial" w:eastAsia="arial" w:hAnsi="arial" w:cs="arial"/>
            <w:i/>
            <w:color w:val="0077CC"/>
            <w:sz w:val="20"/>
            <w:u w:val="single"/>
            <w:shd w:val="clear" w:color="auto" w:fill="FFFFFF"/>
            <w:lang w:val="en-US" w:eastAsia="en-US" w:bidi="ar-SA"/>
          </w:rPr>
          <w:t>2005 BCCA 351</w:t>
        </w:r>
      </w:hyperlink>
      <w:r>
        <w:rPr>
          <w:rFonts w:ascii="arial" w:eastAsia="arial" w:hAnsi="arial" w:cs="arial"/>
          <w:color w:val="000000"/>
          <w:sz w:val="20"/>
          <w:lang w:val="en-US" w:eastAsia="en-US" w:bidi="ar-SA"/>
        </w:rPr>
        <w:t xml:space="preserve">, </w:t>
      </w:r>
      <w:hyperlink r:id="rId201" w:history="1">
        <w:r>
          <w:rPr>
            <w:rFonts w:ascii="arial" w:eastAsia="arial" w:hAnsi="arial" w:cs="arial"/>
            <w:i/>
            <w:color w:val="0077CC"/>
            <w:sz w:val="20"/>
            <w:u w:val="single"/>
            <w:shd w:val="clear" w:color="auto" w:fill="FFFFFF"/>
            <w:lang w:val="en-US" w:eastAsia="en-US" w:bidi="ar-SA"/>
          </w:rPr>
          <w:t>42 B.C.L.R. (4th) 222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Aspen Enterprises Ltd. v. Quiding</w:t>
      </w:r>
      <w:r>
        <w:rPr>
          <w:rFonts w:ascii="arial" w:eastAsia="arial" w:hAnsi="arial" w:cs="arial"/>
          <w:color w:val="000000"/>
          <w:sz w:val="20"/>
          <w:lang w:val="en-US" w:eastAsia="en-US" w:bidi="ar-SA"/>
        </w:rPr>
        <w:t xml:space="preserve">, </w:t>
      </w:r>
      <w:hyperlink r:id="rId202" w:history="1">
        <w:r>
          <w:rPr>
            <w:rFonts w:ascii="arial" w:eastAsia="arial" w:hAnsi="arial" w:cs="arial"/>
            <w:i/>
            <w:color w:val="0077CC"/>
            <w:sz w:val="20"/>
            <w:u w:val="single"/>
            <w:shd w:val="clear" w:color="auto" w:fill="FFFFFF"/>
            <w:lang w:val="en-US" w:eastAsia="en-US" w:bidi="ar-SA"/>
          </w:rPr>
          <w:t>2009 BCSC 50</w:t>
        </w:r>
      </w:hyperlink>
      <w:r>
        <w:rPr>
          <w:rFonts w:ascii="arial" w:eastAsia="arial" w:hAnsi="arial" w:cs="arial"/>
          <w:color w:val="000000"/>
          <w:sz w:val="20"/>
          <w:lang w:val="en-US" w:eastAsia="en-US" w:bidi="ar-SA"/>
        </w:rPr>
        <w:t xml:space="preserve">, is the only case I located which considered the effect of a global offer to settle made under Rule 37B. The plaintiffs in </w:t>
      </w:r>
      <w:r>
        <w:rPr>
          <w:rFonts w:ascii="arial" w:eastAsia="arial" w:hAnsi="arial" w:cs="arial"/>
          <w:i/>
          <w:color w:val="000000"/>
          <w:sz w:val="20"/>
          <w:lang w:val="en-US" w:eastAsia="en-US" w:bidi="ar-SA"/>
        </w:rPr>
        <w:t>Aspen</w:t>
      </w:r>
      <w:r>
        <w:rPr>
          <w:rFonts w:ascii="arial" w:eastAsia="arial" w:hAnsi="arial" w:cs="arial"/>
          <w:color w:val="000000"/>
          <w:sz w:val="20"/>
          <w:lang w:val="en-US" w:eastAsia="en-US" w:bidi="ar-SA"/>
        </w:rPr>
        <w:t xml:space="preserve"> argued that Rule 37B is "intended to be broader in application than the former rules, and therefore should apply to global offers". They argued that the fact that a global offer has been made should not preclude a court from considering the factors set out in subrule 37B(6) and exercising its discretion to award double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Fenlon J. appeared to accept this argument, although she found, on consideration of 37B(6)(a), that the offer to settle was not one that ought reasonably to have been accepted by the defendants. The offer as framed could not have been accepted by Aspen or Kingsway without the consent of the other, and without the further consent of Landmark, which was not even a party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Rule 37B places no restrictions on the court's discretion in relation to global settlement offers. The purpose of the rule is to facilitate and encourage reasonable offers to settle. It requires a settlement offer to be delivered to all parties of record. The law developed under Rule 37 regarding global offers is of little assistance. Pursuant to Rule 37B, the consideration for the court pertaining to global settlement offers is whether the offer was one that ought reasonably to have been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considering the effect of an offer to settle on an award for costs under Rule 37B, the court may consider the following factors:</w:t>
      </w:r>
      <w:r>
        <w:rPr>
          <w:rFonts w:ascii="arial" w:eastAsia="arial" w:hAnsi="arial" w:cs="arial"/>
          <w:sz w:val="20"/>
          <w:lang w:val="en-US" w:eastAsia="en-US" w:bidi="ar-SA"/>
        </w:rPr>
        <w:cr/>
      </w:r>
    </w:p>
    <w:p>
      <w:pPr>
        <w:numPr>
          <w:numId w:val="2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offer to settle was one that ought reasonably to have been accepted, either on the date that the offer to settle was delivered or on any later date;</w:t>
      </w:r>
    </w:p>
    <w:p>
      <w:pPr>
        <w:numPr>
          <w:numId w:val="2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relationship between the terms of settlement offered and the final judgment of the court;</w:t>
      </w:r>
    </w:p>
    <w:p>
      <w:pPr>
        <w:numPr>
          <w:numId w:val="2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relative financial circumstances of the parties;</w:t>
      </w:r>
    </w:p>
    <w:p>
      <w:pPr>
        <w:numPr>
          <w:numId w:val="2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factor the court considers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Offer Under 37B was one that ought reasonably to have been accepted by MPS. Despite the fact that the Offer Under 37 was addressed to all defendants, it was evident at the time that MPS was the party facing the greatest risk of liability to Ms. Towson. When the Offer Under 37B was made, it was apparent that the liability, if there were any, of Ms. Chan, Mr. Ko, and Mr. Bergman was likely to be very significantly less than the liability of MPS.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Although MPS could not accept the Offer Under 37B on behalf of Ms. Chan, Mr. Ko, or Mr. Bergman, MPS could have agreed to pay the $500,000 in full settlement of the claim against it. The eventual judgment was for roughly $1.2 million, being more than double the amount Ms. Towson offered to accept.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this case, Ms. Towson's award against the single unsuccessful defendant, MPS, is far greater than the amount she offered to accept. Global offers made in circumstances where there is more than one unsuccessful defendant may give rise to different considerations.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Ms. Towson, at the time of trial, was in difficult financial circumstances. She was unemployed, living with her parents, and receiving social assistance and disability payments. MPS is a government ministry. Ms. Towson's financial circumstances were significantly worse than those of MPS.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all these circumstances, Ms. Towson is entitled to double costs, although when the double costs should begin is discussed below.</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(iii) </w:t>
      </w:r>
      <w:r>
        <w:rPr>
          <w:rFonts w:ascii="arial" w:eastAsia="arial" w:hAnsi="arial" w:cs="arial"/>
          <w:b/>
          <w:color w:val="000000"/>
          <w:sz w:val="20"/>
          <w:u w:val="single"/>
          <w:lang w:val="en-US" w:eastAsia="en-US" w:bidi="ar-SA"/>
        </w:rPr>
        <w:t>Timing of offer to settle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MPS argued that, given the late delivery of the Offer Under 37B, double costs should not arise until seven days after the date of delivery.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Under Rule 37(7), which has been repealed, the mandatory double costs provisions did not apply if the offer was delivered less than seven days before the trial commenced. In such circumstances, the court could consider the offer and exercise its discretion. In considering the timing, the court took into account factors including the amount of money involved, the time needed to consider the offer, the complexity of the litigation, and the number of issues in the litigation: see </w:t>
      </w:r>
      <w:r>
        <w:rPr>
          <w:rFonts w:ascii="arial" w:eastAsia="arial" w:hAnsi="arial" w:cs="arial"/>
          <w:i/>
          <w:color w:val="000000"/>
          <w:sz w:val="20"/>
          <w:lang w:val="en-US" w:eastAsia="en-US" w:bidi="ar-SA"/>
        </w:rPr>
        <w:t>B.(R.A.R.) v. British Columbia</w:t>
      </w:r>
      <w:r>
        <w:rPr>
          <w:rFonts w:ascii="arial" w:eastAsia="arial" w:hAnsi="arial" w:cs="arial"/>
          <w:color w:val="000000"/>
          <w:sz w:val="20"/>
          <w:lang w:val="en-US" w:eastAsia="en-US" w:bidi="ar-SA"/>
        </w:rPr>
        <w:t xml:space="preserve">, </w:t>
      </w:r>
      <w:hyperlink r:id="rId203" w:history="1">
        <w:r>
          <w:rPr>
            <w:rFonts w:ascii="arial" w:eastAsia="arial" w:hAnsi="arial" w:cs="arial"/>
            <w:i/>
            <w:color w:val="0077CC"/>
            <w:sz w:val="20"/>
            <w:u w:val="single"/>
            <w:shd w:val="clear" w:color="auto" w:fill="FFFFFF"/>
            <w:lang w:val="en-US" w:eastAsia="en-US" w:bidi="ar-SA"/>
          </w:rPr>
          <w:t>2001 BCSC 917</w:t>
        </w:r>
      </w:hyperlink>
      <w:r>
        <w:rPr>
          <w:rFonts w:ascii="arial" w:eastAsia="arial" w:hAnsi="arial" w:cs="arial"/>
          <w:color w:val="000000"/>
          <w:sz w:val="20"/>
          <w:lang w:val="en-US" w:eastAsia="en-US" w:bidi="ar-SA"/>
        </w:rPr>
        <w:t>, 14 C.P.C. (5th) 357, at para.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Rule 37B, the rule presently in force, does not refer to offers being made seven days before trial. However, that period has been applied in the case law. In </w:t>
      </w:r>
      <w:r>
        <w:rPr>
          <w:rFonts w:ascii="arial" w:eastAsia="arial" w:hAnsi="arial" w:cs="arial"/>
          <w:i/>
          <w:color w:val="000000"/>
          <w:sz w:val="20"/>
          <w:lang w:val="en-US" w:eastAsia="en-US" w:bidi="ar-SA"/>
        </w:rPr>
        <w:t>Bailey v. Jang</w:t>
      </w:r>
      <w:r>
        <w:rPr>
          <w:rFonts w:ascii="arial" w:eastAsia="arial" w:hAnsi="arial" w:cs="arial"/>
          <w:color w:val="000000"/>
          <w:sz w:val="20"/>
          <w:lang w:val="en-US" w:eastAsia="en-US" w:bidi="ar-SA"/>
        </w:rPr>
        <w:t xml:space="preserve">, </w:t>
      </w:r>
      <w:hyperlink r:id="rId22" w:history="1">
        <w:r>
          <w:rPr>
            <w:rFonts w:ascii="arial" w:eastAsia="arial" w:hAnsi="arial" w:cs="arial"/>
            <w:i/>
            <w:color w:val="0077CC"/>
            <w:sz w:val="20"/>
            <w:u w:val="single"/>
            <w:shd w:val="clear" w:color="auto" w:fill="FFFFFF"/>
            <w:lang w:val="en-US" w:eastAsia="en-US" w:bidi="ar-SA"/>
          </w:rPr>
          <w:t>2008 BCSC 1372</w:t>
        </w:r>
      </w:hyperlink>
      <w:r>
        <w:rPr>
          <w:rFonts w:ascii="arial" w:eastAsia="arial" w:hAnsi="arial" w:cs="arial"/>
          <w:color w:val="000000"/>
          <w:sz w:val="20"/>
          <w:lang w:val="en-US" w:eastAsia="en-US" w:bidi="ar-SA"/>
        </w:rPr>
        <w:t xml:space="preserve">, </w:t>
      </w:r>
      <w:hyperlink r:id="rId22" w:history="1">
        <w:r>
          <w:rPr>
            <w:rFonts w:ascii="arial" w:eastAsia="arial" w:hAnsi="arial" w:cs="arial"/>
            <w:i/>
            <w:color w:val="0077CC"/>
            <w:sz w:val="20"/>
            <w:u w:val="single"/>
            <w:shd w:val="clear" w:color="auto" w:fill="FFFFFF"/>
            <w:lang w:val="en-US" w:eastAsia="en-US" w:bidi="ar-SA"/>
          </w:rPr>
          <w:t>90 B.C.L.R. (4th) 125</w:t>
        </w:r>
      </w:hyperlink>
      <w:r>
        <w:rPr>
          <w:rFonts w:ascii="arial" w:eastAsia="arial" w:hAnsi="arial" w:cs="arial"/>
          <w:color w:val="000000"/>
          <w:sz w:val="20"/>
          <w:lang w:val="en-US" w:eastAsia="en-US" w:bidi="ar-SA"/>
        </w:rPr>
        <w:t>, at para. 39, Hinkson J. awarded double costs beginning a reasonable time after the plaintiff could consider the offer to settle, which he found to have been seven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Bailey</w:t>
      </w:r>
      <w:r>
        <w:rPr>
          <w:rFonts w:ascii="arial" w:eastAsia="arial" w:hAnsi="arial" w:cs="arial"/>
          <w:color w:val="000000"/>
          <w:sz w:val="20"/>
          <w:lang w:val="en-US" w:eastAsia="en-US" w:bidi="ar-SA"/>
        </w:rPr>
        <w:t xml:space="preserve"> was followed in </w:t>
      </w:r>
      <w:r>
        <w:rPr>
          <w:rFonts w:ascii="arial" w:eastAsia="arial" w:hAnsi="arial" w:cs="arial"/>
          <w:i/>
          <w:color w:val="000000"/>
          <w:sz w:val="20"/>
          <w:lang w:val="en-US" w:eastAsia="en-US" w:bidi="ar-SA"/>
        </w:rPr>
        <w:t>Arnold v. Cartwright</w:t>
      </w:r>
      <w:r>
        <w:rPr>
          <w:rFonts w:ascii="arial" w:eastAsia="arial" w:hAnsi="arial" w:cs="arial"/>
          <w:color w:val="000000"/>
          <w:sz w:val="20"/>
          <w:lang w:val="en-US" w:eastAsia="en-US" w:bidi="ar-SA"/>
        </w:rPr>
        <w:t xml:space="preserve">, </w:t>
      </w:r>
      <w:hyperlink r:id="rId178" w:history="1">
        <w:r>
          <w:rPr>
            <w:rFonts w:ascii="arial" w:eastAsia="arial" w:hAnsi="arial" w:cs="arial"/>
            <w:i/>
            <w:color w:val="0077CC"/>
            <w:sz w:val="20"/>
            <w:u w:val="single"/>
            <w:shd w:val="clear" w:color="auto" w:fill="FFFFFF"/>
            <w:lang w:val="en-US" w:eastAsia="en-US" w:bidi="ar-SA"/>
          </w:rPr>
          <w:t>2008 BCSC 1575</w:t>
        </w:r>
      </w:hyperlink>
      <w:r>
        <w:rPr>
          <w:rFonts w:ascii="arial" w:eastAsia="arial" w:hAnsi="arial" w:cs="arial"/>
          <w:color w:val="000000"/>
          <w:sz w:val="20"/>
          <w:lang w:val="en-US" w:eastAsia="en-US" w:bidi="ar-SA"/>
        </w:rPr>
        <w:t xml:space="preserve">, </w:t>
      </w:r>
      <w:hyperlink r:id="rId178" w:history="1">
        <w:r>
          <w:rPr>
            <w:rFonts w:ascii="arial" w:eastAsia="arial" w:hAnsi="arial" w:cs="arial"/>
            <w:i/>
            <w:color w:val="0077CC"/>
            <w:sz w:val="20"/>
            <w:u w:val="single"/>
            <w:shd w:val="clear" w:color="auto" w:fill="FFFFFF"/>
            <w:lang w:val="en-US" w:eastAsia="en-US" w:bidi="ar-SA"/>
          </w:rPr>
          <w:t>86 B.C.L.R. (4th) 99</w:t>
        </w:r>
      </w:hyperlink>
      <w:r>
        <w:rPr>
          <w:rFonts w:ascii="arial" w:eastAsia="arial" w:hAnsi="arial" w:cs="arial"/>
          <w:color w:val="000000"/>
          <w:sz w:val="20"/>
          <w:lang w:val="en-US" w:eastAsia="en-US" w:bidi="ar-SA"/>
        </w:rPr>
        <w:t>, in which Butler J. found that the offer to settle was one that ought reasonably to have been accepted seven days after the offer was delivered, or seven days after the plaintiff received a medical report that would have made clear that his case was likely to fail, whichever was later: at para.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this case, it was reasonable for MPS to have time to respond to the Offer Under 37B, and make any necessary arrangements with the other defendants. It is reasonable to delay commencement of double costs for seven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Ms. Towson is entitled to ordinary costs from MPS prior to September 12, 2008 (being seven days after the date of delivery of the Offer Under 37B), and to double costs from September 12, 2008 onwards.</w:t>
      </w:r>
      <w:r>
        <w:rPr>
          <w:rFonts w:ascii="arial" w:eastAsia="arial" w:hAnsi="arial" w:cs="arial"/>
          <w:sz w:val="20"/>
          <w:lang w:val="en-US" w:eastAsia="en-US" w:bidi="ar-SA"/>
        </w:rPr>
        <w:cr/>
      </w:r>
    </w:p>
    <w:p>
      <w:pPr>
        <w:numPr>
          <w:numId w:val="2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Who should pay Mr. Bergman's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Bergman argued that, because the action against him was dismissed, he is entitled to ordinary costs. He takes no position regarding who should pay his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Ms. Towson argued that MPS and Cst. Pizarro should be ordered to pay any costs awarded to Mr. Bergman against her. That is known as a "Sanderson"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MPS argued that Ms. Towson is liable for Mr. Bergman's costs, but that if MPS is required to pay Mr. Bergman's costs, it should be by way of a Bullock order, rather than a Sanderson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authority for the granting of either a Sanderson order or a Bullock order is found in Rule 57(18):</w:t>
      </w:r>
      <w:r>
        <w:rPr>
          <w:rFonts w:ascii="arial" w:eastAsia="arial" w:hAnsi="arial" w:cs="arial"/>
          <w:sz w:val="20"/>
          <w:lang w:val="en-US" w:eastAsia="en-US" w:bidi="ar-SA"/>
        </w:rPr>
        <w:cr/>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costs of one defendant against a plaintiff ought to be paid by another defendant, the court may order payment to be made by one defendant to the other directly, or may order the plaintiff to pay the costs of the successful defendant and allow the plaintiff to include those costs as a disbursement in the costs payable to the plaintiff by the unsuccessful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 Bullock order entitles the plaintiff to claim the amount of costs the plaintiff pays to the successful defendant as a disbursement in the assessment of costs against an unsuccessful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A Sanderson order is one in which the unsuccessful defendant is ordered to pay costs directly to the successful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Times Square Holdings Ltd. v. Shimizu</w:t>
      </w:r>
      <w:r>
        <w:rPr>
          <w:rFonts w:ascii="arial" w:eastAsia="arial" w:hAnsi="arial" w:cs="arial"/>
          <w:color w:val="000000"/>
          <w:sz w:val="20"/>
          <w:lang w:val="en-US" w:eastAsia="en-US" w:bidi="ar-SA"/>
        </w:rPr>
        <w:t xml:space="preserve">, </w:t>
      </w:r>
      <w:hyperlink r:id="rId204" w:history="1">
        <w:r>
          <w:rPr>
            <w:rFonts w:ascii="arial" w:eastAsia="arial" w:hAnsi="arial" w:cs="arial"/>
            <w:i/>
            <w:color w:val="0077CC"/>
            <w:sz w:val="20"/>
            <w:u w:val="single"/>
            <w:shd w:val="clear" w:color="auto" w:fill="FFFFFF"/>
            <w:lang w:val="en-US" w:eastAsia="en-US" w:bidi="ar-SA"/>
          </w:rPr>
          <w:t>2001 BCCA 667</w:t>
        </w:r>
      </w:hyperlink>
      <w:r>
        <w:rPr>
          <w:rFonts w:ascii="arial" w:eastAsia="arial" w:hAnsi="arial" w:cs="arial"/>
          <w:color w:val="000000"/>
          <w:sz w:val="20"/>
          <w:lang w:val="en-US" w:eastAsia="en-US" w:bidi="ar-SA"/>
        </w:rPr>
        <w:t xml:space="preserve">, </w:t>
      </w:r>
      <w:hyperlink r:id="rId204" w:history="1">
        <w:r>
          <w:rPr>
            <w:rFonts w:ascii="arial" w:eastAsia="arial" w:hAnsi="arial" w:cs="arial"/>
            <w:i/>
            <w:color w:val="0077CC"/>
            <w:sz w:val="20"/>
            <w:u w:val="single"/>
            <w:shd w:val="clear" w:color="auto" w:fill="FFFFFF"/>
            <w:lang w:val="en-US" w:eastAsia="en-US" w:bidi="ar-SA"/>
          </w:rPr>
          <w:t>95 B.C.L.R. (3d) 234</w:t>
        </w:r>
      </w:hyperlink>
      <w:r>
        <w:rPr>
          <w:rFonts w:ascii="arial" w:eastAsia="arial" w:hAnsi="arial" w:cs="arial"/>
          <w:color w:val="000000"/>
          <w:sz w:val="20"/>
          <w:lang w:val="en-US" w:eastAsia="en-US" w:bidi="ar-SA"/>
        </w:rPr>
        <w:t>, the Court of Appeal set out the general rule for exercises of discretion granting Bullock or Sanderson orders: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 The leading authority in this area of costs is </w:t>
      </w:r>
      <w:r>
        <w:rPr>
          <w:rFonts w:ascii="arial" w:eastAsia="arial" w:hAnsi="arial" w:cs="arial"/>
          <w:i/>
          <w:color w:val="000000"/>
          <w:sz w:val="20"/>
          <w:lang w:val="en-US" w:eastAsia="en-US" w:bidi="ar-SA"/>
        </w:rPr>
        <w:t>Robertson v. Wing</w:t>
      </w:r>
      <w:r>
        <w:rPr>
          <w:rFonts w:ascii="arial" w:eastAsia="arial" w:hAnsi="arial" w:cs="arial"/>
          <w:color w:val="000000"/>
          <w:sz w:val="20"/>
          <w:lang w:val="en-US" w:eastAsia="en-US" w:bidi="ar-SA"/>
        </w:rPr>
        <w:t xml:space="preserve"> </w:t>
      </w:r>
      <w:hyperlink r:id="rId205" w:history="1">
        <w:r>
          <w:rPr>
            <w:rFonts w:ascii="arial" w:eastAsia="arial" w:hAnsi="arial" w:cs="arial"/>
            <w:i/>
            <w:color w:val="0077CC"/>
            <w:sz w:val="20"/>
            <w:u w:val="single"/>
            <w:shd w:val="clear" w:color="auto" w:fill="FFFFFF"/>
            <w:lang w:val="en-US" w:eastAsia="en-US" w:bidi="ar-SA"/>
          </w:rPr>
          <w:t>(1980), 26 B.C.L.R. 225</w:t>
        </w:r>
      </w:hyperlink>
      <w:r>
        <w:rPr>
          <w:rFonts w:ascii="arial" w:eastAsia="arial" w:hAnsi="arial" w:cs="arial"/>
          <w:color w:val="000000"/>
          <w:sz w:val="20"/>
          <w:lang w:val="en-US" w:eastAsia="en-US" w:bidi="ar-SA"/>
        </w:rPr>
        <w:t xml:space="preserve"> (C.A.). There, Mr. Justice Lambert, in the judgment most often quoted in later cases, decided that the only general rule applying to Sanderson and Bullock orders is that for either of them to be considered, a threshold test must first be met: it must have been reasonable for the plaintiff to have joined the successful defendant in the action. If the plaintiff can meet this threshold, it is left to the judge to exercise his or her discretion in deciding what distribution of costs would be just. This discretion may be exercised without being trammelled by a set of legal principles or burdened by precedent: see pp. 227-8.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Grassi v. WIC Radio Ltd.,</w:t>
      </w:r>
      <w:r>
        <w:rPr>
          <w:rFonts w:ascii="arial" w:eastAsia="arial" w:hAnsi="arial" w:cs="arial"/>
          <w:color w:val="000000"/>
          <w:sz w:val="20"/>
          <w:lang w:val="en-US" w:eastAsia="en-US" w:bidi="ar-SA"/>
        </w:rPr>
        <w:t xml:space="preserve"> </w:t>
      </w:r>
      <w:hyperlink r:id="rId17" w:history="1">
        <w:r>
          <w:rPr>
            <w:rFonts w:ascii="arial" w:eastAsia="arial" w:hAnsi="arial" w:cs="arial"/>
            <w:i/>
            <w:color w:val="0077CC"/>
            <w:sz w:val="20"/>
            <w:u w:val="single"/>
            <w:shd w:val="clear" w:color="auto" w:fill="FFFFFF"/>
            <w:lang w:val="en-US" w:eastAsia="en-US" w:bidi="ar-SA"/>
          </w:rPr>
          <w:t>2001 BCCA 376</w:t>
        </w:r>
      </w:hyperlink>
      <w:r>
        <w:rPr>
          <w:rFonts w:ascii="arial" w:eastAsia="arial" w:hAnsi="arial" w:cs="arial"/>
          <w:color w:val="000000"/>
          <w:sz w:val="20"/>
          <w:lang w:val="en-US" w:eastAsia="en-US" w:bidi="ar-SA"/>
        </w:rPr>
        <w:t xml:space="preserve">, </w:t>
      </w:r>
      <w:hyperlink r:id="rId17" w:history="1">
        <w:r>
          <w:rPr>
            <w:rFonts w:ascii="arial" w:eastAsia="arial" w:hAnsi="arial" w:cs="arial"/>
            <w:i/>
            <w:color w:val="0077CC"/>
            <w:sz w:val="20"/>
            <w:u w:val="single"/>
            <w:shd w:val="clear" w:color="auto" w:fill="FFFFFF"/>
            <w:lang w:val="en-US" w:eastAsia="en-US" w:bidi="ar-SA"/>
          </w:rPr>
          <w:t>89 B.C.L.R. (3d) 198</w:t>
        </w:r>
      </w:hyperlink>
      <w:r>
        <w:rPr>
          <w:rFonts w:ascii="arial" w:eastAsia="arial" w:hAnsi="arial" w:cs="arial"/>
          <w:color w:val="000000"/>
          <w:sz w:val="20"/>
          <w:lang w:val="en-US" w:eastAsia="en-US" w:bidi="ar-SA"/>
        </w:rPr>
        <w:t>, after reviewing the historical development of both Sanderson and Bullock orders, Southin J.A. stated that "reasonableness" is not measured from the perspective of counsel for the plaintiff; rather, "[t]here must be something which the unsuccessful defendant did, such as asserting the other defendant was the culprit in the case, to warrant his being made to reimburse the plaintiff for the successful defendant's costs": at para. 33. She noted further at para. 34 that such orders: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are not restricted to cases where the unsuccessful defendant in the course of the litigation has blamed the successful defendant but may extend to acts of the unsuccessful defendant which caused the successful defendant to be brought into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deciding whether to make a Sanderson as opposed to a Bullock order, the question for the court essentially concerns apportionment of risk. As between the plaintiff and the successful defendant, who should bear the risk that the unsuccessful defendant will be unable to pay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Imperial Salmon House Ltd. v. Krdzalic</w:t>
      </w:r>
      <w:r>
        <w:rPr>
          <w:rFonts w:ascii="arial" w:eastAsia="arial" w:hAnsi="arial" w:cs="arial"/>
          <w:color w:val="000000"/>
          <w:sz w:val="20"/>
          <w:lang w:val="en-US" w:eastAsia="en-US" w:bidi="ar-SA"/>
        </w:rPr>
        <w:t xml:space="preserve"> </w:t>
      </w:r>
      <w:hyperlink r:id="rId206" w:history="1">
        <w:r>
          <w:rPr>
            <w:rFonts w:ascii="arial" w:eastAsia="arial" w:hAnsi="arial" w:cs="arial"/>
            <w:i/>
            <w:color w:val="0077CC"/>
            <w:sz w:val="20"/>
            <w:u w:val="single"/>
            <w:shd w:val="clear" w:color="auto" w:fill="FFFFFF"/>
            <w:lang w:val="en-US" w:eastAsia="en-US" w:bidi="ar-SA"/>
          </w:rPr>
          <w:t>(1983), 48 B.C.L.R. 256</w:t>
        </w:r>
      </w:hyperlink>
      <w:r>
        <w:rPr>
          <w:rFonts w:ascii="arial" w:eastAsia="arial" w:hAnsi="arial" w:cs="arial"/>
          <w:color w:val="000000"/>
          <w:sz w:val="20"/>
          <w:lang w:val="en-US" w:eastAsia="en-US" w:bidi="ar-SA"/>
        </w:rPr>
        <w:t>, 37 C.P.C. 152 (S.C.), McLachlin J. (as she then was)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effect of a Sanderson order is that the court nominates the unsuccessful defendant as the only person to whom the successful defendant is entitled to look for payment of its costs ... In the absence of special circumstances, such as where the unsuccessful defendant is legally related to the successful defendant, I would decline to make such an order. The plaintiff, as the party which initiated proceedings, must bear the primary risk of meeting the costs of parties against whom it is eventually unsuccessful.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Madam Justice McLachlin went on to find that a Bullock, rather than a Sanderson, order was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It is possible for an order to be made which entitles the plaintiff to recover only some of the costs for which the plaintiff is liable to the successful defendant. For instance, the plaintiff may recover costs up to the point where he or she ought to have recognized that the case against the successful defendant could not succeed: see </w:t>
      </w:r>
      <w:r>
        <w:rPr>
          <w:rFonts w:ascii="arial" w:eastAsia="arial" w:hAnsi="arial" w:cs="arial"/>
          <w:i/>
          <w:color w:val="000000"/>
          <w:sz w:val="20"/>
          <w:lang w:val="en-US" w:eastAsia="en-US" w:bidi="ar-SA"/>
        </w:rPr>
        <w:t>Smith v. Horizon Aero Sports Ltd</w:t>
      </w:r>
      <w:r>
        <w:rPr>
          <w:rFonts w:ascii="arial" w:eastAsia="arial" w:hAnsi="arial" w:cs="arial"/>
          <w:color w:val="000000"/>
          <w:sz w:val="20"/>
          <w:lang w:val="en-US" w:eastAsia="en-US" w:bidi="ar-SA"/>
        </w:rPr>
        <w:t xml:space="preserve">. </w:t>
      </w:r>
      <w:hyperlink r:id="rId207" w:history="1">
        <w:r>
          <w:rPr>
            <w:rFonts w:ascii="arial" w:eastAsia="arial" w:hAnsi="arial" w:cs="arial"/>
            <w:i/>
            <w:color w:val="0077CC"/>
            <w:sz w:val="20"/>
            <w:u w:val="single"/>
            <w:shd w:val="clear" w:color="auto" w:fill="FFFFFF"/>
            <w:lang w:val="en-US" w:eastAsia="en-US" w:bidi="ar-SA"/>
          </w:rPr>
          <w:t>(1982), 36 B.C.L.R. 222</w:t>
        </w:r>
      </w:hyperlink>
      <w:r>
        <w:rPr>
          <w:rFonts w:ascii="arial" w:eastAsia="arial" w:hAnsi="arial" w:cs="arial"/>
          <w:color w:val="000000"/>
          <w:sz w:val="20"/>
          <w:lang w:val="en-US" w:eastAsia="en-US" w:bidi="ar-SA"/>
        </w:rPr>
        <w:t>, 27 C.P.C. 189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 Bergman, as a successful defendant, is entitled to his costs from Ms. Towson. The issue is whether it was reasonable for Ms. Towson to sue Mr. Bergman. If so, she may be entitled to a Bullock or Sanderson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Ms. Towson argued that it was reasonable for her to sue Mr. Bergman, because MPS and Cst. Pizarro denied liability until close to the end of trial, when they accepted only partial liability. Ms. Towson argued that MPS's maintenance of the position that Mr. Bergman was partly liable left her with no choice but to sue Mr. Bergman.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Ms. Towson was not obliged to sue Mr. Bergman to ensure that her case was effectively adjudicated upon. MPS did not allege that Ms. Towson was contributorily negligent. Had they been concurrent tortfeasors, Mr. Bergman and MPS would have been jointly and severally liable to Ms. Towson for 100% of the damages: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hyperlink r:id="rId208" w:history="1">
        <w:r>
          <w:rPr>
            <w:rFonts w:ascii="arial" w:eastAsia="arial" w:hAnsi="arial" w:cs="arial"/>
            <w:i/>
            <w:color w:val="0077CC"/>
            <w:sz w:val="20"/>
            <w:u w:val="single"/>
            <w:shd w:val="clear" w:color="auto" w:fill="FFFFFF"/>
            <w:lang w:val="en-US" w:eastAsia="en-US" w:bidi="ar-SA"/>
          </w:rPr>
          <w:t>R.S.B.C. 1996, c. 333, s. 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Rule 5(4)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provides that "where relief is claimed against a person who is jointly liable with some other person, the other person need not be made a party to the proceeding ...". Had Ms. Towson not sued Mr. Bergman, MPS would have likely pursued a third party proceeding against him under subrules 22 (1) and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However, MPS, in its statement of defence, pleaded that the accident was caused solely or partially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Bergman. If Ms. Towson had chosen not to sue Mr. Bergman, and later she was alleged to be contributorily negligent, she would have risked only partial recovery of her claim from other tortfeasors. Although by the conclusion of trial it accepted 80% of the responsibility for the accident, MPS's assertion that Mr. Bergman was liable is sufficient to constitute "some connection between the conduct of the unsuccessful defendant and the maintenance of a separate action against the successful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Ms. Towson is therefore entitled to a Bullock or a Sanderson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Ms. Towson will likely be able to enforce her judgment against MPS. It is therefore not likely of any practical concern whether she obtains a Bullock or Sanderson order. There are no special circumstances here making a Sanderson order more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Ms. Towson is entitled to a Bullock order; MPS must pay costs payable by Ms. Towson to Mr. Bergman as a disbursement in the assessment of her costs against MPS.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Is Ms. Towson entitled to costs from Cst. Pizarro?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Ms. Towson argued that she is entitled to costs against Cst. Pizarro, who was one of the successful defendants. Cst. Pizarro argued that Ms. Towson is not entitled to costs against him because her claim against him was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Ms. Towson established that Cst. Pizarro was negligent. However, that is insufficient to obtain an award against him. Her claim was prohibited by s. 21(2) of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which is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464"/>
        <w:gridCol w:w="89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21 ...</w:t>
            </w:r>
          </w:p>
        </w:tc>
        <w:tc>
          <w:tcPr>
            <w:tcW w:w="880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3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No action for damages lies against a police officer or any other person appointed under this Act for anything said or done or omitted to be said or done by him or her in the performance or intended performance of his or her duty or in the exercise of his or her power or for any alleged neglect or default in the performance or intended performance of his or her duty or exercise of his or her power.</w:t>
      </w:r>
    </w:p>
    <w:p>
      <w:pPr>
        <w:numPr>
          <w:numId w:val="3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 (2) does not provide a defence if</w:t>
      </w:r>
    </w:p>
    <w:p>
      <w:pPr>
        <w:numPr>
          <w:numId w:val="3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police officer or other person appointed under this Act has, in relation to the conduct that is the subject matter of action, been guilty of dishonesty,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malicious or wilful misconduct, or</w:t>
      </w:r>
    </w:p>
    <w:p>
      <w:pPr>
        <w:numPr>
          <w:numId w:val="3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cause of action is libel or slander.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Ms. Towson did not allege at trial that Cst. Pizarro had been guilty of dishonesty,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malicious or wilful misconduct. The evidence did not support a finding that Cst. Pizarro had acted in a manner that would render him personally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There is no reason to depart from the ordinary rule that costs follow the event. Ms. Towson's claim against Cst. Pizarro was dismissed, and he therefore should not be liable for Ms. Towson's costs.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Is Cst. Pizarro entitled to costs from Ms. Towson, and if so, what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MPS argued that, because the court dismissed the action against Cst. Pizarro, Ms. Towson is liable for his costs in accordance with the general rule that costs follow the event. MPS argued that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s. 21(2), precludes actions for damages against police officers acting in the course of their duties, and it was not necessary for Ms. Towson to have named Cst. Pizarro as a defendant in the proceedings to succeed in her action for damages against MPS.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Ms. Towson argued that it would be absurd if a defendant who was found negligent at trial was not liable for costs. Ms. Towson argued that s. 21 of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xml:space="preserve"> does not preclude findings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a police officer, but merely makes MPS vicariously liable for them. Ms. Towson argued that she was entitled to use all appropriate means to prove her case, which included joining Cst. Pizarro as a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Ms. Towson argued that MPS should pay the costs of Cst. Pizarro by virtue of s. 20(3) of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xml:space="preserve">. In fact, the appropriate provision appears to be s. 11 of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because s. 20(3) does not include provincial constables, which RCMP officers are deemed to be by operation of s. 14. Section 11(1) and (2) are as follows: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 (1) The minister, on behalf of the government, is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jointly and severally liable for torts committed by</w:t>
      </w:r>
      <w:r>
        <w:rPr>
          <w:rFonts w:ascii="arial" w:eastAsia="arial" w:hAnsi="arial" w:cs="arial"/>
          <w:sz w:val="20"/>
          <w:lang w:val="en-US" w:eastAsia="en-US" w:bidi="ar-SA"/>
        </w:rPr>
        <w:cr/>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provincial constables, auxiliary constables, special provincial constables and enforcement officers appointed on behalf of a ministry, if the tort is committed in the performance of their duties, and</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municipal constables and special municipal constables in the performance of their duties when acting in other than the municipality where they normally perform their duties.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(2) Even though a person referred to in subsection (1)(a) or (b) is not found liable for a tort allegedly committed by the person in the performance of his or her duties, the minister may pay an amount the minister considers necessary to</w:t>
      </w:r>
    </w:p>
    <w:p>
      <w:pPr>
        <w:numPr>
          <w:numId w:val="3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settle a claim against the person for a tort allegedly committed by the person in the performance of his or her duties, or</w:t>
      </w:r>
    </w:p>
    <w:p>
      <w:pPr>
        <w:numPr>
          <w:numId w:val="3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reimburse the person for reasonable costs incurred by the person in defending a claim against the person for a tort allegedly committed in the performance of his or her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Section 11 grants discretion to the minister to reimburse Cst. Pizarro for his costs. It does not, however, impose any requirement on the minister to reimburse Cst. Pizarro's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Ms. Towson is not entitled to any benefit from the minister's exercise of discretion to reimburse Cst. Pizarro's costs. Presumably, if Cst. Pizarro received any such reimbursement, he would also provide the minister with the amount of any costs recovered from Ms. Towson. However, that is a matter between Cst. Pizarro and the minister.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Ms. Towson was entitled to examine a representative of MPS for discovery. She could have selected Cst. Pizarro, and although the court could have ordered that someone else be examined as a representative of MPS, it is likely that she would have been permitted to examine Cst. Pizarro.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As discussed above, although Cst. Pizarro was found negligent, this finding does not of itself attract liability for costs. Ms. Towson's claim against Cst. Pizarro was dismissed. There is no reason to depart from the usual rule that costs follow the event. Cst. Pizarro is entitled to his costs against Ms. Towson.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Cst. Pizarro was represented at trial by the same counsel who represented MPS. The evidence relating to Cst. Pizarro's potential personal liability was the same as the evidence regarding MPS's liability. The portion of the trial devoted to the claim against Cst. Pizarro personally was limited to a brief portion of the argument. As a result, Cst. Pizarro is entitled only to costs for all steps leading to trial and one-half day of trial.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Who should pay Ms. Chan and Mr. Ko's costs and how shall they be calculated?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Ms. Chan and Mr. Ko argued that, because the action against them was dismissed, they are entitled to costs. They claim double costs on the basis of their offer to settle. They take no position regarding who should pay their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Ms. Towson agreed that she should be liable for costs to Ms. Chan and Mr. Ko, but argued that there should be a Bullock order entitling her to claim these costs as a disbursement in the award of costs payable to her by MPS. She did not provide any argument on the issue of whether Ms. Chan and Mr. Ko are entitled to double costs.</w:t>
      </w:r>
      <w:r>
        <w:rPr>
          <w:rFonts w:ascii="arial" w:eastAsia="arial" w:hAnsi="arial" w:cs="arial"/>
          <w:sz w:val="20"/>
          <w:lang w:val="en-US" w:eastAsia="en-US" w:bidi="ar-SA"/>
        </w:rPr>
        <w:cr/>
      </w:r>
    </w:p>
    <w:p>
      <w:pPr>
        <w:numPr>
          <w:numId w:val="3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Double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Ms. Chan and Mr. Ko delivered an offer to settle for $10,000 (the "Chan Offer") to Ms. Towson on August 28, 2008. Ms. Towson did not accept it. The Chan Offer contained the statement "The defendants reserve the right to bring this offer to the attention of the court for consideration in relation to costs after the court has rendered judgment on all other issues in this proceeding," and as a result was a valid offer in accordance with Rule 37B. The Chan Offer provided that it would expire at 4:00 p.m. on the last business day prior to trial. The trial commenced September 8, 2008, so the Chan Offer expired on September 5, 2008, being eight days after it was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There was no evidence that the Chan Offer was brought to the attention of MPS, which was a party to a different lawsuit, prior to the commencement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Ms. Chan and Mr. Ko argued that double costs are appropriate for all steps taken in the proceeding after August 28, 2008, the date the offer was made. Counsel advised that all medical evidence had been disclosed by June 27,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Chan Offer was one that ought reasonably to have been accepted. It was made when all of the medical evidence had been disclosed, and Ms. Towson knew the defendants' case. It was clear at the time it was made that the second accident was minor in nature and that the resulting exacerbation, if any, of Ms. Towson's injuries was trivial and transient.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terms of the Chan Offer were more favourable to Ms. Towson than the result at trial, where the action against the defendants was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The British Columbia Supreme Court has divided on the issue of whether insurance should be considered in assessing the relative financial circumstances of the parties. In </w:t>
      </w:r>
      <w:r>
        <w:rPr>
          <w:rFonts w:ascii="arial" w:eastAsia="arial" w:hAnsi="arial" w:cs="arial"/>
          <w:i/>
          <w:color w:val="000000"/>
          <w:sz w:val="20"/>
          <w:lang w:val="en-US" w:eastAsia="en-US" w:bidi="ar-SA"/>
        </w:rPr>
        <w:t>Bailey,</w:t>
      </w:r>
      <w:r>
        <w:rPr>
          <w:rFonts w:ascii="arial" w:eastAsia="arial" w:hAnsi="arial" w:cs="arial"/>
          <w:color w:val="000000"/>
          <w:sz w:val="20"/>
          <w:lang w:val="en-US" w:eastAsia="en-US" w:bidi="ar-SA"/>
        </w:rPr>
        <w:t xml:space="preserve"> Hinkson J. considered that insurance should not be taken into account:</w:t>
      </w:r>
      <w:r>
        <w:rPr>
          <w:rFonts w:ascii="arial" w:eastAsia="arial" w:hAnsi="arial" w:cs="arial"/>
          <w:sz w:val="20"/>
          <w:lang w:val="en-US" w:eastAsia="en-US" w:bidi="ar-SA"/>
        </w:rPr>
        <w:cr/>
      </w:r>
    </w:p>
    <w:p>
      <w:pPr>
        <w:numPr>
          <w:numId w:val="3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I accept that it is likely that most drivers in British Columbia are insured by ICBC, the wording of subrule 37B does not invite consideration of a defendant's insurance coverage. There may be good policy reasons for this. Insurance coverage limits with ICBC are not universal, and will vary from insured to insured. Certain activities may result in a breach of an individual's insurance coverage, or the defence of an action under a reservation of rights by ICBC. A plaintiff will not and likely should not be privy to such matters of insurance coverage between a defendant and ICBC.</w:t>
      </w:r>
    </w:p>
    <w:p>
      <w:pPr>
        <w:numPr>
          <w:numId w:val="3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contest in this case was between the plaintiff and the defendants, and the insurance benefits available to the defendants do not, in my view, fall within the rubric of their financial circumstances, any more than any collateral benefit entitlement that a plaintiff may have would affect that person's financial circumstances for the purpose of determining their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Conversely, Madam Justice Boyd in </w:t>
      </w:r>
      <w:r>
        <w:rPr>
          <w:rFonts w:ascii="arial" w:eastAsia="arial" w:hAnsi="arial" w:cs="arial"/>
          <w:i/>
          <w:color w:val="000000"/>
          <w:sz w:val="20"/>
          <w:lang w:val="en-US" w:eastAsia="en-US" w:bidi="ar-SA"/>
        </w:rPr>
        <w:t>Radke v. Perry</w:t>
      </w:r>
      <w:r>
        <w:rPr>
          <w:rFonts w:ascii="arial" w:eastAsia="arial" w:hAnsi="arial" w:cs="arial"/>
          <w:color w:val="000000"/>
          <w:sz w:val="20"/>
          <w:lang w:val="en-US" w:eastAsia="en-US" w:bidi="ar-SA"/>
        </w:rPr>
        <w:t xml:space="preserve">, </w:t>
      </w:r>
      <w:hyperlink r:id="rId209" w:history="1">
        <w:r>
          <w:rPr>
            <w:rFonts w:ascii="arial" w:eastAsia="arial" w:hAnsi="arial" w:cs="arial"/>
            <w:i/>
            <w:color w:val="0077CC"/>
            <w:sz w:val="20"/>
            <w:u w:val="single"/>
            <w:shd w:val="clear" w:color="auto" w:fill="FFFFFF"/>
            <w:lang w:val="en-US" w:eastAsia="en-US" w:bidi="ar-SA"/>
          </w:rPr>
          <w:t>2008 BCSC 1397</w:t>
        </w:r>
      </w:hyperlink>
      <w:r>
        <w:rPr>
          <w:rFonts w:ascii="arial" w:eastAsia="arial" w:hAnsi="arial" w:cs="arial"/>
          <w:color w:val="000000"/>
          <w:sz w:val="20"/>
          <w:lang w:val="en-US" w:eastAsia="en-US" w:bidi="ar-SA"/>
        </w:rPr>
        <w:t xml:space="preserve">, </w:t>
      </w:r>
      <w:hyperlink r:id="rId209" w:history="1">
        <w:r>
          <w:rPr>
            <w:rFonts w:ascii="arial" w:eastAsia="arial" w:hAnsi="arial" w:cs="arial"/>
            <w:i/>
            <w:color w:val="0077CC"/>
            <w:sz w:val="20"/>
            <w:u w:val="single"/>
            <w:shd w:val="clear" w:color="auto" w:fill="FFFFFF"/>
            <w:lang w:val="en-US" w:eastAsia="en-US" w:bidi="ar-SA"/>
          </w:rPr>
          <w:t>90 B.C.L.R. (4th) 132</w:t>
        </w:r>
      </w:hyperlink>
      <w:r>
        <w:rPr>
          <w:rFonts w:ascii="arial" w:eastAsia="arial" w:hAnsi="arial" w:cs="arial"/>
          <w:color w:val="000000"/>
          <w:sz w:val="20"/>
          <w:lang w:val="en-US" w:eastAsia="en-US" w:bidi="ar-SA"/>
        </w:rPr>
        <w:t>, did consider the fact that the defendants were insured by ICBC, stating, at para. 42: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also clear that there is a substantial disparity in financial circumstances between the parties. The defendants, represented by ICBC, had substantially greater resources to finance a trial than the individual plaintiff. Had the defendants accepted the plaintiff's initial reasonable offer, the plaintiff would not have had to incur the significant costs associated with nearly two weeks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Bailey</w:t>
      </w:r>
      <w:r>
        <w:rPr>
          <w:rFonts w:ascii="arial" w:eastAsia="arial" w:hAnsi="arial" w:cs="arial"/>
          <w:color w:val="000000"/>
          <w:sz w:val="20"/>
          <w:lang w:val="en-US" w:eastAsia="en-US" w:bidi="ar-SA"/>
        </w:rPr>
        <w:t xml:space="preserve"> was released on October 16, 2008, six days before the October 22, 2008 release of </w:t>
      </w:r>
      <w:r>
        <w:rPr>
          <w:rFonts w:ascii="arial" w:eastAsia="arial" w:hAnsi="arial" w:cs="arial"/>
          <w:i/>
          <w:color w:val="000000"/>
          <w:sz w:val="20"/>
          <w:lang w:val="en-US" w:eastAsia="en-US" w:bidi="ar-SA"/>
        </w:rPr>
        <w:t>Radke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Radke</w:t>
      </w:r>
      <w:r>
        <w:rPr>
          <w:rFonts w:ascii="arial" w:eastAsia="arial" w:hAnsi="arial" w:cs="arial"/>
          <w:color w:val="000000"/>
          <w:sz w:val="20"/>
          <w:lang w:val="en-US" w:eastAsia="en-US" w:bidi="ar-SA"/>
        </w:rPr>
        <w:t xml:space="preserve"> does not refer to </w:t>
      </w:r>
      <w:r>
        <w:rPr>
          <w:rFonts w:ascii="arial" w:eastAsia="arial" w:hAnsi="arial" w:cs="arial"/>
          <w:i/>
          <w:color w:val="000000"/>
          <w:sz w:val="20"/>
          <w:lang w:val="en-US" w:eastAsia="en-US" w:bidi="ar-SA"/>
        </w:rPr>
        <w:t>Bailey</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Bailey</w:t>
      </w:r>
      <w:r>
        <w:rPr>
          <w:rFonts w:ascii="arial" w:eastAsia="arial" w:hAnsi="arial" w:cs="arial"/>
          <w:color w:val="000000"/>
          <w:sz w:val="20"/>
          <w:lang w:val="en-US" w:eastAsia="en-US" w:bidi="ar-SA"/>
        </w:rPr>
        <w:t xml:space="preserve"> was likely not brought to the court's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In my view, the reasoning in </w:t>
      </w:r>
      <w:r>
        <w:rPr>
          <w:rFonts w:ascii="arial" w:eastAsia="arial" w:hAnsi="arial" w:cs="arial"/>
          <w:i/>
          <w:color w:val="000000"/>
          <w:sz w:val="20"/>
          <w:lang w:val="en-US" w:eastAsia="en-US" w:bidi="ar-SA"/>
        </w:rPr>
        <w:t>Bailey</w:t>
      </w:r>
      <w:r>
        <w:rPr>
          <w:rFonts w:ascii="arial" w:eastAsia="arial" w:hAnsi="arial" w:cs="arial"/>
          <w:color w:val="000000"/>
          <w:sz w:val="20"/>
          <w:lang w:val="en-US" w:eastAsia="en-US" w:bidi="ar-SA"/>
        </w:rPr>
        <w:t xml:space="preserve"> should be preferred, and the court should consider the "relative financial circumstances of the parties" without considering the insurance benefits available to the defendant. Here, however, there was no evidence concerning the insurance benefits available to Ms. Chan and Mr. Ko.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Ms. Towson, at the time of trial, was unemployed and living with her parents. There is virtually no evidence concerning the financial circumstances of Ms. Chan and Mr. Ko, other than that Ms. Chan sells funeral plots for a living.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Ms. Chan and Mr. Ko are entitled to double costs. Their offer is one that Ms. Towson ought reasonably to have accepted within two business days of its being made. This was ample time for Ms. Towson, an individual, to consider an offer of that magnitude. As a result, Ms. Chan and Mr. Ko are only entitled to double costs commencing on September 1, 2008, the Monday following the making of the offer.</w:t>
      </w:r>
      <w:r>
        <w:rPr>
          <w:rFonts w:ascii="arial" w:eastAsia="arial" w:hAnsi="arial" w:cs="arial"/>
          <w:sz w:val="20"/>
          <w:lang w:val="en-US" w:eastAsia="en-US" w:bidi="ar-SA"/>
        </w:rPr>
        <w:cr/>
      </w:r>
    </w:p>
    <w:p>
      <w:pPr>
        <w:numPr>
          <w:numId w:val="3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Bullock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Ms. Towson seeks a Bullock order to require MPS to pay the costs that she must pay to Ms. Chan and Mr. Ko.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MPS argued that any orders for costs in the Chan action are between the parties in that action and are not recoverable by way of a Bullock order against MPS.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As set out earlier, the authority for granting a Bullock order is Rule 57(18). That Rule, however, refers to one defendant paying the costs of another defendant, rather than a defendant paying the costs of a defendant to another lawsuit.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Ms. Towson relied on </w:t>
      </w:r>
      <w:r>
        <w:rPr>
          <w:rFonts w:ascii="arial" w:eastAsia="arial" w:hAnsi="arial" w:cs="arial"/>
          <w:i/>
          <w:color w:val="000000"/>
          <w:sz w:val="20"/>
          <w:lang w:val="en-US" w:eastAsia="en-US" w:bidi="ar-SA"/>
        </w:rPr>
        <w:t>Gill</w:t>
      </w:r>
      <w:r>
        <w:rPr>
          <w:rFonts w:ascii="arial" w:eastAsia="arial" w:hAnsi="arial" w:cs="arial"/>
          <w:color w:val="000000"/>
          <w:sz w:val="20"/>
          <w:lang w:val="en-US" w:eastAsia="en-US" w:bidi="ar-SA"/>
        </w:rPr>
        <w:t xml:space="preserve"> and the court's general discretion regarding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Gill v. Lindstrom</w:t>
      </w:r>
      <w:r>
        <w:rPr>
          <w:rFonts w:ascii="arial" w:eastAsia="arial" w:hAnsi="arial" w:cs="arial"/>
          <w:color w:val="000000"/>
          <w:sz w:val="20"/>
          <w:lang w:val="en-US" w:eastAsia="en-US" w:bidi="ar-SA"/>
        </w:rPr>
        <w:t xml:space="preserve">, </w:t>
      </w:r>
      <w:hyperlink r:id="rId210" w:history="1">
        <w:r>
          <w:rPr>
            <w:rFonts w:ascii="arial" w:eastAsia="arial" w:hAnsi="arial" w:cs="arial"/>
            <w:i/>
            <w:color w:val="0077CC"/>
            <w:sz w:val="20"/>
            <w:u w:val="single"/>
            <w:shd w:val="clear" w:color="auto" w:fill="FFFFFF"/>
            <w:lang w:val="en-US" w:eastAsia="en-US" w:bidi="ar-SA"/>
          </w:rPr>
          <w:t>2004 BCCA 632</w:t>
        </w:r>
      </w:hyperlink>
      <w:r>
        <w:rPr>
          <w:rFonts w:ascii="arial" w:eastAsia="arial" w:hAnsi="arial" w:cs="arial"/>
          <w:color w:val="000000"/>
          <w:sz w:val="20"/>
          <w:lang w:val="en-US" w:eastAsia="en-US" w:bidi="ar-SA"/>
        </w:rPr>
        <w:t xml:space="preserve">, </w:t>
      </w:r>
      <w:hyperlink r:id="rId210" w:history="1">
        <w:r>
          <w:rPr>
            <w:rFonts w:ascii="arial" w:eastAsia="arial" w:hAnsi="arial" w:cs="arial"/>
            <w:i/>
            <w:color w:val="0077CC"/>
            <w:sz w:val="20"/>
            <w:u w:val="single"/>
            <w:shd w:val="clear" w:color="auto" w:fill="FFFFFF"/>
            <w:lang w:val="en-US" w:eastAsia="en-US" w:bidi="ar-SA"/>
          </w:rPr>
          <w:t>33 B.C.L.R. (4th) 325</w:t>
        </w:r>
      </w:hyperlink>
      <w:r>
        <w:rPr>
          <w:rFonts w:ascii="arial" w:eastAsia="arial" w:hAnsi="arial" w:cs="arial"/>
          <w:color w:val="000000"/>
          <w:sz w:val="20"/>
          <w:lang w:val="en-US" w:eastAsia="en-US" w:bidi="ar-SA"/>
        </w:rPr>
        <w:t>, the plaintiff had brought two separate actions for damages for injuries arising from two motor vehicle accidents. The defendants in both actions admitted liability before the trial commenced. The plaintiff argued that the second accident aggravated her injuries arising from the first accident. The same counsel represented both defendants. On the third day of trial, the trial judge made an order consolidating the actions. The jury found that the plaintiff was injured in the first accident but not the second. The trial judge ordered that the plaintiff recover, from the defendant in the first action, the costs she was ordered to pay to the defendant in the second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Court of Appeal set aside the Bullock order and ordered that the plaintiff pay the costs of the defendant in the second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On appeal, Low J.A., for the court, wrote in para. 14, that "whether a Bullock order can be made under the applicable rule to permit a plaintiff to recover from a defendant costs the plaintiff must pay in a separate action is an issue to be left for another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Further, he wrote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I think the trial judge erred by overlooking the fact that the respondent asserted in her pleadings and at trial that she was injured in the second accident. Her pleadings claimed aggravation of injury sustained in the first accident as well as additional injury. She sought judgment against the defendant in the second action because she alleged that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her injury. It cannot be said that there was anything done by the appellant [the first defendant] to bring this about, either by causing the first accident for which he admitted liability or in the conduct of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In two subsequent decisions of this court, </w:t>
      </w:r>
      <w:r>
        <w:rPr>
          <w:rFonts w:ascii="arial" w:eastAsia="arial" w:hAnsi="arial" w:cs="arial"/>
          <w:i/>
          <w:color w:val="000000"/>
          <w:sz w:val="20"/>
          <w:lang w:val="en-US" w:eastAsia="en-US" w:bidi="ar-SA"/>
        </w:rPr>
        <w:t>Ilyas v. Luu</w:t>
      </w:r>
      <w:r>
        <w:rPr>
          <w:rFonts w:ascii="arial" w:eastAsia="arial" w:hAnsi="arial" w:cs="arial"/>
          <w:color w:val="000000"/>
          <w:sz w:val="20"/>
          <w:lang w:val="en-US" w:eastAsia="en-US" w:bidi="ar-SA"/>
        </w:rPr>
        <w:t xml:space="preserve">, </w:t>
      </w:r>
      <w:hyperlink r:id="rId211" w:history="1">
        <w:r>
          <w:rPr>
            <w:rFonts w:ascii="arial" w:eastAsia="arial" w:hAnsi="arial" w:cs="arial"/>
            <w:i/>
            <w:color w:val="0077CC"/>
            <w:sz w:val="20"/>
            <w:u w:val="single"/>
            <w:shd w:val="clear" w:color="auto" w:fill="FFFFFF"/>
            <w:lang w:val="en-US" w:eastAsia="en-US" w:bidi="ar-SA"/>
          </w:rPr>
          <w:t>2007 BCSC 1926</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Bratanich v. Daisley</w:t>
      </w:r>
      <w:r>
        <w:rPr>
          <w:rFonts w:ascii="arial" w:eastAsia="arial" w:hAnsi="arial" w:cs="arial"/>
          <w:color w:val="000000"/>
          <w:sz w:val="20"/>
          <w:lang w:val="en-US" w:eastAsia="en-US" w:bidi="ar-SA"/>
        </w:rPr>
        <w:t xml:space="preserve">, </w:t>
      </w:r>
      <w:hyperlink r:id="rId212" w:history="1">
        <w:r>
          <w:rPr>
            <w:rFonts w:ascii="arial" w:eastAsia="arial" w:hAnsi="arial" w:cs="arial"/>
            <w:i/>
            <w:color w:val="0077CC"/>
            <w:sz w:val="20"/>
            <w:u w:val="single"/>
            <w:shd w:val="clear" w:color="auto" w:fill="FFFFFF"/>
            <w:lang w:val="en-US" w:eastAsia="en-US" w:bidi="ar-SA"/>
          </w:rPr>
          <w:t>2006 BCSC 843</w:t>
        </w:r>
      </w:hyperlink>
      <w:r>
        <w:rPr>
          <w:rFonts w:ascii="arial" w:eastAsia="arial" w:hAnsi="arial" w:cs="arial"/>
          <w:color w:val="000000"/>
          <w:sz w:val="20"/>
          <w:lang w:val="en-US" w:eastAsia="en-US" w:bidi="ar-SA"/>
        </w:rPr>
        <w:t>, the court declined to make a Bullock order requiring an unsuccessful defendant to pay the costs of a successful defendant who was involved in a different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Ms. Towson argued that, unlike the plaintiff in </w:t>
      </w:r>
      <w:r>
        <w:rPr>
          <w:rFonts w:ascii="arial" w:eastAsia="arial" w:hAnsi="arial" w:cs="arial"/>
          <w:i/>
          <w:color w:val="000000"/>
          <w:sz w:val="20"/>
          <w:lang w:val="en-US" w:eastAsia="en-US" w:bidi="ar-SA"/>
        </w:rPr>
        <w:t>Gill</w:t>
      </w:r>
      <w:r>
        <w:rPr>
          <w:rFonts w:ascii="arial" w:eastAsia="arial" w:hAnsi="arial" w:cs="arial"/>
          <w:color w:val="000000"/>
          <w:sz w:val="20"/>
          <w:lang w:val="en-US" w:eastAsia="en-US" w:bidi="ar-SA"/>
        </w:rPr>
        <w:t xml:space="preserve">, she argued at trial that all her injuries were caused by the first accident or, in the alternative, that her condition was aggravated to a small degree by the second accident, but that the first accident made her more susceptible to aggravating circumstances. In </w:t>
      </w:r>
      <w:r>
        <w:rPr>
          <w:rFonts w:ascii="arial" w:eastAsia="arial" w:hAnsi="arial" w:cs="arial"/>
          <w:i/>
          <w:color w:val="000000"/>
          <w:sz w:val="20"/>
          <w:lang w:val="en-US" w:eastAsia="en-US" w:bidi="ar-SA"/>
        </w:rPr>
        <w:t>Gill</w:t>
      </w:r>
      <w:r>
        <w:rPr>
          <w:rFonts w:ascii="arial" w:eastAsia="arial" w:hAnsi="arial" w:cs="arial"/>
          <w:color w:val="000000"/>
          <w:sz w:val="20"/>
          <w:lang w:val="en-US" w:eastAsia="en-US" w:bidi="ar-SA"/>
        </w:rPr>
        <w:t>, unlike here, the defendants argued that the plaintiff had not been injured in either accident, but had been injured either before or after both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I am unable to distinguish Ms. Towson's claim for a Bullock order for the costs payable to Ms. Chan and Mr. Ko from </w:t>
      </w:r>
      <w:r>
        <w:rPr>
          <w:rFonts w:ascii="arial" w:eastAsia="arial" w:hAnsi="arial" w:cs="arial"/>
          <w:i/>
          <w:color w:val="000000"/>
          <w:sz w:val="20"/>
          <w:lang w:val="en-US" w:eastAsia="en-US" w:bidi="ar-SA"/>
        </w:rPr>
        <w:t>Gill</w:t>
      </w:r>
      <w:r>
        <w:rPr>
          <w:rFonts w:ascii="arial" w:eastAsia="arial" w:hAnsi="arial" w:cs="arial"/>
          <w:color w:val="000000"/>
          <w:sz w:val="20"/>
          <w:lang w:val="en-US" w:eastAsia="en-US" w:bidi="ar-SA"/>
        </w:rPr>
        <w:t>. In both cases, there were successive accidents, and the defence sought to minimize damages arising from the accident it was involved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Ms. Towson's claim for a Bullock order regarding the costs she must pay to Ms. Chan and Mr. Ko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Ms. Chan and Mr. Ko were represented at trial by the same counsel who represented Mr. Bergman. The evidence and argument relating to the claims against Ms. Chan and Mr. Ko was brief.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As a result, Ms. Chan and Mr. Ko are entitled to costs from Ms. Towson for all steps leading to trial and for one-half day at trial, with the costs for the period commencing September 1, 2008 to be assessed as double costs.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 Who should pay Ms. Towson's costs of bringing the action against Ms. Chan and Mr. Ko?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Ms. Towson argued that MPS should be ordered to pay costs of bringing and maintaining her action against Ms. Chan. Ms. Towson argued that she was forced to maintain the Chan action because MPS took the position that she had sustained injury in the second accident which constituted an intervening cause. She argued that Rule 57 gives the court discretion to award her costs, although she did not provide any authority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Under normal circumstances, Ms. Towson, as unsuccessful plaintiff, must bear her own costs, as well as pay the costs of the successful defendants. Ms. Towson was sufficiently persuaded that there was merit to her claim that she brought the Chan action. In all the circumstances, MPS is not required to pay Ms. Towson's costs of bringing her action against Ms. Chan.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In summary:</w:t>
      </w:r>
      <w:r>
        <w:rPr>
          <w:rFonts w:ascii="arial" w:eastAsia="arial" w:hAnsi="arial" w:cs="arial"/>
          <w:sz w:val="20"/>
          <w:lang w:val="en-US" w:eastAsia="en-US" w:bidi="ar-SA"/>
        </w:rPr>
        <w:cr/>
      </w:r>
    </w:p>
    <w:p>
      <w:pPr>
        <w:numPr>
          <w:numId w:val="3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Ms. Towson is entitled to $2,000 for tax gross-up;</w:t>
      </w:r>
    </w:p>
    <w:p>
      <w:pPr>
        <w:numPr>
          <w:numId w:val="3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application of MPS for an order for periodic payments is dismissed;</w:t>
      </w:r>
    </w:p>
    <w:p>
      <w:pPr>
        <w:numPr>
          <w:numId w:val="3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deductions required to determine Ms. Towson's net past income loss shall be made on the basis set out in these reasons. If the parties are unable to agree on the calculations, the amount is to be determined by the registrar;</w:t>
      </w:r>
    </w:p>
    <w:p>
      <w:pPr>
        <w:numPr>
          <w:numId w:val="3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Ms. Towson is entitled to ordinary costs from MPS prior to September 12, 2008 and to double costs on and after September 12, 2008;</w:t>
      </w:r>
    </w:p>
    <w:p>
      <w:pPr>
        <w:numPr>
          <w:numId w:val="3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MPS must pay the costs that Ms. Towson has to pay Mr. Bergman as a disbursement in the assessment of her costs against MPS;</w:t>
      </w:r>
    </w:p>
    <w:p>
      <w:pPr>
        <w:numPr>
          <w:numId w:val="3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Ms. Towson's claim for costs against Cst. Pizarro is dismissed;</w:t>
      </w:r>
    </w:p>
    <w:p>
      <w:pPr>
        <w:numPr>
          <w:numId w:val="3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Cst. Pizarro is entitled to his costs against Ms. Towson for all steps leading to trial and one-half day of trial;</w:t>
      </w:r>
    </w:p>
    <w:p>
      <w:pPr>
        <w:numPr>
          <w:numId w:val="3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Ms. Chan and Mr. Ko are entitled to costs from Ms. Towson for all steps leading to trial and for one-half day of trial, with the costs for the period commencing September 1, 2008 to be assessed as double costs; and</w:t>
      </w:r>
    </w:p>
    <w:p>
      <w:pPr>
        <w:numPr>
          <w:numId w:val="3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Ms. Towson's application for an order that MPS pay her costs of bringing the Chan application is dismissed.</w:t>
      </w:r>
    </w:p>
    <w:p>
      <w:pPr>
        <w:numPr>
          <w:numId w:val="3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GRAY J.</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6" style="position:absolute;z-index:2517698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13"/>
          <w:headerReference w:type="default" r:id="rId214"/>
          <w:footerReference w:type="even" r:id="rId215"/>
          <w:footerReference w:type="default" r:id="rId216"/>
          <w:headerReference w:type="first" r:id="rId217"/>
          <w:footerReference w:type="first" r:id="rId21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19" w:history="1">
        <w:r>
          <w:rPr>
            <w:rFonts w:ascii="arial" w:eastAsia="arial" w:hAnsi="arial" w:cs="arial"/>
            <w:b/>
            <w:bCs/>
            <w:i/>
            <w:color w:val="0077CC"/>
            <w:kern w:val="32"/>
            <w:sz w:val="28"/>
            <w:szCs w:val="32"/>
            <w:u w:val="single"/>
            <w:shd w:val="clear" w:color="auto" w:fill="FFFFFF"/>
            <w:lang w:val="en-US" w:eastAsia="en-US" w:bidi="ar-SA"/>
          </w:rPr>
          <w:t>Van v. Howlett, [2014] B.C.J. No. 1954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J.C. Grauer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13-17, 20-21, 23-24,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27-28 and 30-31, 2014; Further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appearance and updated reports tendered,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June 2 and July 8,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25,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M074448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1954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1404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Sallen Hua Van, Plaintiff, and Jordan Paul Howlett, Clayton Farley Howlett,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(146 paras.)</w:t>
      </w:r>
    </w:p>
    <w:p>
      <w:pPr>
        <w:jc w:val="both"/>
        <w:rPr>
          <w:rFonts w:ascii="arial" w:eastAsia="arial" w:hAnsi="arial" w:cs="arial"/>
          <w:sz w:val="20"/>
          <w:lang w:val="en-US" w:eastAsia="en-US" w:bidi="ar-SA"/>
        </w:rPr>
      </w:pPr>
      <w:bookmarkStart w:id="62" w:name="Counsel_9"/>
      <w:bookmarkEnd w:id="6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7" style="position:absolute;z-index:251668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Jeffrey S. Witten, Robert Marcoux.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Grant Ritchey, Tim Kushneryk.</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3" w:name="Judgment_9"/>
      <w:bookmarkEnd w:id="63"/>
      <w:r>
        <w:pict>
          <v:line id="_x0000_s1058" style="position:absolute;z-index:25171968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9" type="#_x0000_t75" style="width:432.06pt;height:468.82pt">
            <v:imagedata r:id="rId220" o:title=""/>
          </v:shape>
        </w:pict>
      </w:r>
      <w:r>
        <w:rPr>
          <w:rFonts w:ascii="arial" w:eastAsia="arial" w:hAnsi="arial" w:cs="arial"/>
          <w:sz w:val="20"/>
          <w:lang w:val="en-US" w:eastAsia="en-US" w:bidi="ar-SA"/>
        </w:rPr>
        <w:t xml:space="preserve">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4" w:name="J.C. GRAUER J."/>
            <w:bookmarkEnd w:id="64"/>
            <w:r>
              <w:rPr>
                <w:rFonts w:ascii="arial" w:eastAsia="arial" w:hAnsi="arial" w:cs="arial"/>
                <w:b/>
                <w:color w:val="000000"/>
                <w:sz w:val="30"/>
                <w:lang w:val="en-US" w:eastAsia="en-US" w:bidi="ar-SA"/>
              </w:rPr>
              <w:t>J.C. GRAUER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Sallen Hua Van, suffered significant injuries in a motor vehicle accident that happened shortly before 5:00 AM on July 18, 2007. Ms. Van was a front seat passenger and was ejected from the vehicle in the violent aftermath of the collision. The most serious of her injuries was, and remains, permanent 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This case concerns the assessment of Ms. Van's damages. All liability issues have been resolved save one: was Ms. Van wearing her seatbelt at the time of the collision, and if not, should her damages be reduced for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her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Sallen Van was born on October 4, 1960, in Saigon (now Ho Chi Minh City), in what was then South Vietnam. She was the eldest of eight children. The family lived just outside of Saigon where their father ran a wholesale/retail grocery business with a store and warehouse.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After the fall of Saigon in 1975, things did not go well for the family. The grocery business was confiscated and Ms. Van's father was imprisoned for a time. It was decided that survival required the family to leave Vietnam on refugee boats. Because of the danger involved in this process, Ms. Van's parents decided to send the children off two at a time to increase the chance that at least some would make it. Ms. Van and her brother William Hua, next eldest after her, were chosen to be the first two to leave.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Van and Mr. Hua left in November 1978 for Hong Kong on a boat holding 2,700 refugees. They then spent a year in a refugee camp in Hong Kong under the auspices of the United Nations, awaiting word on what country might accept them. That country turned out to be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Van and her brother arrived in Canada in 1979. She was 18 and he was 17. For six months, they took government-sponsored ESL classes every weekday morning from 7:00 AM to 11:00 AM, after which Ms. Van worked in a dim sum restaurant, while Mr. Hua worked at a gas station and delivered papers. On weekends they picked strawberries on a farm. Ms. Van used the income from her two jobs to send money to her family members in Vietnam and in refugee camps across southeast Asia.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Chi Cuong "George" Van was born in Saigon on July 28, 1955, and like his wife, left Vietnam as a refugee. He, too, arrived in Canada in 1979, though by a different route. Instead of travelling by boat, he left Vietnam by train into China, spending time at a refugee camp in Guangzhou before being sent to a labour camp. He then left China by boat, ending up in the United Nations refugee camp in Hong Kong. Like Ms. Van and her brother, he was accepted for entry into Canada, and met Ms. Van on the flight from Hong Kong to Vancouver. Once in Canada, they attended the same ESL class. They fell in love. They married on December 4, 1982.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Van had had some experience as a meat cutter in Vietnam, and found a job in that capacity with Leon's Kosher Meats, where he began working in January 1980. Ms. Van joined him there after their marriage. They continued to work closely together at Leon's, and its successor, Aviv Kosher Meats, until that business ran into difficulty in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the meantime, their first son, Eric, was born on April 16, 1985, and their second son, Victor, was born on May 12, 1990. To help meet the growing financial demands on the family, Mr. Van took on a part-time job at a Greek restaurant where he worked Friday and Saturday afternoons and evenings.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1998, with the demise of Aviv Kosher Meats, Mr. and Ms. Van were obliged to look for new employment. They found it at a new kosher deli and butcher shop, Omnitsky's. Mr. Van worked as a butcher in the company's packing plant on Annacis Island, while Ms. Van worked in the company's delicatessen on Cambie Street. Ms. Van remained there until a former supervisor, Ms. Zahra Layegh, offered her employment with the Morrison Group, a food services business that operated at a number of locations.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Van accepted that offer, and began working as a kitchen helper at a cafeteria Ms. Layegh managed that was located in the GVRD building on Kingsway near Boundary Road. Ms. Van was subsequently promoted to the position of cook, which she maintained until 2003. By that time, Ms. Layegh had been moved by the Morrison Group to manage a large cafeteria at the BC Cancer Agency building, and she arranged for Ms. Van to go with her to this new location as a cook.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this position, Ms. Van worked from 5:00 AM to 1:00 PM Monday through Friday. Mr. Van would drive her to work before heading to his job at Annacis Island, which started at 6:00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As her sons became more independent, Ms. Van decided to pursue additional employment. An area of interest was in beauty treatments. She became certified as a nail technician/manicurist and then obtained part-time employment in that field at the Orchid Beauty Centre, beginning in September 2005. It was a job Ms. Van enjoyed very much. Her daily habit was to take the bus to the Orchid Beauty Centre after she finished work at the BC Cancer Agency, in order to work as a manicurist and pedicurist weekday afternoons and Saturdays.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proprietor of the salon, Anna Ly, testified that Ms. Van worked there Monday through Friday from 2:30 PM to 6:30 PM, although sometimes she did not start until 3:30 PM. The Saturday hours were 9:30 AM to 6:30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Van gave evidence of longer hours, but presumably took into account travel time. I accept Ms. Ly's evidence as to the hours worked.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As was the case with Mr. Van's second job at the Greek restaurant, Ms. Van was paid cash for her work at the salon.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With both of them working two jobs, taking only Sundays off, Mr. and Ms. Van felt financially secure. They lived in a condominium apartment they had bought in 1992, which they sold at a profit in May 2007 with a view to moving into larger premises. They were still in the process of searching for an appropriate replacement when the accident intervened.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and Ms. Van rose early on the morning of July 18, 2007, as was their habit. They left their home at about 4:30 AM in their 2001 Infiniti QS4 so that Mr. Van could drive Ms. Van to her work at the BC Cancer Agency before heading to Annacis Island. According to Mr. Van, things proceeded as usual. Ms. Van sat in the passenger seat. He testified that she reclined the seat back somewhat, perhaps by 25 degrees, and slept. He could not say whether or not she was wearing her seatbelt, but, he said, she usually did. The red light that warns if the seatbelt is unfastened was not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couple were travelling westbound on Broadway when they entered the intersection of Broadway and Main Street on a green light. What happened next, I find, based on the evidence of Mr. Van and the plaintiff's accident reconstruction expert, Gerald Sdoutz, P. Eng., was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defendants' vehicle entered the intersection northbound, against the red light, and ran into the driver's side of the Vans' Infiniti just at the level of the left rear wheel. This sent the Infiniti into a counter-clockwise spin, so that the vehicle continued in a westbound direction, but now leading with its right (passenger) side as a result of the impact. As Mr. Sdoutz described it, this caused it to "trip" over its right-side tires, rolling over those wheels and launching into the air before slamming down onto the road flat on its passenger side. The front passenger window was shattered. The vehicle continued to slide westbound on its passenger side, still rotating on a horizontal axis, until it hit the curb and somehow bounced back into an upright position. When it did so, Ms. Van was left behind on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Although it is not recorded where Ms. Van ended up, I accept the opinion evidence that she would have continued sliding along the pavement, decelerating until she came to a stop within four metres of where she left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 number of photographs were taken by the police. According to Mr. Van, nothing was done to the interior of his vehicle between the time of the collision and the time that the photographs were taken. I accept that evidence. The photographs (19, 23 and 24 at Tab 1 of Exhibit 1) show, and I find, that Ms. Van's seatbelt was fastened and that the back of her seat, if it was reclined at all, was reclined only slightly.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THE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expert opinion evidence concerning Ms. Van's injuries is not disputed. In essence, Ms. Van suffered serious injuries to her head and face, including right sided facial fractures and multiple dental injuries. She also sustained fractures of the right fourth and fifth ribs, and bruising to the right lung.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Van was taken by ambulance to Vancouver General Hospital where she required surgical treatment for her facial fractures and dental injuries. She remained in the intensive care unit for a prolonged period, and ultimately was transferred to the Acquired Brain Injury Program at the G.F. Strong Rehabilitation Centre on August 29, 2007. Ms. Van remained an inpatient at G.F. Strong until September 24, 2007, and continued thereafter with outpatient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Dr. Gerald Wittenberg is the oral surgeon who performed surgery on Ms. Van to repair her facial trauma. He reported that, in addition to the fractures to the bones on the right side of her face, Ms. Van suffered the loss of six teeth with four fractured or chipped teeth. Dr. Wittenberg performed additional surgery on December 20, 2010, transplanting bone from Ms. Van's right hip to her upper jaw in preparation for dental implants. He placed the implants in June 2011 and subsequently crowned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Dr. Jason Clement, a radiologist and a specialist in neuroimaging, provided the lead opinion concerning Ms. Van's brain injury, and I do not hesitate to accept his evidence. He noted that MRI investigation disclosed severe diffuse axonal injury ("DAI") including grade 1, 2 and 3 lesions, as well as additional intracranial injuries in the form of subdural and subarachnoid haemorrhage. A grade 3 DAI lesion involves the brainstem and is the most severe grade. These lesions act as markers for diffuse underlying injury throughout the brain resulting in significant chronic cognitive dysfunction and impairment in all cognitive domains. In fact, Dr. Clement explained, this type of injury is more consistent with people in a persistent vegetative state, which Ms. Van is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severe DAI sustained by Ms. Van is also known to trigger progressive cerebral atrophy leading to an increased risk of progressive cognitive decline and premature dementia. In addition, the multiple focal brain injuries have left her with a lifelong increased risk of seizures.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Dr. Clement explained that people do not recover from this sort of injury, and that the treatment focus must be on reducing further decline to the extent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Dr. Roy O'Shaughnessy, a specialist in forensic psychiatry, also testified, and I accept his evidence as well. In his first report, dated November 25, 2009, he noted that Ms. Van was by then two years post-accident and deemed to be at the maximum level of recovery. She was left with considerable deficits. These included significant cognitive impairment with problems in short-term memory, awareness, and tangential thinking (so that in conversation, it is necessary to keep bringing her back to the point where the discussion started).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Importantly, he found that Ms. Van was also left with significant problems in executive functioning due to frontal lobe injury. This area comprises three circuits: (1) concentration and organisation; (2) motivation; and (3) inhibition. All three are affected because of the inability of the neurons to communicate as a result of the severing of axons. The result is problems in organizing and initiating activity, and difficulties with planning and judgment. For instance, Ms. Van is capable of enjoying a lunch out with a friend or family member who arranges it, but she is incapable of initiating or planning such an event, and, due to her lack of judgment and inhibition, may treat a server rudely and act inappropriately. As Dr. O'Shaughnessy explained, Ms. Van's ability to monitor her own functioning is significantly impaired, "like a computer that has been dropped".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This has resulted in a persistent change in personality and functioning including daily difficulties with irritability, outbursts of temper and control of emotions. All of this is complicated by an underlying state of depression that is exceedingly difficult to treat. As Dr. O'Shaughnessy explained, the human brain is the most complex organism in the universe. Given how little we understand it, treating depression in this context is really a polypharmacological crapshoot that requires very careful supervision by a psychiatrist. Consequently, he was of the view that although some improvement in moods might be possible through tweaking pharmacological interventions, he doubted that she would ever achieve remission in her state of depression. Even successful treatment of depression would not solve the problems in cognitive and executive function that result from her frontal lobe impairment.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Reports were submitted from Dr. James Schmidt, a specialist in clinical neuropsychology. He was not required for cross-examination. His conclusions were similar to those of Dr. O'Shaughnessy: Ms. Van is significantly impaired behaviourally, emotionally and cognitively as a result of traumatic brain injury and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Consistent with these opinions was that of Dr. Dean Foti, a specialist in general and behavioural neurology, who also did not testify. Dr. Foti noted severe traumatic brain injury causing serious cognitive deficits with persistent problems in verbal output (including a change in her accent when speaking Cantonese) and executive function, together with significant emotional dysfunction due to the combination of traumatic brain injury with persistent depression. In addition, he reported persistent headaches, persistent diplopia (double vision) and impaired motor control of the right arm and leg, especially involving involuntary movement of the right leg.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All are agreed that Ms. Van is competitively unemployable and that the prognosis is one of deterioration, not improvement.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Dr. David Chan, a registered psychologist, has treated Ms. Van since the accident. His report was entered into evidence without the necessity of his attendance for cross-examination. He opined: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Psychologically, Ms. Van has developed a major depressive disorder of moderate to severe severity and symptoms of anxiety and stress and anger. She also exhibits symptoms of attention/concentration and memory difficulties, chronic pain, sexual dysfunction, sleep disturbances and suicidal thoughts and radiation. Ms. Van is in need of treatment of both pharmacotherapy and psychotherapy for her psychological/psychiatric condition.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my treatment with Ms. Van and information from her medical documents, it is my considered opinion that Ms. Van would probably have not developed the psychological/ psychiatric difficulties if she had not been involved in the motor vehicle accident in question.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to Ms. Van's prognosis, literature indicates that most spontaneous brain injury recovery take[s] place within two years post injury. Given that she is four years post-injury and that her current neuropsychological profile does not indicate improvement over the past years, her cognitive impairment and the effects of the brain injury, in my opinion, are most likely permanent. Furthermore, she has received multidisciplinary rehabilitation treatment, targeting her mood issues and physical difficulties. Despite her active participation in the rehabilitation treatment, her depression, headaches and physical problems have persist[ed]. Due to the chronicity of these issues, her limited responses to various treatments thus far, and the interactive and reinforcing nature of her symptoms, it is my opinion that her emotional status and physical difficulties are unlikely to improve significantly. When a person has multiple interacting impairments such as in Ms. Van's case, treatment of any one of those impairments is far more difficult and less likely to succeed than in the case where one of those difficulties exists in isolation.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accept this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DISCUSSION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considering this aspect of the claim, I take into account the medical evidence reviewed above. In addition, Ms. Van's husband, sister and sons gave extensive evidence about the impact of these injuries on Ms. Van's life. It is clear that injuries Ms. Van suffered in the accident have had an enormous impact not only on her, but also on her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Van's personality has changed completely. Previously an outgoing, cheerful, hard-working and personable woman who took great care with her personal appearance, she has become a mere shell of her former self. She blames her husband for the accident, is often angry, critical and verbally abusive, picks fights with neighbours, cannot make decisions, is careless in her personal hygiene and appearance, and is forgetful and unreliable.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Van has become Ms. Van's primary caregiver and has given up his second job to allow him to undertake many of the family chores and to provide care. Her sons have testified to her lack of impulse control over buying things (one of the few things she enjoys doing), and her unwillingness to throw anything away. As a result, what was a tidy home now resembles a junkyard. She has increased sensitivity to sound, and lacks impulse control. This has led to conflicts with neighbours that have required the family to move on several occasions.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These conflicts, together with Ms. Van's verbal abusiveness towards her husband, combined to create an environment of dysfunction that drove the elder son, Eric, to move from the house. The mother he had known as a caring, loving, happy and polite woman who put everyone in ahead of herself, was now a stranger, abusive to both her husband and her younger son, and exhausting to be around. She was not, he said, abusive towards him because he was always her favourite.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One of the things Eric Van can do for his mother is take her out to dinner, which she enjoys, although she is not capable of initiating such an excursion. When he does so, he picks her up, assists her in walking to the car because of her unsteady gait and need for a cane or walker, assists her in and out of the vehicle, and walks her into the restaurant. Stairs are a struggle. He orders for her because she is not capable of looking at a menu and making up her mind. She has little appetite. They talk, but she often talks about things he is not able to understand, and stutters a lot. She is rude and demanding to staff, and her behaviour is frequently childlike and inappropriate. He finds it embarrassing. She was always polite, engaging and cheerful before the accident. I accept his description.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Ms. Van testified, although her counsel warned that she would be an unreliable historian. The extent of her disability was manifest. Her testimony was slow and laborious. She displayed a reasonably reliable long-term memory, though accessed only with considerable effort, and an unfortunate awareness of her present limitations. Her life is now one of discomfort, frustration and anger.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question here is whether I should assess Ms. Van's non-pecuniary damages at the upper limit, reserved for catastrophic injury, or at something lower. On the evidence, the upper limit of $100,000 set by the Supreme Court of Canada in January 1978, adjusted for inflation, is now $351,000.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Court of Appeal upheld an award of non-pecuniary damages for severe traumatic brain injury at the upper limit (then $280,000) in </w:t>
      </w:r>
      <w:r>
        <w:rPr>
          <w:rFonts w:ascii="arial" w:eastAsia="arial" w:hAnsi="arial" w:cs="arial"/>
          <w:i/>
          <w:color w:val="000000"/>
          <w:sz w:val="20"/>
          <w:lang w:val="en-US" w:eastAsia="en-US" w:bidi="ar-SA"/>
        </w:rPr>
        <w:t>Spehar v Beazley</w:t>
      </w:r>
      <w:r>
        <w:rPr>
          <w:rFonts w:ascii="arial" w:eastAsia="arial" w:hAnsi="arial" w:cs="arial"/>
          <w:color w:val="000000"/>
          <w:sz w:val="20"/>
          <w:lang w:val="en-US" w:eastAsia="en-US" w:bidi="ar-SA"/>
        </w:rPr>
        <w:t xml:space="preserve">, </w:t>
      </w:r>
      <w:hyperlink r:id="rId221" w:history="1">
        <w:r>
          <w:rPr>
            <w:rFonts w:ascii="arial" w:eastAsia="arial" w:hAnsi="arial" w:cs="arial"/>
            <w:i/>
            <w:color w:val="0077CC"/>
            <w:sz w:val="20"/>
            <w:u w:val="single"/>
            <w:shd w:val="clear" w:color="auto" w:fill="FFFFFF"/>
            <w:lang w:val="en-US" w:eastAsia="en-US" w:bidi="ar-SA"/>
          </w:rPr>
          <w:t>2004 BCCA 290</w:t>
        </w:r>
      </w:hyperlink>
      <w:r>
        <w:rPr>
          <w:rFonts w:ascii="arial" w:eastAsia="arial" w:hAnsi="arial" w:cs="arial"/>
          <w:color w:val="000000"/>
          <w:sz w:val="20"/>
          <w:lang w:val="en-US" w:eastAsia="en-US" w:bidi="ar-SA"/>
        </w:rPr>
        <w:t>. The plaintiff in that case was 16 years old at the time of injury. From the trial judge's description quoted by the Court of Appeal, it would seem that Ms. Spehar's situation was very similar to that of Ms. Van, and it was considered significant that Ms. Spehar was aware of what she had lost.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defendants submit that an award of $250,000 would be appropriate. He points to the award in that amount made by Mr. Justice Sewell in the case of </w:t>
      </w:r>
      <w:r>
        <w:rPr>
          <w:rFonts w:ascii="arial" w:eastAsia="arial" w:hAnsi="arial" w:cs="arial"/>
          <w:i/>
          <w:color w:val="000000"/>
          <w:sz w:val="20"/>
          <w:lang w:val="en-US" w:eastAsia="en-US" w:bidi="ar-SA"/>
        </w:rPr>
        <w:t>Yick v Johnson</w:t>
      </w:r>
      <w:r>
        <w:rPr>
          <w:rFonts w:ascii="arial" w:eastAsia="arial" w:hAnsi="arial" w:cs="arial"/>
          <w:color w:val="000000"/>
          <w:sz w:val="20"/>
          <w:lang w:val="en-US" w:eastAsia="en-US" w:bidi="ar-SA"/>
        </w:rPr>
        <w:t xml:space="preserve">, </w:t>
      </w:r>
      <w:hyperlink r:id="rId222" w:history="1">
        <w:r>
          <w:rPr>
            <w:rFonts w:ascii="arial" w:eastAsia="arial" w:hAnsi="arial" w:cs="arial"/>
            <w:i/>
            <w:color w:val="0077CC"/>
            <w:sz w:val="20"/>
            <w:u w:val="single"/>
            <w:shd w:val="clear" w:color="auto" w:fill="FFFFFF"/>
            <w:lang w:val="en-US" w:eastAsia="en-US" w:bidi="ar-SA"/>
          </w:rPr>
          <w:t>2012 BCSC 1485</w:t>
        </w:r>
      </w:hyperlink>
      <w:r>
        <w:rPr>
          <w:rFonts w:ascii="arial" w:eastAsia="arial" w:hAnsi="arial" w:cs="arial"/>
          <w:color w:val="000000"/>
          <w:sz w:val="20"/>
          <w:lang w:val="en-US" w:eastAsia="en-US" w:bidi="ar-SA"/>
        </w:rPr>
        <w:t>, which, the defendants say, involved almost identical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While it is true that the injuries suffered by the plaintiff in the </w:t>
      </w:r>
      <w:r>
        <w:rPr>
          <w:rFonts w:ascii="arial" w:eastAsia="arial" w:hAnsi="arial" w:cs="arial"/>
          <w:i/>
          <w:color w:val="000000"/>
          <w:sz w:val="20"/>
          <w:lang w:val="en-US" w:eastAsia="en-US" w:bidi="ar-SA"/>
        </w:rPr>
        <w:t>Yick</w:t>
      </w:r>
      <w:r>
        <w:rPr>
          <w:rFonts w:ascii="arial" w:eastAsia="arial" w:hAnsi="arial" w:cs="arial"/>
          <w:color w:val="000000"/>
          <w:sz w:val="20"/>
          <w:lang w:val="en-US" w:eastAsia="en-US" w:bidi="ar-SA"/>
        </w:rPr>
        <w:t xml:space="preserve"> case also included traumatic brain injury that resulted in permanent cognitive impairment, double vision, personality change and complete loss of income earning capacity, I do not agree that the case is, as the defendants submit, a near exact match. Unlike Ms. Van, Ms. Yick was still able to prepare evening meals for her husband and herself, although requiring longer to do so, was independent in matters of personal care, was able to travel to Hong Kong without her husband, and was able to take several overseas trips with her husband. Ms. Van is not in the same position. Ms. Yick could still sustain everyday levels of relational intimacy with her husband (such as preparing meals, and travelling together) that are far beyond Ms. Van's 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defendants refer also to </w:t>
      </w:r>
      <w:r>
        <w:rPr>
          <w:rFonts w:ascii="arial" w:eastAsia="arial" w:hAnsi="arial" w:cs="arial"/>
          <w:i/>
          <w:color w:val="000000"/>
          <w:sz w:val="20"/>
          <w:lang w:val="en-US" w:eastAsia="en-US" w:bidi="ar-SA"/>
        </w:rPr>
        <w:t>O'Connell v Yung</w:t>
      </w:r>
      <w:r>
        <w:rPr>
          <w:rFonts w:ascii="arial" w:eastAsia="arial" w:hAnsi="arial" w:cs="arial"/>
          <w:color w:val="000000"/>
          <w:sz w:val="20"/>
          <w:lang w:val="en-US" w:eastAsia="en-US" w:bidi="ar-SA"/>
        </w:rPr>
        <w:t xml:space="preserve">, </w:t>
      </w:r>
      <w:hyperlink r:id="rId223" w:history="1">
        <w:r>
          <w:rPr>
            <w:rFonts w:ascii="arial" w:eastAsia="arial" w:hAnsi="arial" w:cs="arial"/>
            <w:i/>
            <w:color w:val="0077CC"/>
            <w:sz w:val="20"/>
            <w:u w:val="single"/>
            <w:shd w:val="clear" w:color="auto" w:fill="FFFFFF"/>
            <w:lang w:val="en-US" w:eastAsia="en-US" w:bidi="ar-SA"/>
          </w:rPr>
          <w:t>2010 BCSC 1764</w:t>
        </w:r>
      </w:hyperlink>
      <w:r>
        <w:rPr>
          <w:rFonts w:ascii="arial" w:eastAsia="arial" w:hAnsi="arial" w:cs="arial"/>
          <w:color w:val="000000"/>
          <w:sz w:val="20"/>
          <w:lang w:val="en-US" w:eastAsia="en-US" w:bidi="ar-SA"/>
        </w:rPr>
        <w:t xml:space="preserve">, where a 58-year-old female plaintiff who suffered traumatic brain injury was awarded non-pecuniary damages of $275,000. That award was upheld on appeal, indexed at </w:t>
      </w:r>
      <w:hyperlink r:id="rId224" w:history="1">
        <w:r>
          <w:rPr>
            <w:rFonts w:ascii="arial" w:eastAsia="arial" w:hAnsi="arial" w:cs="arial"/>
            <w:i/>
            <w:color w:val="0077CC"/>
            <w:sz w:val="20"/>
            <w:u w:val="single"/>
            <w:shd w:val="clear" w:color="auto" w:fill="FFFFFF"/>
            <w:lang w:val="en-US" w:eastAsia="en-US" w:bidi="ar-SA"/>
          </w:rPr>
          <w:t>2012 BCCA 57</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[46] In my opinion, the judge in the instant case applied the correct legal principles and it cannot be said that her award of non-pecuniary damages is tainted by clear and determinative of error. The award of $275,000 may be at the high end of the appropriate range for such damages, but it cannot be said, in the circumstances of Ms. O'Connell, to be an inordinately high or erroneous assessment of non-pecuniary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What were Ms. O'Connell's circumstances? Like Ms. Van, the brain injury Ms. O'Connell suffered had a profound effect on her life, although unlike Ms. Van, Ms. O'Connell had significant pre-existing conditions: benign multiple sclerosis and Grave's disease. As the trial judge noted at para 84 of her judgment, Ms. O'Connell, like Ms. Van, lost the ability to live independently, to relate to her loved ones in a meaningful way, and to work at a job she enjoyed. Her cognitive dysfunction was not, however, as severe as Ms. Van's, and was not complicated by any psychiatric conditions such as depression or anxiety. Crucially, Ms. O'Connell appeared to the trial judge to be relatively content, with little awareness of her condition. Indeed, it was her limited insight into the nature of deficits that allowed her to avoid depression (para 49). Ms. Van's circumstances, I find, are significantly worse.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Assessing non-pecuniary damages is not, of course, a matter of simply comparing injuries on a scale that ends at the upper limit. A trial judge is obliged to balance the need to arrive at an award that is specific to the plaintiff and reasonable to both parties, with achieving a result that is consistent with the fundamental principle that like cases be decided alike.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On the evidence before me, I have no difficulty in concluding that the injuries suffered by Ms. Van are catastrophic. We are, in any practical sense, our brains. A brain injury of this degree of severity is a loss of one's very self. Like Ms. Spehar, Ms. Van "has lost what to many is one of the most valuable aspects of being an adult human -- the ability to have control over one's own life" (</w:t>
      </w:r>
      <w:r>
        <w:rPr>
          <w:rFonts w:ascii="arial" w:eastAsia="arial" w:hAnsi="arial" w:cs="arial"/>
          <w:i/>
          <w:color w:val="000000"/>
          <w:sz w:val="20"/>
          <w:lang w:val="en-US" w:eastAsia="en-US" w:bidi="ar-SA"/>
        </w:rPr>
        <w:t>Spehar</w:t>
      </w:r>
      <w:r>
        <w:rPr>
          <w:rFonts w:ascii="arial" w:eastAsia="arial" w:hAnsi="arial" w:cs="arial"/>
          <w:color w:val="000000"/>
          <w:sz w:val="20"/>
          <w:lang w:val="en-US" w:eastAsia="en-US" w:bidi="ar-SA"/>
        </w:rPr>
        <w:t xml:space="preserve"> at para 13). No aspect of her life, including her closest relationships, has been left unimpaired. Her outlook for the future is dismal. Her days are filled with pain and frustration. There is no possibility of recovery. The best she can hope for is that her deterioration will be slowed, and that her anger, frustration and depression can be addressed through medication and distraction. At worst, she will experience a premature and accelerated descent into dementia, losing what little has been left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these circumstances, I conclude that Ms. Van is entitled to an award at the upper limit. I assess her non-pecuniary damages at $351,000.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There is no doubt that Ms. Van has been rendered unemployable by the injuries she suffered in the accident. I am also satisfied that she was a hard-working and reliable employee who was very much attached to the workforce, and who would have continued working in her two jobs but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parties are agreed as to the rates of pay that Ms. Van would have earned from her job with the Morrison Group as a cook at the BC Cancer Agency between the date of the accident and the time of trial. They are also agreed on the hours she would have worked. At issue is her claim for non-wage benefits, the date at which she would have likely retired, and her claim for past and future loss of income arising out of her employment as a nail technician/manicurist.</w:t>
      </w:r>
      <w:r>
        <w:rPr>
          <w:rFonts w:ascii="arial" w:eastAsia="arial" w:hAnsi="arial" w:cs="arial"/>
          <w:sz w:val="20"/>
          <w:lang w:val="en-US" w:eastAsia="en-US" w:bidi="ar-SA"/>
        </w:rPr>
        <w:cr/>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Non-wage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In her job at the BC Cancer Agency, Ms. Van had access to non-wage benefits pursuant to the terms of two collective agreements in force during her employment. Relying on </w:t>
      </w:r>
      <w:r>
        <w:rPr>
          <w:rFonts w:ascii="arial" w:eastAsia="arial" w:hAnsi="arial" w:cs="arial"/>
          <w:i/>
          <w:color w:val="000000"/>
          <w:sz w:val="20"/>
          <w:lang w:val="en-US" w:eastAsia="en-US" w:bidi="ar-SA"/>
        </w:rPr>
        <w:t>Towson v Bergman</w:t>
      </w:r>
      <w:r>
        <w:rPr>
          <w:rFonts w:ascii="arial" w:eastAsia="arial" w:hAnsi="arial" w:cs="arial"/>
          <w:color w:val="000000"/>
          <w:sz w:val="20"/>
          <w:lang w:val="en-US" w:eastAsia="en-US" w:bidi="ar-SA"/>
        </w:rPr>
        <w:t xml:space="preserve">, </w:t>
      </w:r>
      <w:hyperlink r:id="rId187" w:history="1">
        <w:r>
          <w:rPr>
            <w:rFonts w:ascii="arial" w:eastAsia="arial" w:hAnsi="arial" w:cs="arial"/>
            <w:i/>
            <w:color w:val="0077CC"/>
            <w:sz w:val="20"/>
            <w:u w:val="single"/>
            <w:shd w:val="clear" w:color="auto" w:fill="FFFFFF"/>
            <w:lang w:val="en-US" w:eastAsia="en-US" w:bidi="ar-SA"/>
          </w:rPr>
          <w:t>2009 BCSC 143</w:t>
        </w:r>
      </w:hyperlink>
      <w:r>
        <w:rPr>
          <w:rFonts w:ascii="arial" w:eastAsia="arial" w:hAnsi="arial" w:cs="arial"/>
          <w:color w:val="000000"/>
          <w:sz w:val="20"/>
          <w:lang w:val="en-US" w:eastAsia="en-US" w:bidi="ar-SA"/>
        </w:rPr>
        <w:t xml:space="preserve"> at paras 329-331, the defendants object to including the non-wage benefits in assessing the loss of income. They argue that benefits such as extended health and dental benefits are only of value if Ms. Van was likely to use them, and that in this case, her claim for special damages (which is mostly agreed) and future care costs replace any loss associated with not having access to such benefits after the accident. I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also agree that so long as Ms. Van's award for her loss of income is based upon full-year earnings, she is fully compensated for the value of vacation benefits, and any entitlement to sick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This leaves only her loss of the benefit of premiums paid by the employer for life and accidental death &amp; dismemberment insurance. With respect to Ms. Van's claim for a past loss of income, the defendants argue, and I accept, that this represents no past loss of value to Ms. Van given that she has not required the insurance and did not replace it. It does, however, give rise to a claim going forward.</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Age of retirement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plaintiff submits that in assessing her future loss of income, I should assume that she would work well past the age of 65. I note that by the time she reaches the age of 65, her husband will be 70, and her children will be 35 and 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plaintiff bases her submission on her well-established attachment to the workforce, and the fact that she and her husband would probably have had a mortgage to pay off on a new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It is entirely possible that Ms. Van would have worked past age 65, all things being equal, given that she has been no stranger to hard work. That she and her husband may have had a mortgage to pay off, and how that might have affected their intentions, is largely speculation. Neither gave evidence of having a particular retirement age in mind. There was also evidence of back difficulties Ms. Van suffered before the accident, due to degenerative disc disease. This did not impair her work, but could have led to difficulties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Taking this contingency into account and balancing it with Ms. Van's exemplary work history and societal trends, I find that Ms. Van probably would have retired from her position as a cook at 65, but would likely have continued working in the beauty field to a later age, probably 67. Her job as a nail technician was not physically demanding, and was one that she enjoyed very much.</w:t>
      </w:r>
      <w:r>
        <w:rPr>
          <w:rFonts w:ascii="arial" w:eastAsia="arial" w:hAnsi="arial" w:cs="arial"/>
          <w:sz w:val="20"/>
          <w:lang w:val="en-US" w:eastAsia="en-US" w:bidi="ar-SA"/>
        </w:rPr>
        <w:cr/>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Income as a nail technician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have no difficulty in accepting that Ms. Van worked part-time as a nail technician/manicurist at the Orchid Beauty Salon, that she enjoyed the work, and that she would have continued to work in this position. The difficulty is that there is no direct evidence of what Ms. Van earned in that job. She did not declare the income on her tax returns and was not asked about it when she testified. She produced no banking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Her employer, Ms. Ly, testified that a pedicure cost $19 and took 45 minutes, while a manicure cost $15 and took 20 minutes. The technician would receive 60% and keep her tips. Customers would pay in cash or by credit card. The cash would be paid directly to the technician. Ms. Ly would issue cheques for the technician's share of the credit card payments. While I accept this evidence, I note that no credit card receipts or cheques were produced.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Ms. Ly went on to say that full-time nail technicians can make $200 per day "when busy". Given Ms. Van's schedule, Ms. Ly thought that she would earn $150 on weekdays, and perhaps $200 on Saturdays. This, in my view, was evidence entitled to little weight in the absence of any record of earnings of any kind. It would suggest that every minute of Ms. Van's working hours were occupied by appointments, and that she was tipped generously. There was in fact no evidence of just how busy she typically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In these circumstances, it is impossible to assess with precision Ms. Van's loss of income from her inability to work as a nail technician/manicurist. Nevertheless, it is clear that she did earn an income from that position, and is no longer capable of doing so. Moreover, I am satisfied on the evidence that she would have worked a part-time job of this nature throughout the remainder of her working career. I must accordingly do the best I can to assess the loss she has thereby suffered: </w:t>
      </w:r>
      <w:r>
        <w:rPr>
          <w:rFonts w:ascii="arial" w:eastAsia="arial" w:hAnsi="arial" w:cs="arial"/>
          <w:i/>
          <w:color w:val="000000"/>
          <w:sz w:val="20"/>
          <w:lang w:val="en-US" w:eastAsia="en-US" w:bidi="ar-SA"/>
        </w:rPr>
        <w:t>Iannone v Hoogengraad</w:t>
      </w:r>
      <w:r>
        <w:rPr>
          <w:rFonts w:ascii="arial" w:eastAsia="arial" w:hAnsi="arial" w:cs="arial"/>
          <w:color w:val="000000"/>
          <w:sz w:val="20"/>
          <w:lang w:val="en-US" w:eastAsia="en-US" w:bidi="ar-SA"/>
        </w:rPr>
        <w:t xml:space="preserve"> </w:t>
      </w:r>
      <w:hyperlink r:id="rId225" w:history="1">
        <w:r>
          <w:rPr>
            <w:rFonts w:ascii="arial" w:eastAsia="arial" w:hAnsi="arial" w:cs="arial"/>
            <w:i/>
            <w:color w:val="0077CC"/>
            <w:sz w:val="20"/>
            <w:u w:val="single"/>
            <w:shd w:val="clear" w:color="auto" w:fill="FFFFFF"/>
            <w:lang w:val="en-US" w:eastAsia="en-US" w:bidi="ar-SA"/>
          </w:rPr>
          <w:t>(1992), 66 BCLR (2d) 106</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The plaintiff submits that the evidence supports an annual income from this job of $35,000, at the low end of the range derived from the figures discussed by Ms. Ly. The defendants assert that a </w:t>
      </w:r>
      <w:r>
        <w:rPr>
          <w:rFonts w:ascii="arial" w:eastAsia="arial" w:hAnsi="arial" w:cs="arial"/>
          <w:color w:val="000000"/>
          <w:sz w:val="20"/>
          <w:u w:val="single"/>
          <w:lang w:val="en-US" w:eastAsia="en-US" w:bidi="ar-SA"/>
        </w:rPr>
        <w:t>total</w:t>
      </w:r>
      <w:r>
        <w:rPr>
          <w:rFonts w:ascii="arial" w:eastAsia="arial" w:hAnsi="arial" w:cs="arial"/>
          <w:color w:val="000000"/>
          <w:sz w:val="20"/>
          <w:lang w:val="en-US" w:eastAsia="en-US" w:bidi="ar-SA"/>
        </w:rPr>
        <w:t xml:space="preserve"> loss of capacity award in excess of $50,000 cannot be justified.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my view, even without specific wage information, the evidence does support a greater loss, assessable on an annualized basis, than the defendants suggest. The evidence does not, however, go so far as to allow me safely to conclude that the figure proposed by the plaintiff of $35,000 per annum is justified for the part-time work Ms. Van was performing. That would require direct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Taking into account: Ms. Van's exemplary work habits; the rates discussed by Ms. Ly; the hours that Ms. Van spent at the salon; the fact that the work was not highly remunerative but did include tips; and the need to be reasonable to both sides in the absence of specific evidence, I assess Ms. Van's income earning capacity for a second part-time job to be $20,000 per year to age 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After her retirement from her position as a cook, I am satisfied that Ms. Van would have substantially increased her hours as a nail technician, a job that she enjoyed and which was physically undemanding. Assessing the possibilities, I conclude that she would have earned $35,000 annually for a further two years after her retiring from her full-time job.</w:t>
      </w:r>
      <w:r>
        <w:rPr>
          <w:rFonts w:ascii="arial" w:eastAsia="arial" w:hAnsi="arial" w:cs="arial"/>
          <w:sz w:val="20"/>
          <w:lang w:val="en-US" w:eastAsia="en-US" w:bidi="ar-SA"/>
        </w:rPr>
        <w:cr/>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Assessment</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Past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With respect to the appropriate calculation of Ms. Van's loss of income from her job as a cook, I accept the figures put forward by the defendants, calculated on the basis of the Agreed Statement of Facts. These calculations are based on the terms of successive collective agreements, rather than calendar years, and yield a total gross loss of $210,903.42. To this should be added Ms. Van's loss from her employment as a nail technician, which I assess as follows in accordance with my findings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718"/>
        <w:gridCol w:w="669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66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u w:val="single"/>
                <w:lang w:val="en-US" w:eastAsia="en-US" w:bidi="ar-SA"/>
              </w:rPr>
              <w:t>Year</w:t>
            </w:r>
          </w:p>
        </w:tc>
        <w:tc>
          <w:tcPr>
            <w:tcW w:w="655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u w:val="single"/>
                <w:lang w:val="en-US" w:eastAsia="en-US" w:bidi="ar-SA"/>
              </w:rPr>
              <w:t>Amount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66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2007</w:t>
            </w:r>
          </w:p>
        </w:tc>
        <w:tc>
          <w:tcPr>
            <w:tcW w:w="655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$9,096</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66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2008</w:t>
            </w:r>
          </w:p>
        </w:tc>
        <w:tc>
          <w:tcPr>
            <w:tcW w:w="655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66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2009</w:t>
            </w:r>
          </w:p>
        </w:tc>
        <w:tc>
          <w:tcPr>
            <w:tcW w:w="655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66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2010</w:t>
            </w:r>
          </w:p>
        </w:tc>
        <w:tc>
          <w:tcPr>
            <w:tcW w:w="655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66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2011</w:t>
            </w:r>
          </w:p>
        </w:tc>
        <w:tc>
          <w:tcPr>
            <w:tcW w:w="655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66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2012</w:t>
            </w:r>
          </w:p>
        </w:tc>
        <w:tc>
          <w:tcPr>
            <w:tcW w:w="655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66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2013</w:t>
            </w:r>
          </w:p>
        </w:tc>
        <w:tc>
          <w:tcPr>
            <w:tcW w:w="655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66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2014</w:t>
            </w:r>
          </w:p>
        </w:tc>
        <w:tc>
          <w:tcPr>
            <w:tcW w:w="655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$712</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66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55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$129,808</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total gross figure, then, comes to $340,711.42. Any negative contingencies are in my view balanced by the positive contingencies, which include Ms. Van's attachment to the workforce, her strong work ethic, and the possibility that she could have made additional income from her second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This gross past income loss figure of $340,711.42 must be reduced for income tax and Employment Insurance contributions. I will leave it to counsel to calculate the appropriate annual deductions in accordance with my findings and the figures produced by Mr. Robert Carson of Associated Economic Consultants Ltd in Exhibit 18.</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Future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Again based on the Agreed Statement of Facts, Ms. Van's annual income from her job as a cook as at the trial date is $34,551.12. To this must be added $20,000 for her job as a nail technician for a total income of $54,551.12. On the evidence (Exhibit 20), the appropriate multiplier is 10.554, for a total present value of $575,732.52.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include a further amount to take into account my finding that Ms. Van would have continued working as a nail technician from age 65 through age 67 at $35,000 per annum in 2014 dollars. The present value of this sum is $54,810. This yields a total future loss of $630,542.52.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Once again, I consider the additional contingencies are balanced. To give some consideration to the loss of future life insurance benefits, I round this figure up to an award for loss of future income of $635,000.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 Future care costs</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The law in this area is not in doubt. As the Supreme Court of Canada noted in </w:t>
      </w:r>
      <w:r>
        <w:rPr>
          <w:rFonts w:ascii="arial" w:eastAsia="arial" w:hAnsi="arial" w:cs="arial"/>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226"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xml:space="preserve">, </w:t>
      </w:r>
      <w:hyperlink r:id="rId226" w:history="1">
        <w:r>
          <w:rPr>
            <w:rFonts w:ascii="arial" w:eastAsia="arial" w:hAnsi="arial" w:cs="arial"/>
            <w:i/>
            <w:color w:val="0077CC"/>
            <w:sz w:val="20"/>
            <w:u w:val="single"/>
            <w:shd w:val="clear" w:color="auto" w:fill="FFFFFF"/>
            <w:lang w:val="en-US" w:eastAsia="en-US" w:bidi="ar-SA"/>
          </w:rPr>
          <w:t>[2002] 1 SCR 205</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Damages for cost of future care are a matter of prediction. No one knows the future. Yet the rule that damages must be assessed once and for all at the time of trial (subject to modification on appeal) requires courts to peer into the future and fix the damages for future care as best they can. In doing so, courts rely on the evidence as to what care is likely to be in the injured person's best interest. Then they calculate the present cost of providing that care and may make an adjustment for the contingency that the future may differ from what the evidence at trial indicates.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The resulting award may be said to reflect the reasonable or normal expectations of what the injured person will require. Jane Stapleton, "The Normal Expectancies Measure in Tort Damages" (1997), 113 L.Q.R. 257, thus suggests, at pp. 257-58, that the tort measure of compensatory damages may be described as the "'normal expectancies' measure", a term which "more clearly describes the aim of awards of compensatory damages in tort: namely, to re-position the plaintiff to the destination he would normally have reached . . . had it not been for the tort". The measure is objective, based on the evidence. This method produces a result fair to both the claimant and the defendant. The claimant receives damages for future losses, as best they can be ascertained. The defendant is required to compensate for those losses. To award less than what may reasonably be expected to be required is to give the plaintiff too little and unfairly advantage the defendant. To award more is to give the plaintiff a windfall and require the defendant to pay more than is fair.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Items claimed must be shown to be medically justified, but medical necessity is too stringent a requirement given the interplay of psychological and emotional factors. Reasonableness is essential. See </w:t>
      </w:r>
      <w:r>
        <w:rPr>
          <w:rFonts w:ascii="arial" w:eastAsia="arial" w:hAnsi="arial" w:cs="arial"/>
          <w:i/>
          <w:color w:val="000000"/>
          <w:sz w:val="20"/>
          <w:lang w:val="en-US" w:eastAsia="en-US" w:bidi="ar-SA"/>
        </w:rPr>
        <w:t>Zapf v Muckalt</w:t>
      </w:r>
      <w:r>
        <w:rPr>
          <w:rFonts w:ascii="arial" w:eastAsia="arial" w:hAnsi="arial" w:cs="arial"/>
          <w:color w:val="000000"/>
          <w:sz w:val="20"/>
          <w:lang w:val="en-US" w:eastAsia="en-US" w:bidi="ar-SA"/>
        </w:rPr>
        <w:t xml:space="preserve"> </w:t>
      </w:r>
      <w:hyperlink r:id="rId227" w:history="1">
        <w:r>
          <w:rPr>
            <w:rFonts w:ascii="arial" w:eastAsia="arial" w:hAnsi="arial" w:cs="arial"/>
            <w:i/>
            <w:color w:val="0077CC"/>
            <w:sz w:val="20"/>
            <w:u w:val="single"/>
            <w:shd w:val="clear" w:color="auto" w:fill="FFFFFF"/>
            <w:lang w:val="en-US" w:eastAsia="en-US" w:bidi="ar-SA"/>
          </w:rPr>
          <w:t>(1996), 26 BCLR (3d) 201</w:t>
        </w:r>
      </w:hyperlink>
      <w:r>
        <w:rPr>
          <w:rFonts w:ascii="arial" w:eastAsia="arial" w:hAnsi="arial" w:cs="arial"/>
          <w:color w:val="000000"/>
          <w:sz w:val="20"/>
          <w:lang w:val="en-US" w:eastAsia="en-US" w:bidi="ar-SA"/>
        </w:rPr>
        <w:t xml:space="preserve"> (CA) at para 36. Moreover, measures that provide solace but are not likely to result in medical benefit should properly be compensated under the heading of non-pecuniary damages, rather than as a compensable cost of future care: </w:t>
      </w:r>
      <w:r>
        <w:rPr>
          <w:rFonts w:ascii="arial" w:eastAsia="arial" w:hAnsi="arial" w:cs="arial"/>
          <w:i/>
          <w:color w:val="000000"/>
          <w:sz w:val="20"/>
          <w:lang w:val="en-US" w:eastAsia="en-US" w:bidi="ar-SA"/>
        </w:rPr>
        <w:t>Ho v Dosanjh</w:t>
      </w:r>
      <w:r>
        <w:rPr>
          <w:rFonts w:ascii="arial" w:eastAsia="arial" w:hAnsi="arial" w:cs="arial"/>
          <w:color w:val="000000"/>
          <w:sz w:val="20"/>
          <w:lang w:val="en-US" w:eastAsia="en-US" w:bidi="ar-SA"/>
        </w:rPr>
        <w:t xml:space="preserve">, </w:t>
      </w:r>
      <w:hyperlink r:id="rId228" w:history="1">
        <w:r>
          <w:rPr>
            <w:rFonts w:ascii="arial" w:eastAsia="arial" w:hAnsi="arial" w:cs="arial"/>
            <w:i/>
            <w:color w:val="0077CC"/>
            <w:sz w:val="20"/>
            <w:u w:val="single"/>
            <w:shd w:val="clear" w:color="auto" w:fill="FFFFFF"/>
            <w:lang w:val="en-US" w:eastAsia="en-US" w:bidi="ar-SA"/>
          </w:rPr>
          <w:t>2010 BCSC 845</w:t>
        </w:r>
      </w:hyperlink>
      <w:r>
        <w:rPr>
          <w:rFonts w:ascii="arial" w:eastAsia="arial" w:hAnsi="arial" w:cs="arial"/>
          <w:color w:val="000000"/>
          <w:sz w:val="20"/>
          <w:lang w:val="en-US" w:eastAsia="en-US" w:bidi="ar-SA"/>
        </w:rPr>
        <w:t xml:space="preserve"> at para 91; and </w:t>
      </w:r>
      <w:r>
        <w:rPr>
          <w:rFonts w:ascii="arial" w:eastAsia="arial" w:hAnsi="arial" w:cs="arial"/>
          <w:i/>
          <w:color w:val="000000"/>
          <w:sz w:val="20"/>
          <w:lang w:val="en-US" w:eastAsia="en-US" w:bidi="ar-SA"/>
        </w:rPr>
        <w:t>Harrington v Sangha</w:t>
      </w:r>
      <w:r>
        <w:rPr>
          <w:rFonts w:ascii="arial" w:eastAsia="arial" w:hAnsi="arial" w:cs="arial"/>
          <w:color w:val="000000"/>
          <w:sz w:val="20"/>
          <w:lang w:val="en-US" w:eastAsia="en-US" w:bidi="ar-SA"/>
        </w:rPr>
        <w:t xml:space="preserve">, </w:t>
      </w:r>
      <w:hyperlink r:id="rId229" w:history="1">
        <w:r>
          <w:rPr>
            <w:rFonts w:ascii="arial" w:eastAsia="arial" w:hAnsi="arial" w:cs="arial"/>
            <w:i/>
            <w:color w:val="0077CC"/>
            <w:sz w:val="20"/>
            <w:u w:val="single"/>
            <w:shd w:val="clear" w:color="auto" w:fill="FFFFFF"/>
            <w:lang w:val="en-US" w:eastAsia="en-US" w:bidi="ar-SA"/>
          </w:rPr>
          <w:t>2011 BCSC 1035</w:t>
        </w:r>
      </w:hyperlink>
      <w:r>
        <w:rPr>
          <w:rFonts w:ascii="arial" w:eastAsia="arial" w:hAnsi="arial" w:cs="arial"/>
          <w:color w:val="000000"/>
          <w:sz w:val="20"/>
          <w:lang w:val="en-US" w:eastAsia="en-US" w:bidi="ar-SA"/>
        </w:rPr>
        <w:t xml:space="preserve"> at para 153.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Predictably, the parties advanced very different care concepts. The defendants, in essence, submit that the level of care that Ms. Van has been receiving since the accident is appropriate and should continue. The plaintiff argues that a significantly higher level is justified and should be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One of the questions that the defendants submit is key is whether Ms. Van would accept the care plan proposed by her counsel. A person, argues the defendants, must not only be capable of assimilation into a proposed care program, but be a willing participant. Ultimately, the defendants point out, Ms. Van is the person in control of her care. While the court can make various awards, it cannot require her to spend the money for specific purposes. The defendants refer to the evidence of their expert occupational therapist, Natalia Allende of OT Consulting/Treatment Services Ltd., who stated that if Ms. Van is unwilling to accept advice or is resistant to an increased level of assistance, it serves no purpose to force it on her. Indeed, Ms. Van has a history of disagreements with her care workers that have led to several changes in personnel. There is no doubt that she has difficulty relating to other people.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reject, however, the proposition that if an injured person's judgment is so impaired by the injuries the defendants caused that she may not be depended upon readily to accept care that is medically justified and reasonable, no award should be made for that level of care. Clearly what is needed is assistance that will allow Ms. Van to avoid the untoward consequences of her own lack of judgment, so long as that assistance is available, reasonable, and medically justified.</w:t>
      </w:r>
      <w:r>
        <w:rPr>
          <w:rFonts w:ascii="arial" w:eastAsia="arial" w:hAnsi="arial" w:cs="arial"/>
          <w:sz w:val="20"/>
          <w:lang w:val="en-US" w:eastAsia="en-US" w:bidi="ar-SA"/>
        </w:rPr>
        <w:cr/>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Life expectancy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On this issue, I accept the opinion evidence of Dr. Tom Elliott as set out in his report, and as modified in light of further information in his evidence at trial. This results in an estimated remaining period of life as of the date of trial of 26 years.</w:t>
      </w:r>
      <w:r>
        <w:rPr>
          <w:rFonts w:ascii="arial" w:eastAsia="arial" w:hAnsi="arial" w:cs="arial"/>
          <w:sz w:val="20"/>
          <w:lang w:val="en-US" w:eastAsia="en-US" w:bidi="ar-SA"/>
        </w:rPr>
        <w:cr/>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current regime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Ms. Van's care since the accident has been under the management of Ms. Sandra Caverly, a consultant occupational therapist retained for this purpose by the Insurance Corporation of British Columbia's Rehabilitation Department. Ms. Caverly has worked as an occupational therapist since graduating from the University of British Columbia with a Bachelor of Science in occupational therapy in 1989. She underwent clinical training in a post-graduate acute-care clinical setting at St. Paul's Hospital, which included working with persons who had suffered traumatic brain injury. Over the last 17 years, persons with traumatic brain injury have accounted for 60% of her caseload.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Ms. Caverly was not called to give expert opinion evidence, but rather to give factual evidence as to her management of Ms. Van's care. I found her to be a most impressive and reliable witness, and I do not hesitate to accept 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Ms. Caverly explained that in working with Ms. Van on referral from ICBC's Rehabilitation Department, she was obliged to work within the guidelines of ICBC's no-fault medical benefits coverage ("Part VII benefits"), which provide for a limit of $150,000 per accident for medical and rehabilitation services. When preparing independent medical-legal reports, she employs a different perspective, and different parameters, because she is not then bound by coverage guidelines and funding restrictions.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Ms. Caverly noted that Ms. Van's needs were complicated by her chronic pain, ambulatory difficulties, confusion, memory deficits, distractibility, a limited ability to follow instructions, depressed emotional status, angry outbursts and perseveration. Consequently, she required assistance in all areas of living including making sure that she attended her many appointments (speech therapy, physiotherapy, psychology, etc), the setting up of appropriate services, and communication to ICBC of recommendations for services, transportation and planning.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Ms. Caverly explained that most of the care is currently provided by Ms. Van's family. A support worker attends for four hours a week, and the family (principally Mr. Van) provides the remainder of the required care: reminding Ms. Van of appointments, providing all meals, assisting with shopping, attending appointments with her, addressing problems including disagreements Ms. Van may have with taxi drivers or the HandyDART attendant, encouraging her and assisting her in attending family events, taking her to her visits to the Chinese Brain Injury Support Group, and monitoring her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Ms. Van does not sleep well, and so requires someone to be with her at night, which service is fulfilled by her husband. They sleep separately, but Mr. Van is available should Ms. Van get up and start roaming about the apartment. He also prepares meals in advance so that she can warm them up while he is away at work during the day. She has been known to be forgetful in this regard, resulting in the burning of her food, but generally is able to function at this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Ms. Caverly did recommend respite care to provide relief for Mr. Van, and to provide assistance when Mr. Van had to leave town to look after his parents, but this was turned down as not coming within the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Given the dynamics of this trial, Ms. Caverly found herself in a somewhat delicate position. Testifying as a witness for the plaintiff, her connection to Ms. Van was nevertheless through a referral from ICBC rather than an independent retainer. In cross-examining her, counsel for the defendants sought to create the impression (notwithstanding his objection to anything led from her in chief that resembled an opinion) that Ms. Caverly must consider this current regime to be safe and appropriate for Ms. Van, or she would have recommended additional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There is no doubt that some of the specific therapeutic services provided through ICBC's Rehabilitation Department have achieved the desired goals. Physiotherapy services were provided until the consultant physiotherapist recommended discharge from the program (February 2009), once an activation program had been well established. The therapist recommended that Ms. Van continue with a gym program assisted by a Rehabilitation Assistant, three times per week, to include gym and pool, and supervised by the Occupational Therapist (Ms. Caverly).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Similarly, ICBC's rehabilitation program covered speech language therapy once a week through 2008, then once every two weeks, and finally once a month until discharge in May 2009. The Speech-Language Pathologist noted good progress in Ms. Van's communication, and reported that she had met most of her therapy goals. She recommended discontinuation of formal speech-language therapy, and greater involvement in community and leisure activities where a 1:1 worker can provide continued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 am satisfied, however, that apart from such services as these, Ms. Caverly considers the current care regime to be safe and appropriate only within the parameters permitted by the guidelines and limits of ICBC's no-fault benefits coverage. That coverage of necessity does not purport to provide care to the level applicable to a claim in tort law. To do so would produce an impossible strain on public resources. Ms. Caverly was well aware of this, and it is only in this context, I find, that she did not recommend additional services (other than respite care, which was refused). That Ms. Caverly was able to "make do" with the services available in overseeing Ms. Van's care does not of itself establish the standard for the appropriate level of care given Ms. Van's condition and needs.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With respect to what additional services are appropriate for Ms. Van going forward, I turn next to consider the competing future care reports.</w:t>
      </w:r>
      <w:r>
        <w:rPr>
          <w:rFonts w:ascii="arial" w:eastAsia="arial" w:hAnsi="arial" w:cs="arial"/>
          <w:sz w:val="20"/>
          <w:lang w:val="en-US" w:eastAsia="en-US" w:bidi="ar-SA"/>
        </w:rPr>
        <w:cr/>
      </w:r>
    </w:p>
    <w:p>
      <w:pPr>
        <w:numPr>
          <w:numId w:val="1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For her future care needs, the plaintiff relies principally upon a series of reports from Dr. H. A. Anton, a specialist in physical medicine and rehabilitation, and a Life Care Plan prepared by Carolyn Degenhardt, a Vocational Rehabilitation Counsellor and Registered Rehabilitation Professional. The defendants rely on a medical/legal report and a cost of future care analysis prepared by Ms. Allende, who holds a Master of Science degree in Occupational Therapy from the University of Toronto.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defendants submitted that, as an occupational therapist, Ms. Allende is a trained medical professional whose evidence should therefore be preferred to that of Ms. Degenhardt, who is not. I agree that Ms. Degenhardt occasionally strayed outside her area of qualification and expertise, but generally, I find that by reason of her education, training and experience, she was qualified to offer the opinions she presented.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While both of these experts were generally reliable, I found shortcomings in the recommendations of each. Ms. Degenhardt made a number of recommendations that, in my view, cannot be justified on the medical evidence. Ms. Allende, on the other hand, relied in part on the proposition that Ms. Van is likely to improve somewhat, which prospect was entirely unsupported by any evidence before me, and seemed too swayed by concern about "whether Ms. Van would be amenable to a higher level of support than what she is presently receiving", notwithstanding the medical evidence and recommendations.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Dr. Anton noted that Ms. Van will be unable to resume the social roles that were normal for her before the accident, and will be unable to participate in anything more than light housekeeping. She will require assistance with financial management, is at risk for the development of post-traumatic seizures, and is at increased risk for falls and injuries including vertebral or long bone fractures due to her residual mobility problems. He recommended that her function at home and in the community be reviewed by an occupational therapist. He also noted that her family should be provided the opportunity to participate in counselling as needed now and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Dr. Anton further reported that Ms. Van's care needs include programs of stimulation, socialization, regular participation in exercise, and participation in recreational activities at home and in the community, all under the direction of an occupational therapist with experience and expertise in the management of persons with traumatic brain injury. This indeed is what Ms. Caverly has been doing within the parameters available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Given her overall circumstances, Dr. Anton expressed the opinion that Ms. Van probably cannot safely be left alone for more than "very short periods":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does not mean she needs direct "hands-on" care but rather she needs someone to assist her in the event of an unexpected problem like a fall or emergency like a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While I accept Dr. Anton's opinion in this regard in general, experience since he prepared his opinion has demonstrated, as he was prepared to concede, that "very short periods" can extends to hours, not minutes, although this has generally been as a matter of necessity, not of preference. Nevertheless, the reality, I find, is that Ms. Van cannot safely be left alone for any extended period. Essentially, as Dr. Anton noted, she requires supervision or support of some degree 24 hours per day. At present, as Ms. Caverly testified, this burden falls on her family, except for four hours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Thus, Dr. Anton observed, and I find, Ms. Van is currently very dependent on her husband and family, who are at significant risk for caregiver burnout. In Dr. Anton's view, which I share, they require support to reduce that risk, which, if it came to pass, would leave Ms. Van in an untenable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A concern expressed by many is that Mr. Van may come to the end of his tether and leave the marriage. Indeed, given the level of emotional abuse which he is obliged to withstand, Ms. Van's own siblings have indicated to him that he should not hesitate to do so if necessary to preserve his own health. I am satisfied that Mr. Van is a dedicated husband who is unlikely to leave his wife notwithstanding her terrible injuries and the changes she has undergone, and will continue to provide care, so long as appropriate support is in place. He is nearly 60 years old, however, and cannot, and should not, continue to bear this burden almost alone. Ultimately, that would leave Ms. Van in an unacceptably vulnerable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In these circumstances, I have come to the following conclusions with respect to the recommendations of Ms. Degenhardt, as reviewed by Ms. Allende:</w:t>
      </w:r>
      <w:r>
        <w:rPr>
          <w:rFonts w:ascii="arial" w:eastAsia="arial" w:hAnsi="arial" w:cs="arial"/>
          <w:sz w:val="20"/>
          <w:lang w:val="en-US" w:eastAsia="en-US" w:bidi="ar-SA"/>
        </w:rPr>
        <w:cr/>
      </w:r>
    </w:p>
    <w:p>
      <w:pPr>
        <w:numPr>
          <w:numId w:val="1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Diagnostic Imaging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find that compensation for the private costs of diagnostic procedures is not medically justified. These will be covered by the medical services plan, and there is no evidence of urgent need that would justify the cost of a shorter waiting period.</w:t>
      </w:r>
    </w:p>
    <w:p>
      <w:pPr>
        <w:numPr>
          <w:numId w:val="1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Medications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 doubt that Ms. Van has an ongoing need for medication. She will undoubtedly be subject to a substantial deduction for her Pharmacare coverage. The exact cost is unknown because of the need to try various different medication regimes in relation particularly to her depression. I consider that Ms. Degenhardt's recommendations provide an appropriate basis for assessing these needs, and conclude that, take into account an appropriate reserve for further medication needs, an annual figure of $2,500 is justified.</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Psychological Services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are more than justified on the evidence of Dr. O'Shaughnessy, Dr. Schmidt, Dr. Anton and Dr. Chan. I do not, however, agree with Ms. Degenhardt's recommendation of reserve for future neuropsychological assessment. I accept that Ms. Van will require 12 1 hour sessions per year at $175/hour, and that an allowance must also be made for family counselling, which is justified for the benefit of Ms. Van. As noted by Ms. Allende, the annual cost for Ms. Van is $2,100, or $2,205 with GST. In addition, I award a one-time amount for family counselling of $2,500.</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Physical Therapy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evidence indicates that an intensive physiotherapy program is no longer required. I find that two sessions per year for review and updating of Ms. Van's exercise regime are justified, at an annual cost of $150.</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Occupational Therapy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Degenhardt separates the roles of Occupational Therapist and Case Manager, whereas in Ms. Allende's view, only one person is required to perform both roles. I prefer Ms. Allende's approach in this regard, but given the difficulties in managing Ms. Van's relationship with caregivers, I find that 14 hours per year is justified at a rate of $105/hour, increased by 20% for travel time and costs. This yields an annual cost of $2,016. To this should be added an additional one-time cost of $420 for assessing, planning and organizing Ms. Van's ongoing care at the start of this regime.</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Speech-Language Therapist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Given the views of the speech therapist with whom Ms. Van previously worked, I do not find that any further expense under this heading is justified.</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Case Manager Services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evidence before me, I find that these services are adequately covered by the provision I have made for an occupational therapist.</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Cost of Care Re-Assessment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Degenhardt recommended provision of a one-time cost of $3,000-$4,000 in the future to update Ms. Van's life care plan. I am aware of no medical justification for this proposal and I consider that any necessary updating will be part of the occupational therapist's role, for which provision has already been made.</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Registered Dietician/Nutritionist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I am satisfied that Ms. Van will indeed require advice in this regard, particularly due to the management of her diabetes, the evidence does not indicate that what she will require is greater than what is available at no cost through, for instance, endocrinology services and other medical services provided at Vancouver General Hospital, funded by the Medical Services Plan.</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Dental/Oral Treatment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services are recommended by Dr. Wittenberg have now been provided. I accept his recommendation for periodic reviews at an annual cost of $750, and a one-time cost of future crown replacement of $6,000. I think it reasonable to expect this to be incurred at age 70.</w:t>
      </w:r>
    </w:p>
    <w:p>
      <w:pPr>
        <w:numPr>
          <w:numId w:val="2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Botox Treatment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trial of Botox treatment, to address headaches, has been recommended by both Dr. Wittenberg and Dr. Anton. I allow $1,603.56 for the cost of the trial, and ongoing treatment for two years at an annual cost of $1,600, taking into account the possibility that the trial may be unsuccessful.</w:t>
      </w:r>
    </w:p>
    <w:p>
      <w:pPr>
        <w:numPr>
          <w:numId w:val="2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Sleep Assessment and Treatment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accept that this is medically justified. The plaintiff concedes, and I accept, that appropriate assessment is available at no cost at the Vancouver Coastal Health Sleep Disorders Program. I allow an ongoing annual cost of $50 for medication.</w:t>
      </w:r>
    </w:p>
    <w:p>
      <w:pPr>
        <w:numPr>
          <w:numId w:val="2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Interpreter Services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Allende considers that this will be unnecessary as Ms. Van speaks Cantonese and should be able to access treatments in her native language in the Vancouver area. I disagree. There is no evidence that the many services required by Ms. Van are all available in Cantonese. I accept this at an annual cost of $150.</w:t>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Rehabilitation and Home Support Services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Degenhardt and Ms. Allende agree that the services of a rehabilitation assistant/supported independent living worker will be necessary, but disagree as to the number of necessary hours. Ms. Allende would limit it to the current level of four hours per week, or two to three hours per day, two to three days per week. I am satisfied that that is nowhere near sufficient. To maintain the status quo would amount, in essence, to offloading onto Ms. Van's family the burden of the defendants' compensatory obligations. That would be unfair to the family and contrary to Ms. Van's best interest.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addition, it is Ms. Allende's opinion that some of the services to be provided under this heading could be provided by a homemaker at a lower rate. On the evidence, there is a confusing array of hourly rates depending upon qualifications, whether night-time or daytime, and skill level.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Taking into account the family's ongoing support, Ms. Van's scheduled activities and the recommendations of Dr. Anton, I find that the services of a supported independent living worker for six hours per day, seven days per week, are amply justified. I accept as appropriate the upper end of Ms. Degenhardt's range of $26-$29/hour, noting that Ms. Allende quoted a higher hourly rate. Taking into account time and a half for 10 statutory holidays per year, the annual cost is $64,380.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But the plaintiff also seeks overnight care for eight hours per night at a rate of $25.08 per hour, for an annual cost of $74,136.48 including statutory holidays. The combined annual cost of these two services is $138,516.48, without including the additional services of a rehabilitation assistant that Ms. Degenhardt recommended, but I do not find to be justified.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evidence, the cost of a live-in attendant would be considerably less: $96,070 per year as quoted by Ms. Degenhardt. I also accept that Ms. Van is likely to require a live-in attendant in the future in any event, given her prognosis.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Considering all of these factors, and the recommendations, it is clear that Ms. Van needs assistance not only during the day, but also at night when her husband needs to be sleeping himself, given his work schedule. Some of this requirement may be relieved through sleep therapy and medication, and I would assess the annual cost at approximately half that suggested by Ms. Degenhardt.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Taking all of this into account, and bearing in mind that this is an exercise in assessment, not calculation, I award an annual sum of $100,000 for rehabilitation and support services inclusive of GST. I consider that this renders any additional amount for respite care unnecessary.</w:t>
      </w:r>
    </w:p>
    <w:p>
      <w:pPr>
        <w:numPr>
          <w:numId w:val="2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Health and Strength Maintenance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annual cost of $500 is clearly justified on the evidence for community centre memberships, drop-in programs and other like fees.</w:t>
      </w:r>
    </w:p>
    <w:p>
      <w:pPr>
        <w:numPr>
          <w:numId w:val="2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Financial Manager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obvious that Ms. Van will need assistance in managing finances, but I will leave this for further submissions following the delivery of these Reasons, because of factors which can only be taken into account at that time.</w:t>
      </w:r>
    </w:p>
    <w:p>
      <w:pPr>
        <w:numPr>
          <w:numId w:val="2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Housekeeping Services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Van's inability to keep house is not contested. Given, however, that she is being compensated for her loss of housekeeping capacity, a care award under this heading would in my view be redundant.</w:t>
      </w:r>
    </w:p>
    <w:p>
      <w:pPr>
        <w:numPr>
          <w:numId w:val="3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Mobility Aids, Household Equipment and Communication Devices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not satisfied that an emergency response system is necessary in view of the provision of home support services I have made above. Ms. Van is clearly not suitable for a scooter, but there are various items that will be required, including single point cane, cane tip, gait brace, grab bars, a transfer bench, a long handled shower head, a stove minder and a cart. These are all to be replaced at varying intervals. I do not accept the computer equipment recommended by Ms. Degenhardt. I assess the present value of the justifiable items, taken from Table 3 of Exhibit 22, to be $4,313.</w:t>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Hearing Aid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Van has been diagnosed with "left conductive hearing loss". Although Ms. Van has been resistant to wearing a hearing aid, Ms. Degenhardt would make provision for the cost of one in the future when the degree of hearing loss becomes more problematic. Ms. Allende agreed with this approach. I allow a cost of $2,000 every five years beginning in 2017. Again looking at Table 3 of Exhibit 22, the present value comes to $8,302.</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Transportation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accepts that if an award is made for appropriate home support services, and additional award for transportation costs will not be justified. Accordingly I do not include one.</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Living Arrangements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claims an amount for the increase in rent that will be necessary to provide for an apartment large enough to accommodate a care worker's presence and to ensure that Ms. Van has her own room.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evidence, Mr. and Ms. Van were planning to purchase a new residence after selling their condominium. But in the months before the accident, they made no move in this regard. After the accident, they moved several times, not always to a smaller apartment. Their ability to buy a property was clearly impeded by the significant loss of income that followed Ms. Van's injuries.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Degenhardt notes that the couple's monthly rent at the time of the accident was $1,000 ($1,300/month at the time she prepared the report), and estimates that the monthly rent of a sufficiently large apartment with appropriate ground-floor accessibility and finishes would cost $2,600 per month. To this she would add moving charges of $2,000, including packing.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I accept that Mr. and Ms. Van have lived in less than ideal accommodation because of the financial pressures caused by their loss of income following the accident, I note that they will be compensated for that loss. The question is whether, as a result of the accident, they will need to pay more than they would have paid but for the accident. Given that their family is shrinking as their sons age, rather than expanding, it seems to me likely that they would have been content with accommodation that is not as large as they are likely now to require, but not all the cost differential can be attributed to that. I allow $800 per month, or $9,600 per year. I also allow moving costs of $1,400 being the cost of additional help over and above what they would likely have expended in any event.</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present value figures included above for expenses incurred periodically (see items 18 and 19) total $12,615.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immediate one-time costs (see items 3, 5, 11 and 21) total $5,923.56.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present value of the future cost of dental work of $6,000 at age 70 (see item 10) comes to $3,546.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present value of the cost of Botox treatments for two years (see item 11) beginning next year at $1,600 per year, in accordance with Table 3-A of Exhibit 22, comes to $3,041.60.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remaining items comprise annual amounts for Ms. Van's life expectancy of 26 years. These add up to $117,921 per year. The present value of these costs, calculated in accordance with Table 3-A of Exhibit 22, comes to $2,326,227.57.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Adding these figures together, the total present value of the costs of future care comes to $2,351,353.73.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 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The defendants acknowledge that, on the evidence, the plaintiff did the majority of cooking, grocery shopping and lighter cleaning tasks around the home before the accident, with her husband assisting in grocery shopping, heavier cleaning tasks and washing dishes. The defendants further accept that since the accident, Ms. Van remained significantly restricted in this area, and that she is entitled to remuneration: </w:t>
      </w:r>
      <w:r>
        <w:rPr>
          <w:rFonts w:ascii="arial" w:eastAsia="arial" w:hAnsi="arial" w:cs="arial"/>
          <w:i/>
          <w:color w:val="000000"/>
          <w:sz w:val="20"/>
          <w:lang w:val="en-US" w:eastAsia="en-US" w:bidi="ar-SA"/>
        </w:rPr>
        <w:t>McTavish v McGillivray</w:t>
      </w:r>
      <w:r>
        <w:rPr>
          <w:rFonts w:ascii="arial" w:eastAsia="arial" w:hAnsi="arial" w:cs="arial"/>
          <w:color w:val="000000"/>
          <w:sz w:val="20"/>
          <w:lang w:val="en-US" w:eastAsia="en-US" w:bidi="ar-SA"/>
        </w:rPr>
        <w:t xml:space="preserve">, </w:t>
      </w:r>
      <w:hyperlink r:id="rId230" w:history="1">
        <w:r>
          <w:rPr>
            <w:rFonts w:ascii="arial" w:eastAsia="arial" w:hAnsi="arial" w:cs="arial"/>
            <w:i/>
            <w:color w:val="0077CC"/>
            <w:sz w:val="20"/>
            <w:u w:val="single"/>
            <w:shd w:val="clear" w:color="auto" w:fill="FFFFFF"/>
            <w:lang w:val="en-US" w:eastAsia="en-US" w:bidi="ar-SA"/>
          </w:rPr>
          <w:t>2000 BCCA 164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Deo v Deo</w:t>
      </w:r>
      <w:r>
        <w:rPr>
          <w:rFonts w:ascii="arial" w:eastAsia="arial" w:hAnsi="arial" w:cs="arial"/>
          <w:color w:val="000000"/>
          <w:sz w:val="20"/>
          <w:lang w:val="en-US" w:eastAsia="en-US" w:bidi="ar-SA"/>
        </w:rPr>
        <w:t xml:space="preserve">, </w:t>
      </w:r>
      <w:hyperlink r:id="rId231" w:history="1">
        <w:r>
          <w:rPr>
            <w:rFonts w:ascii="arial" w:eastAsia="arial" w:hAnsi="arial" w:cs="arial"/>
            <w:i/>
            <w:color w:val="0077CC"/>
            <w:sz w:val="20"/>
            <w:u w:val="single"/>
            <w:shd w:val="clear" w:color="auto" w:fill="FFFFFF"/>
            <w:lang w:val="en-US" w:eastAsia="en-US" w:bidi="ar-SA"/>
          </w:rPr>
          <w:t>2005 BCSC 1788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plaintiff concedes that any claim for a past loss of housekeeping capacity is subsumed into the claim for an in trust award for Mr. Van. I therefore consider only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plaintiff relies on the report of Mr. Robert Carson concerning "hours of household work", which provides statistical averages. This suggests that for an employed woman with a partner and no dependent children, 1.7 hours per day would typically be spent on cleaning tasks, not including cooking or shopping. This adds up to 11.9 hours per week or 620 hours per year. According to Mr. Carson, the average rate is $15.80 per hour, which I accept.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Given that Ms. Van worked two jobs, had assistance from Mr. Van, and remains capable of at least a few light housekeeping duties, I consider the statistical average to be too high. I allow 365 hours per year at $15.80 per hour for an annual loss of $5,767.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Although Mr. Carson suggests that, statistically, the number of hours per week increases after retirement, I consider that the same annual rate should continue to apply after age 65, given that her husband's contribution would be expected to increase, and that her natural capacity might well have been reduced in any event due to back difficulties. Moreover, I find it likely that assistance would have been required in any event after age 70. According to Exhibit 20, the multiplier to age 70 is 14.337.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 therefore award $82,681 for Ms. Van's loss of future housekeeping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 In trust claim for Mr. Van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plaintiff seeks a substantial award in trust for Mr. Van for the services he has provided in caring for Ms. Van since the accident. The plaintiff would value this claim on the basis of future care evidence concerning the hourly rate for an unskilled companion of $25/hour, reduced to the low end of the range for 24 hours supervisory care of $260/day for each day between the accident and trial. This totals $608,400.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defendants agree that Mr. Van provided extra services to his wife since the accident for which he is entitled to be compensated, but submit that the claim as presented by the plaintiff far exceeds what the evidence will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The parties both cite the principles set out by Mr. Justice Harvey in </w:t>
      </w:r>
      <w:r>
        <w:rPr>
          <w:rFonts w:ascii="arial" w:eastAsia="arial" w:hAnsi="arial" w:cs="arial"/>
          <w:i/>
          <w:color w:val="000000"/>
          <w:sz w:val="20"/>
          <w:lang w:val="en-US" w:eastAsia="en-US" w:bidi="ar-SA"/>
        </w:rPr>
        <w:t>Brennan v Singh</w:t>
      </w:r>
      <w:r>
        <w:rPr>
          <w:rFonts w:ascii="arial" w:eastAsia="arial" w:hAnsi="arial" w:cs="arial"/>
          <w:color w:val="000000"/>
          <w:sz w:val="20"/>
          <w:lang w:val="en-US" w:eastAsia="en-US" w:bidi="ar-SA"/>
        </w:rPr>
        <w:t xml:space="preserve">, </w:t>
      </w:r>
      <w:hyperlink r:id="rId232" w:history="1">
        <w:r>
          <w:rPr>
            <w:rFonts w:ascii="arial" w:eastAsia="arial" w:hAnsi="arial" w:cs="arial"/>
            <w:i/>
            <w:color w:val="0077CC"/>
            <w:sz w:val="20"/>
            <w:u w:val="single"/>
            <w:shd w:val="clear" w:color="auto" w:fill="FFFFFF"/>
            <w:lang w:val="en-US" w:eastAsia="en-US" w:bidi="ar-SA"/>
          </w:rPr>
          <w:t>[1999] BCJ No 520</w:t>
        </w:r>
      </w:hyperlink>
      <w:r>
        <w:rPr>
          <w:rFonts w:ascii="arial" w:eastAsia="arial" w:hAnsi="arial" w:cs="arial"/>
          <w:color w:val="000000"/>
          <w:sz w:val="20"/>
          <w:lang w:val="en-US" w:eastAsia="en-US" w:bidi="ar-SA"/>
        </w:rPr>
        <w:t xml:space="preserve"> (QL), 1999 CarswellBC 484 (SC):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[94] The subject of "in trust" claims has been given considerable attention in recent years, including, particularly, where the services in question have been rendered within the perspective of a husband/wife relationship or by a child or relative of the family. Here, the relationship is marital and brings into consideration the usual factors of such a relationship.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[95] In my view, it is useful to review briefly the factors which are considered in the assessment of such claims. They are:</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services replace services necessary for the care of the plaintiff;</w:t>
      </w:r>
    </w:p>
    <w:p>
      <w:pPr>
        <w:numPr>
          <w:numId w:val="3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services are rendered by a family member, here the spouse, are they over and above what would be expected from the marital relationship?</w:t>
      </w:r>
    </w:p>
    <w:p>
      <w:pPr>
        <w:numPr>
          <w:numId w:val="3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quantification should reflect the true and reasonable value of the services performed taking into account the time, quality and nature of those services. In this regard, the damages should reflect the wage of a substitute caregiver. There should not be a discounting or undervaluation of such services because of the nature of the relationship;</w:t>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 longer necessary that the person providing the services has foregone other income and there need not be payment for such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The defendants point to awards under this heading in the amount of $75,000 in </w:t>
      </w:r>
      <w:r>
        <w:rPr>
          <w:rFonts w:ascii="arial" w:eastAsia="arial" w:hAnsi="arial" w:cs="arial"/>
          <w:i/>
          <w:color w:val="000000"/>
          <w:sz w:val="20"/>
          <w:lang w:val="en-US" w:eastAsia="en-US" w:bidi="ar-SA"/>
        </w:rPr>
        <w:t>Claiter v Rose et al.</w:t>
      </w:r>
      <w:r>
        <w:rPr>
          <w:rFonts w:ascii="arial" w:eastAsia="arial" w:hAnsi="arial" w:cs="arial"/>
          <w:color w:val="000000"/>
          <w:sz w:val="20"/>
          <w:lang w:val="en-US" w:eastAsia="en-US" w:bidi="ar-SA"/>
        </w:rPr>
        <w:t xml:space="preserve">, </w:t>
      </w:r>
      <w:hyperlink r:id="rId233" w:history="1">
        <w:r>
          <w:rPr>
            <w:rFonts w:ascii="arial" w:eastAsia="arial" w:hAnsi="arial" w:cs="arial"/>
            <w:i/>
            <w:color w:val="0077CC"/>
            <w:sz w:val="20"/>
            <w:u w:val="single"/>
            <w:shd w:val="clear" w:color="auto" w:fill="FFFFFF"/>
            <w:lang w:val="en-US" w:eastAsia="en-US" w:bidi="ar-SA"/>
          </w:rPr>
          <w:t>2004 BCSC 50</w:t>
        </w:r>
      </w:hyperlink>
      <w:r>
        <w:rPr>
          <w:rFonts w:ascii="arial" w:eastAsia="arial" w:hAnsi="arial" w:cs="arial"/>
          <w:color w:val="000000"/>
          <w:sz w:val="20"/>
          <w:lang w:val="en-US" w:eastAsia="en-US" w:bidi="ar-SA"/>
        </w:rPr>
        <w:t xml:space="preserve">; $100,000 in the </w:t>
      </w:r>
      <w:r>
        <w:rPr>
          <w:rFonts w:ascii="arial" w:eastAsia="arial" w:hAnsi="arial" w:cs="arial"/>
          <w:i/>
          <w:color w:val="000000"/>
          <w:sz w:val="20"/>
          <w:lang w:val="en-US" w:eastAsia="en-US" w:bidi="ar-SA"/>
        </w:rPr>
        <w:t>Yick</w:t>
      </w:r>
      <w:r>
        <w:rPr>
          <w:rFonts w:ascii="arial" w:eastAsia="arial" w:hAnsi="arial" w:cs="arial"/>
          <w:color w:val="000000"/>
          <w:sz w:val="20"/>
          <w:lang w:val="en-US" w:eastAsia="en-US" w:bidi="ar-SA"/>
        </w:rPr>
        <w:t xml:space="preserve"> case; and $150,000 in the </w:t>
      </w:r>
      <w:r>
        <w:rPr>
          <w:rFonts w:ascii="arial" w:eastAsia="arial" w:hAnsi="arial" w:cs="arial"/>
          <w:i/>
          <w:color w:val="000000"/>
          <w:sz w:val="20"/>
          <w:lang w:val="en-US" w:eastAsia="en-US" w:bidi="ar-SA"/>
        </w:rPr>
        <w:t>O'Connell</w:t>
      </w:r>
      <w:r>
        <w:rPr>
          <w:rFonts w:ascii="arial" w:eastAsia="arial" w:hAnsi="arial" w:cs="arial"/>
          <w:color w:val="000000"/>
          <w:sz w:val="20"/>
          <w:lang w:val="en-US" w:eastAsia="en-US" w:bidi="ar-SA"/>
        </w:rPr>
        <w:t xml:space="preserve"> case. They submit that the awards in </w:t>
      </w:r>
      <w:r>
        <w:rPr>
          <w:rFonts w:ascii="arial" w:eastAsia="arial" w:hAnsi="arial" w:cs="arial"/>
          <w:i/>
          <w:color w:val="000000"/>
          <w:sz w:val="20"/>
          <w:lang w:val="en-US" w:eastAsia="en-US" w:bidi="ar-SA"/>
        </w:rPr>
        <w:t>Yick</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O'Connell</w:t>
      </w:r>
      <w:r>
        <w:rPr>
          <w:rFonts w:ascii="arial" w:eastAsia="arial" w:hAnsi="arial" w:cs="arial"/>
          <w:color w:val="000000"/>
          <w:sz w:val="20"/>
          <w:lang w:val="en-US" w:eastAsia="en-US" w:bidi="ar-SA"/>
        </w:rPr>
        <w:t xml:space="preserve"> related to a significantly higher degree of care than that provided by Mr. Van to the plaintiff. They argue that much of what Mr. Van did pre-trial, and the time he spent with his wife, was only moderately different from the situation that existed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 disagree. While the type of activities Mr. Van Undertakes with his wife may appear superficially similar to their pre-accident lifestyle in terms of shopping, household chores and meal preparation, the reality is that the responsibility borne by Mr. Van has increased dramatically. In essence, he has had to bear the responsibility of ensuring that Ms. Van is properly cared for and safe throughout the day outside his working hours, and throughout the night. He has had assistance from his sons and Ms. Van's family, but the responsibility has been his. He gave up his second job because of this, and indeed took two months off work altogether while Ms. Van was in hospital, where he attended at her bedside 11 hours a day. Most of this time must, in my view, be considered over and above what should be expected from the marriage relationship, given Ms. Van's condition and Mr. Van's responsibility, upon which the success of the rehabilitation program designed by ICBC depended.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O'Connell</w:t>
      </w:r>
      <w:r>
        <w:rPr>
          <w:rFonts w:ascii="arial" w:eastAsia="arial" w:hAnsi="arial" w:cs="arial"/>
          <w:color w:val="000000"/>
          <w:sz w:val="20"/>
          <w:lang w:val="en-US" w:eastAsia="en-US" w:bidi="ar-SA"/>
        </w:rPr>
        <w:t>, the Court of Appeal dealt with the defendant's appeal from the trial judge's award under this heading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[48] As I have noted, the appellants' fundamental argument is that the in-trust award overcompensates Mr. O'Connell because the evidence does not support a finding that he spends six hours per day caring for Ms. O'Connell.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[49] This submission rests in significant part on the argument that the trial judge should have drawn an adverse inference from the absence of evidence as to the precise amount of time Mr. O'Connell spends caring for his wife that is different from the time they spent together prior to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[50] The judge found as a fact that most of the supervision, guidance and assistance Mr. O'Connell provides to his wife was "over and above what would be expected from the marriage relationship" (at para. 95). Further, the judge found, at para. 121, that "Mr. O'Connell was understated in his evidence and it was quite obvious to me that he was very reluctant to complain or admit that he was having trouble providing continuous care to his wife."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[51] It seems obvious that in the circumstances of Ms. O'Connell and her devoted husband, it is unrealistic to expect a precise calculation of the number of hours Mr. O'Connell spends each day in guiding, prompting, and providing cues to Ms. O'Connell as well as in providing actual personal care. It is clear, however, that without such assistance, Ms. O'Connell could not independently live in her home.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[52] The judge clearly had regard to all of the evidence and the relevant legal principles governing in-trust claims. Her reasoned assessment was that Mr. O'Connell provided the equivalent "of about" six hours of care on a daily basis. Having regard to Mr. O'Connell's evidence, which was unqualifiedly accepted by the judge, an award on that basis cannot be said to be inordinately high.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Here, too, it is clear to me that without Mr. Van's assistance, Ms. Van would not have been able to live independently in her home, and a good deal more care would have had to have been provided privately. As he testified, and I accept, he took on all the household chores (they were previously shared), and, simply, "took care of her". This involved helping to the bathroom, intervening in her problems with neighbours, cooking her meals, taking her shopping (for therapeutic purposes), supervising everything she does at home, being available to assist through the night, and doing all of this in context of his wife's abusive behaviour. This is impossible to quantify in terms of a specific number of care hours per day. The responsibility is unremitting. For instance, taking Ms. Van out to dinner may appear on the surface the equivalent of a pre-accident dinner date. But it is not. It requires a good deal of planning, care and attention to ensure Ms. Van's safety and well-being. Every activity is transformed by the severity of Ms. Van's 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 would assess an appropriate award under this heading at $275,000, or approximately $40,000 per year since the accident. While this is less than the cost of a care worker for six hours a day, I consider in all of the circumstances that it appropriately compensates Mr. Van for his devoted service, while remaining reasonable. It is true, as the plaintiff's proposed figure indicates, that the substitution of a 24-hour/day caregiver would have cost more than I have awarded, but that fails to take into account: that Mr. Van did not render 24-hour/day care; the time spent by Mr. Van doing household chores and housekeeping before the accident; and the time that Mr. Van could reasonably have been expected to devote to his wife by reason of the marital relationship.</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6.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defendants agree that the plaintiff has incurred compensable expenses in the amount of $59,622.50.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plaintiff claims a further amount of $15,740 incurred for physiotherapy treatments at AAA Physiotherapy between March 21, 2012 and January 10,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defendants say that there is no evidence of any doctor's recommendation that she required that much physiotherapy, although they agree that the expense was incurred.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 note that when Ms. Van was discharged from her previous physiotherapy program in 2009, the recommendation was that she continue with a gym program, to be supervised by occupational therapist. Ms. Caverly fulfilled that role, and subsequently recommended the AAA Physiotherapy treatment. I consider this to be sufficient justification, and award the physiotherapy costs in addition to the uncontested amounts, for a total award of special damages in the amount of $75,362.50.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7. Contributory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The defendants submit that Ms. Van was contributorily negligent for failing to wear her seatbelt, and assert that fault should be apportioned 80% to the defendants and 20% to the plaintiff, with her damages being reduced accordingly. This brings into play section 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(1) If by the fault of 2 or more persons damage or loss is caused to one or more of them, the liability to make good the damage or loss is in proportion to the degree in which each person was at fault. ...</w:t>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Nothing in this section operates to make a person liable for damage or loss to which the person's fault has not contributed.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The plaintiff argues that the defendants failed to meet the onus upon them to establish this defence. For the defence to succeed, I must be satisfied on a balance of probabilities not just that the plaintiff failed to wear her seatbelt, but also that her seatbelt was in good working order and that its use would have avoided or minimized the injuries she suffered: see, for instance, </w:t>
      </w:r>
      <w:r>
        <w:rPr>
          <w:rFonts w:ascii="arial" w:eastAsia="arial" w:hAnsi="arial" w:cs="arial"/>
          <w:i/>
          <w:color w:val="000000"/>
          <w:sz w:val="20"/>
          <w:lang w:val="en-US" w:eastAsia="en-US" w:bidi="ar-SA"/>
        </w:rPr>
        <w:t>Harrison v Brown</w:t>
      </w:r>
      <w:r>
        <w:rPr>
          <w:rFonts w:ascii="arial" w:eastAsia="arial" w:hAnsi="arial" w:cs="arial"/>
          <w:color w:val="000000"/>
          <w:sz w:val="20"/>
          <w:lang w:val="en-US" w:eastAsia="en-US" w:bidi="ar-SA"/>
        </w:rPr>
        <w:t xml:space="preserve">, </w:t>
      </w:r>
      <w:hyperlink r:id="rId234" w:history="1">
        <w:r>
          <w:rPr>
            <w:rFonts w:ascii="arial" w:eastAsia="arial" w:hAnsi="arial" w:cs="arial"/>
            <w:i/>
            <w:color w:val="0077CC"/>
            <w:sz w:val="20"/>
            <w:u w:val="single"/>
            <w:shd w:val="clear" w:color="auto" w:fill="FFFFFF"/>
            <w:lang w:val="en-US" w:eastAsia="en-US" w:bidi="ar-SA"/>
          </w:rPr>
          <w:t>[1987] 1 WWR 212</w:t>
        </w:r>
      </w:hyperlink>
      <w:r>
        <w:rPr>
          <w:rFonts w:ascii="arial" w:eastAsia="arial" w:hAnsi="arial" w:cs="arial"/>
          <w:color w:val="000000"/>
          <w:sz w:val="20"/>
          <w:lang w:val="en-US" w:eastAsia="en-US" w:bidi="ar-SA"/>
        </w:rPr>
        <w:t xml:space="preserve"> (BCSC), and </w:t>
      </w:r>
      <w:r>
        <w:rPr>
          <w:rFonts w:ascii="arial" w:eastAsia="arial" w:hAnsi="arial" w:cs="arial"/>
          <w:i/>
          <w:color w:val="000000"/>
          <w:sz w:val="20"/>
          <w:lang w:val="en-US" w:eastAsia="en-US" w:bidi="ar-SA"/>
        </w:rPr>
        <w:t>Ford v Henderson</w:t>
      </w:r>
      <w:r>
        <w:rPr>
          <w:rFonts w:ascii="arial" w:eastAsia="arial" w:hAnsi="arial" w:cs="arial"/>
          <w:color w:val="000000"/>
          <w:sz w:val="20"/>
          <w:lang w:val="en-US" w:eastAsia="en-US" w:bidi="ar-SA"/>
        </w:rPr>
        <w:t xml:space="preserve">, </w:t>
      </w:r>
      <w:hyperlink r:id="rId235" w:history="1">
        <w:r>
          <w:rPr>
            <w:rFonts w:ascii="arial" w:eastAsia="arial" w:hAnsi="arial" w:cs="arial"/>
            <w:i/>
            <w:color w:val="0077CC"/>
            <w:sz w:val="20"/>
            <w:u w:val="single"/>
            <w:shd w:val="clear" w:color="auto" w:fill="FFFFFF"/>
            <w:lang w:val="en-US" w:eastAsia="en-US" w:bidi="ar-SA"/>
          </w:rPr>
          <w:t>2005 BCSC 609</w:t>
        </w:r>
      </w:hyperlink>
      <w:r>
        <w:rPr>
          <w:rFonts w:ascii="arial" w:eastAsia="arial" w:hAnsi="arial" w:cs="arial"/>
          <w:color w:val="000000"/>
          <w:sz w:val="20"/>
          <w:lang w:val="en-US" w:eastAsia="en-US" w:bidi="ar-SA"/>
        </w:rPr>
        <w:t xml:space="preserve"> at para 69. There was, the plaintiff asserted, no evidence that the seatbelt was working, that Ms. Van was not wearing it, or that using it would have avoided or reduced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This raises the conundrum of Ms. Van's seatbelt. After the accident, it was found in a fastened state, and I find that it was that way when the accident occurred. But was she sitting on it, or wearing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The evidence came out in an unusual way. The onus of establishing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of course, on the defendants. It was, however, the accident reconstruction report of the plaintiff's expert, Mr. Sdoutz, that first addressed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Mr. Sdoutz's associate, Trevor Dinn, P. Eng., inspected the Infiniti driven by Mr. Van. The report does not say anything about the condition of the front passenger seatbelt, but Mr. Dinn's notes do not record any problem. In his report, Mr. Sdoutz expressed the opinion that Ms. Van had not been wearing a seatbelt at the time of collision, based principally on her ejection from the vehicle, and went on to describe the dynamics: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initial impact by the Mazda was directed predominantly into the Infiniti's left side. It, in combination with the post-impact counter-clockwise rotation, would have caused the Infiniti's right front occupant to move toward the vehicle's driver's side. However, as the Infiniti's impact severity was relatively minor due to the collision by the master, it is not expected to have caused significant displacement of the occupant within the vehicle, regardless of the use of the lap/shoulder belt.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largest impact into the Infiniti occurred when it struck the roadway after rolling onto its passenger side mid air. This is notable from the significantly greater damage to the vehicle's passenger side as compare[d] two the damage caused by the impact with the Mazda. During this passenger side to roadway impact, the Infiniti's right front occupant would have been projected into the passenger side front door and window. Due to the proximity of the passenger to the door and window, this contact would have occurred irrespective of seatbelt use. It must also be considered that the occupant's upper torso and head would also have impacted the ground as the window fractured during this impact, this impact would not have been prevented by seatbelt 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Following the impact with the roadway the Infiniti remained on its passenger side, sliding along the roadway for about 12 m, until it reached the curb at the North-west corner of the intersection. During this sliding contact the right front occupant's head and upper torso could have slid along the pavement, even if restrained by a seatbelt.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lack of seatbelt use allowed the occupant's lower body to reach the elevation of the window, so that when the Infiniti was righted back onto its wheels due to the curb contact at the north-west corner of the intersection, the occupant essentially remained on the ground. The occupant, once separate from the vehicle, then slid to her rest position on the sidewalk between the pillars. There was no physical evidence at the scene to indicate that the occupant contacted the curb or one of the pillars while sliding to 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In his evidence at trial, Mr. Sdoutz sought to temper his opinion by indicating that, in accordance with his instructions, he had not taken into account the possibility that the seat back had been reclined, and therefore had not considered whether in such circumstances the occupant could have been ejected even if wearing a seatbelt.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 found Mr. Sdoutz to be a highly credible witness, and I accept that if the back of Ms. Van's seat had been significantly reclined, it could affect the question of whether the use of a functioning seatbelt would have prevented her ejection. But given my finding, based upon the photographic evidence, that the back of Ms. Van's seat was reclined very little, if it all, I am not persuaded that there is any reason not to accept Mr. Sdoutz's original opinion, based upon the dynamics, that she was not restrained at the time of the accident. I conclude that, on a balance of probabilities, Ms. Van was not wearing her seatbelt, but had fastened it, and was sitting on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The next question is whether the seatbelt was in good working order. There is no direct evidence on this point. The defendants submit that since the plaintiff's expert inspected the seatbelt and did not report any problem with it, I should infer that it was in proper working condition; if not, I would have heard about it. The plaintiff argues that she had no obligation to adduce evidence about the condition of the seatbelt, and that the lack of positive evidence on this point is fatal to the defendant's position given the placement of the onus of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That the onus of proof is on the defendants does not mean that the defendants must lead positive evidence in order to succeed. Only if I find I am unable on the whole of the evidence to decide on a balance of probabilities whether the seatbelt was in working condition does the onus operate against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In this case, I conclude that there is sufficient circumstantial evidence in the expert opinion evidence of Mr. Sdoutz to allow me to find that the seatbelt was in working condition at the time of the accident. Mr. Sdoutz readily agreed that, without considering whether the seat back was reclined, it was his opinion that Ms. Van was not wearing her seatbelt, or she would not have left the vehicle. Given that his associate had inspected the seatbelt, the only reasonable inference, I find, is that the seatbelt must have been in working condition, or he would not have been able to form that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 final question is whether Ms. Van's injuries would have been avoided or lessened had she worn the seatbelt. On this issue, I have the benefit of the evidence of Mr. Sdoutz quoted above, and the evidence of Dr. Anton that Ms. Van's facial injuries arose from direct trauma to the face. Taking into account these opinions together with the whole of the medical evidence, I am satisfied that the injuries to Ms. Van's face, head and ribs were caused by the massive and sustained force of the impact between her side of the vehicle and the road, which the seatbelt would not have prevented. It is those injuries that have led to the losses for which Ms. Van seeks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The defendants argue that taking a "robust and pragmatic approach" to causation (see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111"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w:t>
      </w:r>
      <w:hyperlink r:id="rId111" w:history="1">
        <w:r>
          <w:rPr>
            <w:rFonts w:ascii="arial" w:eastAsia="arial" w:hAnsi="arial" w:cs="arial"/>
            <w:i/>
            <w:color w:val="0077CC"/>
            <w:sz w:val="20"/>
            <w:u w:val="single"/>
            <w:shd w:val="clear" w:color="auto" w:fill="FFFFFF"/>
            <w:lang w:val="en-US" w:eastAsia="en-US" w:bidi="ar-SA"/>
          </w:rPr>
          <w:t>[2012] 2 SCR 181</w:t>
        </w:r>
      </w:hyperlink>
      <w:r>
        <w:rPr>
          <w:rFonts w:ascii="arial" w:eastAsia="arial" w:hAnsi="arial" w:cs="arial"/>
          <w:color w:val="000000"/>
          <w:sz w:val="20"/>
          <w:lang w:val="en-US" w:eastAsia="en-US" w:bidi="ar-SA"/>
        </w:rPr>
        <w:t xml:space="preserve">), I should find that Ms. Van's failure to wear a seatbelt did at least worsen her injuries. If I do not do so, submit the defendants, it effectively prevents the defendant from ever proving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cases of this nature. I do not agree. The expertise available to the defendants to assist in investigating causation was no different from that available to the plaintiff in this or any other case of a motor vehicle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The "robust and pragmatic approach" commended by the Supreme Court of Canada in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xml:space="preserve"> is not intended to facilitate an end run around the evidence. The Supreme Court made it clear in that case that the test for causation remains a "but for" test, and I am quite unable to find on the evidence before me that but for her failure to wear a seatbelt, Ms. Van would not have suffered to the same extent or at all the injuries for which she seeks compensation. On the contrary, I find that her head, facial and rib injuries, and all of their consequences that are relevant to this enquiry, would have occurred in any event due to the unusual mechanics of this accident. Like the situation considered by the Court of Appeal in </w:t>
      </w:r>
      <w:r>
        <w:rPr>
          <w:rFonts w:ascii="arial" w:eastAsia="arial" w:hAnsi="arial" w:cs="arial"/>
          <w:i/>
          <w:color w:val="000000"/>
          <w:sz w:val="20"/>
          <w:lang w:val="en-US" w:eastAsia="en-US" w:bidi="ar-SA"/>
        </w:rPr>
        <w:t>Schenker v Scott</w:t>
      </w:r>
      <w:r>
        <w:rPr>
          <w:rFonts w:ascii="arial" w:eastAsia="arial" w:hAnsi="arial" w:cs="arial"/>
          <w:color w:val="000000"/>
          <w:sz w:val="20"/>
          <w:lang w:val="en-US" w:eastAsia="en-US" w:bidi="ar-SA"/>
        </w:rPr>
        <w:t xml:space="preserve">, </w:t>
      </w:r>
      <w:hyperlink r:id="rId236" w:history="1">
        <w:r>
          <w:rPr>
            <w:rFonts w:ascii="arial" w:eastAsia="arial" w:hAnsi="arial" w:cs="arial"/>
            <w:i/>
            <w:color w:val="0077CC"/>
            <w:sz w:val="20"/>
            <w:u w:val="single"/>
            <w:shd w:val="clear" w:color="auto" w:fill="FFFFFF"/>
            <w:lang w:val="en-US" w:eastAsia="en-US" w:bidi="ar-SA"/>
          </w:rPr>
          <w:t>2014 BCCA 203</w:t>
        </w:r>
      </w:hyperlink>
      <w:r>
        <w:rPr>
          <w:rFonts w:ascii="arial" w:eastAsia="arial" w:hAnsi="arial" w:cs="arial"/>
          <w:color w:val="000000"/>
          <w:sz w:val="20"/>
          <w:lang w:val="en-US" w:eastAsia="en-US" w:bidi="ar-SA"/>
        </w:rPr>
        <w:t>, "[g]iven the mechanics of this accident and the nature of the injuries suffered, this is not a case where a seatbelt defence could be made out by relying on common sense inferences" (para 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I should add in this regard that I found the expert opinion evidence of Jonathan P. Gough, P. Eng., called by the defendants, to be unpersuasive. Mr. Gough reported, based on a search of the literature, that ejection from a vehicle involved in a rollover is associated with much higher injury exposure than is the case with persons who are not ejected. That might be the case in general terms, but it was not helpful in understanding what happened here given the accident's unique mechanics. As Mr. Justice Finch (as he then was) stated in </w:t>
      </w:r>
      <w:r>
        <w:rPr>
          <w:rFonts w:ascii="arial" w:eastAsia="arial" w:hAnsi="arial" w:cs="arial"/>
          <w:i/>
          <w:color w:val="000000"/>
          <w:sz w:val="20"/>
          <w:lang w:val="en-US" w:eastAsia="en-US" w:bidi="ar-SA"/>
        </w:rPr>
        <w:t>Harrison</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The statistical effectiveness of seat belts has not, however, in my view eliminated, or altered, the onus of proof in individual cases. The onus remains on the defendant to show upon a balance of probability that the use of a functioning seatbelt would have avoided, or minimized, the injuries which were in fact suffered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 prefer the opinion of Mr. Sdoutz, because it addressed the specifics of this case, was logical and fit with the medical evidence. Moreover, under cross-examination on his report, he answered questions in a straightforward manner that was not in the least defensive.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I conclude that while the defendants have satisfied me that Ms. Van failed to wear a functioning seatbelt, they have failed to establish on a balance of probabilities that but for that failure, her injuries would have been avoided or lessened. This brings into play section 1(3)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which provides that a person is not to be made liable for damage or loss to which her fault has not contributed. That is the situation here. Accordingly, the defence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defendants are 100% liable for the injuries Ms. Van sustained in the motor vehicle accident of July 18,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 assess Ms. Van's damages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750"/>
        <w:gridCol w:w="366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u w:val="single"/>
                <w:lang w:val="en-US" w:eastAsia="en-US" w:bidi="ar-SA"/>
              </w:rPr>
              <w:t>Description</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u w:val="single"/>
                <w:lang w:val="en-US" w:eastAsia="en-US" w:bidi="ar-SA"/>
              </w:rPr>
              <w:t>Amount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$351,000.00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Gross past loss of income (to be adjusted</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$340,711.42</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downwards for income tax and Employment</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insurance deductions):</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Future loss of income:</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$635,000.00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Future care costs:</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$2,351,353.73</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housekeeping capacity:</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$82,681.00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 trust claim for Mr. Van:</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$275,000.00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63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$75,362.50</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Counsel are to calculate the appropriate net figure for the past loss of income based on my findings and Mr. Carson's report (Exhibit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xml:space="preserve">  There remain a number of matters for consideration: the plaintiff's claims for a tax gross-up on the future care award and for financial management assistance; the defendant's position that an order should be made for periodic payments pursuant to section 99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the impact of s. 83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and costs. The parties are at liberty to apply concerning these issues and with respect to any calculation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J.C. GRAUER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0" style="position:absolute;z-index:2517708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37"/>
          <w:headerReference w:type="default" r:id="rId238"/>
          <w:footerReference w:type="even" r:id="rId239"/>
          <w:footerReference w:type="default" r:id="rId240"/>
          <w:headerReference w:type="first" r:id="rId241"/>
          <w:footerReference w:type="first" r:id="rId24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43" w:history="1">
        <w:r>
          <w:rPr>
            <w:rFonts w:ascii="arial" w:eastAsia="arial" w:hAnsi="arial" w:cs="arial"/>
            <w:b/>
            <w:bCs/>
            <w:i/>
            <w:color w:val="0077CC"/>
            <w:kern w:val="32"/>
            <w:sz w:val="28"/>
            <w:szCs w:val="32"/>
            <w:u w:val="single"/>
            <w:shd w:val="clear" w:color="auto" w:fill="FFFFFF"/>
            <w:lang w:val="en-US" w:eastAsia="en-US" w:bidi="ar-SA"/>
          </w:rPr>
          <w:t>Wong v. Campbell, [2020] B.C.J. No. 286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P.W. Walker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9-13, 16, 19-20,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25, 2020.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M168059, M174274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[2020] B.C.J. No. 286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2020 BCSC 243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Parker Wong, Plaintiff, and Lauren Marie Campbell, Defendant And between Parker Wong, Plaintiff, and Derek Harrison,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(189 paras.)</w:t>
      </w:r>
    </w:p>
    <w:p>
      <w:pPr>
        <w:jc w:val="both"/>
        <w:rPr>
          <w:rFonts w:ascii="arial" w:eastAsia="arial" w:hAnsi="arial" w:cs="arial"/>
          <w:sz w:val="20"/>
          <w:lang w:val="en-US" w:eastAsia="en-US" w:bidi="ar-SA"/>
        </w:rPr>
      </w:pPr>
      <w:bookmarkStart w:id="65" w:name="Counsel_10"/>
      <w:bookmarkEnd w:id="6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1" style="position:absolute;z-index:251669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J.M. Rice, J.R. Kendall.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R.B. Pearce, A.K. Sandhu.</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6" w:name="Judgment_10"/>
      <w:bookmarkEnd w:id="66"/>
      <w:r>
        <w:pict>
          <v:line id="_x0000_s1062" style="position:absolute;z-index:25172070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2011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2013 SNOWBOARDING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2014 SINGLE VEHICLE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2016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PHYSIATRISTS'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Areas of Agreement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Areas of Disagreement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Low Back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 OF FINDINGS OF INJURIES SUSTAINED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CURRENT STATUS AND 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IMPACT ON MR. WONG'S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NON 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7" w:name="P.W. WALKER J."/>
            <w:bookmarkEnd w:id="67"/>
            <w:r>
              <w:rPr>
                <w:rFonts w:ascii="arial" w:eastAsia="arial" w:hAnsi="arial" w:cs="arial"/>
                <w:b/>
                <w:color w:val="000000"/>
                <w:sz w:val="30"/>
                <w:lang w:val="en-US" w:eastAsia="en-US" w:bidi="ar-SA"/>
              </w:rPr>
              <w:t>P.W. WALKER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Parker Wong, is 22 years old. He seeks damages for injuries he suffered in two motor vehicle accidents which occurred in 2011 and 2016. The separate actions brought for each accident are being tried together by consent. Liability is admitted for both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Those two accidents bookend two others in which Mr. Wong was also injured. The first was a snowboarding accident in 2013; the other a single vehicle accident in 2014 in which Mr. Wong was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four accidents are well-summarized in Mr. Wong's closing written submissions:</w:t>
      </w:r>
      <w:r>
        <w:rPr>
          <w:rFonts w:ascii="arial" w:eastAsia="arial" w:hAnsi="arial" w:cs="arial"/>
          <w:sz w:val="20"/>
          <w:lang w:val="en-US" w:eastAsia="en-US" w:bidi="ar-SA"/>
        </w:rPr>
        <w:cr/>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Four events feature prominently in this case:</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May 24, 2011 motor vehicle collision</w:t>
      </w:r>
      <w:r>
        <w:rPr>
          <w:rFonts w:ascii="arial" w:eastAsia="arial" w:hAnsi="arial" w:cs="arial"/>
          <w:color w:val="000000"/>
          <w:sz w:val="20"/>
          <w:lang w:val="en-US" w:eastAsia="en-US" w:bidi="ar-SA"/>
        </w:rPr>
        <w:t xml:space="preserve"> on Lincoln Ave. in Coquitlam, BC in which Parker was a belted front seat passenger in a Mercedes being driven by his Grandfather Victor Nenka which collided with the Defendant Lauren Marie Campbell's vehicle (the "2011 Collision");</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A snowboarding accident on April 27, 2013</w:t>
      </w:r>
      <w:r>
        <w:rPr>
          <w:rFonts w:ascii="arial" w:eastAsia="arial" w:hAnsi="arial" w:cs="arial"/>
          <w:color w:val="000000"/>
          <w:sz w:val="20"/>
          <w:lang w:val="en-US" w:eastAsia="en-US" w:bidi="ar-SA"/>
        </w:rPr>
        <w:t xml:space="preserve"> on Whistler Mountain wherein the Plaintiff missed a turn, slid down a 50-70 foot embankment and struck a tree, after which he was transported down the mountain by Ski Patrol to the Whistler Clinic and then, owing to blood in his urine, taken by Air Ambulance to BC Children's Hospital (the "2013 Snowboarding Accident");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December 4, 2014 single vehicle collision</w:t>
      </w:r>
      <w:r>
        <w:rPr>
          <w:rFonts w:ascii="arial" w:eastAsia="arial" w:hAnsi="arial" w:cs="arial"/>
          <w:color w:val="000000"/>
          <w:sz w:val="20"/>
          <w:lang w:val="en-US" w:eastAsia="en-US" w:bidi="ar-SA"/>
        </w:rPr>
        <w:t xml:space="preserve"> in which Parker was driving his parents' Honda Accord when he lost control on black ice and crashed into a tree and telephone pole, causing the airbags to deploy (the "2014 Single Vehicle Collision"); and</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May 20, 2016 motor vehicle collision</w:t>
      </w:r>
      <w:r>
        <w:rPr>
          <w:rFonts w:ascii="arial" w:eastAsia="arial" w:hAnsi="arial" w:cs="arial"/>
          <w:color w:val="000000"/>
          <w:sz w:val="20"/>
          <w:lang w:val="en-US" w:eastAsia="en-US" w:bidi="ar-SA"/>
        </w:rPr>
        <w:t xml:space="preserve"> in the parking lot of Seven Oaks Shopping Centre in Abbotsford, where the Defendant Derek Harrison reversed his vehicle into a Mitsubishi being driven by Parker's mother Tamara Wong (the "2016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 will use the same definitions for each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Wong was wearing a seat belt during all three motor vehicle accidents. The defendants do not allege a 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Wong seeks an award for non-pecuniary damages, together with an award for cost of future care and lost earning capacity. He does not assert a claim for past wage loss. His claim for special damages was settled by the parties in the amount of $2,200.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Wong suffers from chronic pain due to the soft tissue neck and back injuries he sustained in the 2011 Collision and 2016 Collision. Since the 2011 Collision, he also suffers from ongoing persistent headaches of varying intensity and duration multiple times per week. Mr. Wong currently experiences intense headaches once per week on average. His headaches are not only distracting, they affect his concentration, function, mood, and sleep. At times, he suffers from dizziness, usually associated with his headaches. His headaches can also affect his vision, such that his surroundings appear, he said, "to go a little dark".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He has recovered much but not all of his physical function. Mr. Wong's ongoing headaches are now his most significant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medical experts (both physiatrists) who testified for Mr. Wong (Dr. Lisa Caillier) and the defendants (Dr. William Craig) agree Mr. Wong currently suffers from chronic pain due to his headaches and ongoing neck and back symptoms and that further steps can be taken to help him manage his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However, they disagree on the cause of Mr. Wong's low back symptoms, whether Botox injections are an appropriate treatment to manage Mr. Wong's headaches, and whether any of his chronic pain symptoms can be resolved altogether with treatment. Overall, though, their main disagreements concern whether Mr. Wong suffered a low back injury in the 2011 Collision or whether it was caused by the 2013 Snowboarding Accident (or alternatively, if it was caused by the former, the extent to which the latter aggravated that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parties are remarkably close in their positions concerning the dollar amount of the award for non-pecuniary damages in spite of the defendants' position that Mr. Wong's injuries suffered in the 2011 Collision and 2016 Collision currently pose minimal interference with his daily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Before turning to my findings of fact concerning each accident and the injuries Mr. Wong suffered in each, I wish to comment on the nature of his evidence since the credibility and reliability of his evidence bears on the opinions expressed by the physiatrists and my assessment of an appropriate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Wong presented as a forthright, understated, candid, and appropriately consistent witness who strove to present an accurate account of each accident and his injuries and symptoms without any hint of embellishment. The defendants acknowledged as much in their closing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Wong acknowledged when he lacked recollection without hesitation. I found him to be a highly credible, reliable, and understated witness in all respects. Mr. Wong is, without doubt, highly motivated to do as much as he can in all aspects of his life in spite of his symptoms. I am satisfied and find that prior to the 2011 Collision, and with the exception of asthma, Mr. Wong was a healthy, happy, physically active young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244"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Madam Justice Dillon aptly summarized the approach taken to assessing the credibility and reliability of a witness's testimony: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[186] Credibility involves an assessment of the trustworthiness of a witness' testimony based upon the veracity or sincerity of a witness and the accuracy of the evidence that the witness provides (</w:t>
      </w:r>
      <w:r>
        <w:rPr>
          <w:rFonts w:ascii="arial" w:eastAsia="arial" w:hAnsi="arial" w:cs="arial"/>
          <w:i/>
          <w:color w:val="000000"/>
          <w:sz w:val="20"/>
          <w:lang w:val="en-US" w:eastAsia="en-US" w:bidi="ar-SA"/>
        </w:rPr>
        <w:t>Raymond v. Bosanquet (Township)</w:t>
      </w:r>
      <w:r>
        <w:rPr>
          <w:rFonts w:ascii="arial" w:eastAsia="arial" w:hAnsi="arial" w:cs="arial"/>
          <w:color w:val="000000"/>
          <w:sz w:val="20"/>
          <w:lang w:val="en-US" w:eastAsia="en-US" w:bidi="ar-SA"/>
        </w:rPr>
        <w:t xml:space="preserve"> </w:t>
      </w:r>
      <w:hyperlink r:id="rId245" w:history="1">
        <w:r>
          <w:rPr>
            <w:rFonts w:ascii="arial" w:eastAsia="arial" w:hAnsi="arial" w:cs="arial"/>
            <w:i/>
            <w:color w:val="0077CC"/>
            <w:sz w:val="20"/>
            <w:u w:val="single"/>
            <w:shd w:val="clear" w:color="auto" w:fill="FFFFFF"/>
            <w:lang w:val="en-US" w:eastAsia="en-US" w:bidi="ar-SA"/>
          </w:rPr>
          <w:t>(1919), 59 S.C.R. 452</w:t>
        </w:r>
      </w:hyperlink>
      <w:r>
        <w:rPr>
          <w:rFonts w:ascii="arial" w:eastAsia="arial" w:hAnsi="arial" w:cs="arial"/>
          <w:color w:val="000000"/>
          <w:sz w:val="20"/>
          <w:lang w:val="en-US" w:eastAsia="en-US" w:bidi="ar-SA"/>
        </w:rPr>
        <w:t xml:space="preserve">, </w:t>
      </w:r>
      <w:hyperlink r:id="rId246" w:history="1">
        <w:r>
          <w:rPr>
            <w:rFonts w:ascii="arial" w:eastAsia="arial" w:hAnsi="arial" w:cs="arial"/>
            <w:i/>
            <w:color w:val="0077CC"/>
            <w:sz w:val="20"/>
            <w:u w:val="single"/>
            <w:shd w:val="clear" w:color="auto" w:fill="FFFFFF"/>
            <w:lang w:val="en-US" w:eastAsia="en-US" w:bidi="ar-SA"/>
          </w:rPr>
          <w:t>50 D.L.R. 560</w:t>
        </w:r>
      </w:hyperlink>
      <w:r>
        <w:rPr>
          <w:rFonts w:ascii="arial" w:eastAsia="arial" w:hAnsi="arial" w:cs="arial"/>
          <w:color w:val="000000"/>
          <w:sz w:val="20"/>
          <w:lang w:val="en-US" w:eastAsia="en-US" w:bidi="ar-SA"/>
        </w:rPr>
        <w:t xml:space="preserve"> (S.C.C.)). The art of assessment involves examination of various factors such as the ability and opportunity to observe events, the firmness of his memory, the ability to resist the influence of interest to modify his recollection, whether the witness' evidence harmonizes with independent evidence that has been accepted, whether the witness changes his testimony during direct and cross-examination, whether the witness' testimony seems unreasonable, impossible, or unlikely, whether a witness has a motive to lie, and the demeanour of a witness generally (</w:t>
      </w:r>
      <w:r>
        <w:rPr>
          <w:rFonts w:ascii="arial" w:eastAsia="arial" w:hAnsi="arial" w:cs="arial"/>
          <w:i/>
          <w:color w:val="000000"/>
          <w:sz w:val="20"/>
          <w:lang w:val="en-US" w:eastAsia="en-US" w:bidi="ar-SA"/>
        </w:rPr>
        <w:t>Wallace v. Davis</w:t>
      </w:r>
      <w:r>
        <w:rPr>
          <w:rFonts w:ascii="arial" w:eastAsia="arial" w:hAnsi="arial" w:cs="arial"/>
          <w:color w:val="000000"/>
          <w:sz w:val="20"/>
          <w:lang w:val="en-US" w:eastAsia="en-US" w:bidi="ar-SA"/>
        </w:rPr>
        <w:t xml:space="preserve">, </w:t>
      </w:r>
      <w:hyperlink r:id="rId247" w:history="1">
        <w:r>
          <w:rPr>
            <w:rFonts w:ascii="arial" w:eastAsia="arial" w:hAnsi="arial" w:cs="arial"/>
            <w:i/>
            <w:color w:val="0077CC"/>
            <w:sz w:val="20"/>
            <w:u w:val="single"/>
            <w:shd w:val="clear" w:color="auto" w:fill="FFFFFF"/>
            <w:lang w:val="en-US" w:eastAsia="en-US" w:bidi="ar-SA"/>
          </w:rPr>
          <w:t>(1926) 31 O.W.N. 202</w:t>
        </w:r>
      </w:hyperlink>
      <w:r>
        <w:rPr>
          <w:rFonts w:ascii="arial" w:eastAsia="arial" w:hAnsi="arial" w:cs="arial"/>
          <w:color w:val="000000"/>
          <w:sz w:val="20"/>
          <w:lang w:val="en-US" w:eastAsia="en-US" w:bidi="ar-SA"/>
        </w:rPr>
        <w:t xml:space="preserve"> (Ont.H.C.); </w:t>
      </w:r>
      <w:r>
        <w:rPr>
          <w:rFonts w:ascii="arial" w:eastAsia="arial" w:hAnsi="arial" w:cs="arial"/>
          <w:i/>
          <w:color w:val="000000"/>
          <w:sz w:val="20"/>
          <w:lang w:val="en-US" w:eastAsia="en-US" w:bidi="ar-SA"/>
        </w:rPr>
        <w:t>Farnya v. Chorny</w:t>
      </w:r>
      <w:r>
        <w:rPr>
          <w:rFonts w:ascii="arial" w:eastAsia="arial" w:hAnsi="arial" w:cs="arial"/>
          <w:color w:val="000000"/>
          <w:sz w:val="20"/>
          <w:lang w:val="en-US" w:eastAsia="en-US" w:bidi="ar-SA"/>
        </w:rPr>
        <w:t xml:space="preserve">, </w:t>
      </w:r>
      <w:hyperlink r:id="rId248"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Farnya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S.(R.D.)</w:t>
      </w:r>
      <w:r>
        <w:rPr>
          <w:rFonts w:ascii="arial" w:eastAsia="arial" w:hAnsi="arial" w:cs="arial"/>
          <w:color w:val="000000"/>
          <w:sz w:val="20"/>
          <w:lang w:val="en-US" w:eastAsia="en-US" w:bidi="ar-SA"/>
        </w:rPr>
        <w:t xml:space="preserve">, </w:t>
      </w:r>
      <w:hyperlink r:id="rId249" w:history="1">
        <w:r>
          <w:rPr>
            <w:rFonts w:ascii="arial" w:eastAsia="arial" w:hAnsi="arial" w:cs="arial"/>
            <w:i/>
            <w:color w:val="0077CC"/>
            <w:sz w:val="20"/>
            <w:u w:val="single"/>
            <w:shd w:val="clear" w:color="auto" w:fill="FFFFFF"/>
            <w:lang w:val="en-US" w:eastAsia="en-US" w:bidi="ar-SA"/>
          </w:rPr>
          <w:t>[1997] 3 S.C.R. 484</w:t>
        </w:r>
      </w:hyperlink>
      <w:r>
        <w:rPr>
          <w:rFonts w:ascii="arial" w:eastAsia="arial" w:hAnsi="arial" w:cs="arial"/>
          <w:color w:val="000000"/>
          <w:sz w:val="20"/>
          <w:lang w:val="en-US" w:eastAsia="en-US" w:bidi="ar-SA"/>
        </w:rPr>
        <w:t xml:space="preserve"> at para.128 (S.C.C.)). Ultimately, the validity of the evidence depends on whether the evidence is consistent with the probabilities affecting the case as a whole and shown to be in existence at the time (</w:t>
      </w:r>
      <w:r>
        <w:rPr>
          <w:rFonts w:ascii="arial" w:eastAsia="arial" w:hAnsi="arial" w:cs="arial"/>
          <w:i/>
          <w:color w:val="000000"/>
          <w:sz w:val="20"/>
          <w:lang w:val="en-US" w:eastAsia="en-US" w:bidi="ar-SA"/>
        </w:rPr>
        <w:t>Farnya</w:t>
      </w:r>
      <w:r>
        <w:rPr>
          <w:rFonts w:ascii="arial" w:eastAsia="arial" w:hAnsi="arial" w:cs="arial"/>
          <w:color w:val="000000"/>
          <w:sz w:val="20"/>
          <w:lang w:val="en-US" w:eastAsia="en-US" w:bidi="ar-SA"/>
        </w:rPr>
        <w:t xml:space="preserve"> at para. 356).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Borrowing in part from the language in </w:t>
      </w:r>
      <w:r>
        <w:rPr>
          <w:rFonts w:ascii="arial" w:eastAsia="arial" w:hAnsi="arial" w:cs="arial"/>
          <w:i/>
          <w:color w:val="000000"/>
          <w:sz w:val="20"/>
          <w:lang w:val="en-US" w:eastAsia="en-US" w:bidi="ar-SA"/>
        </w:rPr>
        <w:t>Bradshaw</w:t>
      </w:r>
      <w:r>
        <w:rPr>
          <w:rFonts w:ascii="arial" w:eastAsia="arial" w:hAnsi="arial" w:cs="arial"/>
          <w:color w:val="000000"/>
          <w:sz w:val="20"/>
          <w:lang w:val="en-US" w:eastAsia="en-US" w:bidi="ar-SA"/>
        </w:rPr>
        <w:t>, I found Mr. Wong's evidence "consistent with the probabilities affecting the case as a whole and shown to be in existence at the time." I have no hesitation or concerns in accepting the trustworthiness and reliability of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2011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2011 Collision occurred on May 24, 2011 when Mr. Wong was 13 years old. He was riding as a passenger in a vehicle owned and driven by his grandfather, Viktor Nenka. As they were heading towards Mr. Wong's family home, the defendant, Lauren Campbell, suddenly and without any warning, reversed out of her driveway and struck the front passenger side corner of Mr. Nenka's vehicle. Mr. Nenka had no opportunity to react to avoid the collision. The force of the collision caused Mr. Nenka's vehicle to shift to the left into the middle of the road, effectively blocking traffic. I accept Mr. Nenka's description of the force of the impact as akin to hitting a brick wall. Dust and debris released into his vehicle upon impact. Photographs of the vehicle show significant body damage to its right front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Wong was shaken up from the impact, and felt anxious and scared. He was alarmed by the significant amount of dust coming inside the vehicle from its air vents. He was so shaken up that for some time after the accident, he was scared to ride in a motor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Wong was unable to open the passenger door and was helped out of the vehicle by his grandfather from the other side. Mr. Wong was examined by ambulance paramedics but not taken to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Wong lacks a precise recall of his symptoms immediately post impact due to his age at that time as well as the passage of time. He remembers stiffness in his neck, which increased as the hours passed. He suffered from pain in his head, which he described as feeling like a headache in the area of his frontal lobe, something he never experienced before. He also suffered pain in his chest area where he wore his seat belt.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Wong's symptoms persisted at roughly the same level of intensity for approximately a week, at which time they began to vary, either day by day or week by week. The intensity of his headache pain varied from mild to intense. When the headache pain was intense, it was so overwhelming that he had difficulty concentrating and carrying out many if not all of his activities during the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Wong was taken by his mother to see Dr. B.K. Lim, his family doctor, shortly after the collision. Dr. Lim did not prescribe any pain medication or recommend treatment. He strongly encouraged Mr. Wong to be as physically active as possible and to push through his pain. Mr. Wong accepted and followed that advice. Over time, Mr. Wong tried to minimize his use of over-the-counter pain aids and instead attempted to stretch and be as active as much as possible to relieve stiffness and soreness.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Wong began to experience low back pain, but not immediately after the 2011 Collision occurred. He candidly acknowledged he cannot recall how long after the collision he noticed it. He also confirmed it was the least troubling of his symptoms. His mother, Tamara Wong, who has worked at St. Paul's Hospital for 30 years in an administrative capacity, testified she put medicated "stinky strips" for pain (which she said are similar to Salonpas strips for pain) on her son's back after the 2011 Collision to help with his back pain. In her evidence, which I accept, she testified that her son complained of back pain. She placed four inch strips onto the middle of and down her son's back and also on his neck. She did not, however, specifically identify whether they were intended, in part, to help with low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Wong continued to suffer neck and back pain and headaches of varying degrees of intensity until the 2013 Snowboarding Accident. On some days, he was symptomatic in all three areas, and in others, only one or two. He candidly stated that the frequency and severity of all of his symptoms improved prior to the 2013 Snowboarding Accident. That said, Mr. Wong cannot recall a single day where he was pain free.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Tamara Wong also confirmed that her son's neck and back pain symptoms had improved by the time the 2013 Snowboarding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Wong also mentioned suffering from abdominal pain from time to time following the 2011 Collision and said it would occur without any triggering event (although he noticed it more when engaging in certain activities such as running and fitness testing at his school, the Pacific Academy, which is a private school). He described feeling tightness and a jabbing pain, which hampered his willingness to participate in certain physical activities while attending Pacific Academy. These symptoms did not disappear prior to the 2013 Snowboarding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Wong was finishing grade 8 at Pacific Academy when the 2011 Collision occurred. He had numerous varied interests, including, bowling, performing volunteer work with his church, and taekwondo. He was a keen bowler since age 8, after his mother suggested he participate in a local bowling club. Despite a mediocre start, he quickly became proficient and began competing in tournaments. He had been competitively bowling with considerable success at the time the 2011 Collision occurred, spending up to eight hours per week in league games and tournaments.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He did not miss school following the 2011 Collision and went on to graduate from Pacific Academy, before starting grade 9 in the fall term at BC Christian Academy. He did miss a special 14th birthday party his parents had arranged with local firefighters, when the fire department suggested that he postpone it due to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As Mr. Wong's neck and back symptoms improved, his headaches became his primary issue. Then, as now, they came on without warning, mostly either in the morning or middle of the day. Likewise, then, as now, when severe, his headaches adversely affected his concentration and impacted his ability to carry out his activities during the day, including his physical activities, and at times, to the point of not feeling like doing anything. They continue to affect his sleep (he finds it more difficult to fall and stay asleep) as well as his mood (he becomes withdrawn and irritable). Mr. Wong finds some relief with Advil or Tylenol. He always has a supply of those over-the-counter pain medications with him when bowling or participating in other physical activates. Mr. Wong also believes that his headaches affected his performance at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2013 Snowboarding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2013 Snowboarding Accident occurred when Mr. Wong missed a turn while snowboarding at Whistler, and ended up over an embankment. He fell to the ground, and then slid 50 to 70 feet until he came to a stop after hitting the base of a tree with his left side (above his hip). He felt pain in his left flank area and was taken to the local medical clinic by members of the ski patrol. Following an assessment, where blood was found in his urine, Mr. Wong was taken by air ambulance to BC Children's Hospital in Vancouver. He suffered a lacerated kidney (with a large blood clot formed around it) and bruising to his left side. He also suffered pain and a soft tissue injury to his left leg. Mr. Wong remained in the hospital for six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Of the four accidents he was involved in, Mr. Wong confirmed the 2013 Snowboarding Accident was the most forceful in terms of impact. Leaving aside his low back issues (which I discuss in a separate section), remarkably, Mr. Wong did not suffer any new neck or back injuries, although he confirmed recalling discomfort and pain for a time when walking or changing positions in bed, and acknowledged that he may have suffered a flare-up of his back pain. He missed two days of school after his release from the hospital and also took up to two weeks off from competitive bowling.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None of the injuries he suffered in the 2013 Snowboarding Accident caused ongoing issues for him. His kidney and left flank soft tissue injuries healed quickly and without incident. He was substantially recovered after approximately two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2014 Single Vehicle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2014 Single Vehicle Collision occurred on December 4, 2014. Mr. Wong lost control of his vehicle on a wet and icy road as he was driving home from school, and hit a nearby tree and lamppost. The vehicle's airbags deployed. He suffered a mild degree of shock and confusion, and suffered from temporary ringing in his ears. He was assessed by ambulance paramedics who suggested he be further examined at the hospital. His mother arrived at the scene, found her son to be "a bit off" in terms of his coherence, and took him to the nearby Eagle Ridge Hospital. The assessment, conducted in the Emergency Department, was negative and Mr. Wong was discharged. He was also screened for alcohol and drugs while at Eagle Ridge Hospital with negative results.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Wong experienced some brief generalized stiffness that did not impact his activities or school work. He did not suffer any new or lingering injuries from this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Dr. Caillier's opinion is the 2014 Single Vehicle Collision caused a "temporary increase in [Mr. Wong's] neck symptoms"; otherwise, she said, that collision "has not had a significant impact upon his already present symptoms associated" with the 2011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2016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2016 Collision occurred on May 26, 2016. Mr. Wong was a passenger in the front seat of his mother's SUV. While they were stopped in a mall parking lot, the driver of the vehicle in front of them, suddenly and without warning, put his car into reverse and backed directly into the SUV. According to Mr. Wong's mother, whose evidence I accept, it was a hard impact even though the at-fault driver was not travelling at a great rate of speed. Mr. Wong testified that of the four accidents, the impact involved in this collision was the least forceful.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Wong recalls feeling discomfort and tenderness in his neck shortly after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injuries caused by the 2016 Collision are summarized in Dr. Caillier's second medical legal report dated April 23, 2019 ("April 2019 Report"):</w:t>
      </w:r>
      <w:r>
        <w:rPr>
          <w:rFonts w:ascii="arial" w:eastAsia="arial" w:hAnsi="arial" w:cs="arial"/>
          <w:sz w:val="20"/>
          <w:lang w:val="en-US" w:eastAsia="en-US" w:bidi="ar-SA"/>
        </w:rPr>
        <w:cr/>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Aggravation of pre-existing chronic pain involving his neck and upper through to lower back regions.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Aggravation of post-traumatic headaches.</w:t>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Difficulties with sleep.</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Difficulties with activities that he engages in recreationally including that of competitive bowling as well as his post-secondary education secondary to increased pain and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Prior to the 2016 Collision, and except for his headaches, the frequency and intensity of Mr. Wong's symptoms from the 2011 Collision continued to improve. Mr. Wong learned to make adjustments to accommodate discomfort or pain in his neck and back. His activities were not impaired unless pain or stiffness was particularly bad.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According to Dr. Caillier, Mr. Wong would have likely continued to experience intermittent pain involving his neck and back (caused by the 2011 Collision) in the absence of the 2016 Collision. In her opinion, the 2016 Collision aggravated Mr. Wong's pre-existing chronic pain condition involving his neck and upper through to lower back regions.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her first medical legal report dated December 22, 2016 ("December 2016 Report"), Dr. Caillier said Mr. Wong's chronic pain and headache symptoms had not returned to his pre-2016 Collision level. She remarked on continued improvement in her April 2019 Report, but again noted they had not returned to as they were prior to the 2016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However, as a result of his recent work with a personal trainer starting in June 2019 (one of Dr. Caillier's recommendations), Mr. Wong has achieved significant improvement in his neck and back symptoms and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Physiatrists'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Areas of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Dr. Caillier and Dr. Craig agree on the following:</w:t>
      </w:r>
      <w:r>
        <w:rPr>
          <w:rFonts w:ascii="arial" w:eastAsia="arial" w:hAnsi="arial" w:cs="arial"/>
          <w:sz w:val="20"/>
          <w:lang w:val="en-US" w:eastAsia="en-US" w:bidi="ar-SA"/>
        </w:rPr>
        <w:cr/>
      </w:r>
    </w:p>
    <w:p>
      <w:pPr>
        <w:numPr>
          <w:numId w:val="1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2011 Collision caused headaches and soft tissue injuries to Mr. Wong's neck, upper back, posterior shoulder, and chest.</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2013 Snowboarding Accident caused renal and abdominal injuries.</w:t>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2013 Snowboarding Accident did not aggravate Mr. Wong's neck injury caused by the 2011 Collision and did not cause a new injury to Mr. Wong's cervical spine.</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Wong fully recovered from his renal and related abdominal injury prior to the 2014 Single Vehicle Collision and the 2016 Collision.</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Wong suffered an exacerbation of his neck, shoulder, and low back injuries in the 2016 Collision.</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Wong is at risk of aggravation of his current symptoms if he is involved in a work, recreational, or motor vehicle accident. He is also at risk for re-injury and for more complicated and protracted recovery with subsequent injury and trauma.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terms of admissions favourable to Mr. Wong's case, Dr. Craig admitted in cross-examination:</w:t>
      </w:r>
      <w:r>
        <w:rPr>
          <w:rFonts w:ascii="arial" w:eastAsia="arial" w:hAnsi="arial" w:cs="arial"/>
          <w:sz w:val="20"/>
          <w:lang w:val="en-US" w:eastAsia="en-US" w:bidi="ar-SA"/>
        </w:rPr>
        <w:cr/>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Wong should be commended for pursuing his education and activities (including sports) given that he has suffered from chronic pain for almost nine years.</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Wong's mood has suffered since the 2011 Collision, especially due to his intense headaches, causing him to withdraw from social interactions and activities and making him irritable. If Mr. Wong has suffered adverse impact to sleep for the past eight years (which I find he has as well), these are negative prognostic factors for further recovery.</w:t>
      </w:r>
    </w:p>
    <w:p>
      <w:pPr>
        <w:numPr>
          <w:numId w:val="2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Mr. Wong's pain affects his ability to focus, concentrate, sit, and stand (which I also find), then over the course of his working life of 40 to 50 years, his injuries would prevent him from engaging in more physically demanding employment.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Areas of Disagreement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As previously noted, the key areas of disagreement between the physiatrists concern the cause of Mr. Wong's low back pain, whether Botox injections are an appropriate treatment protocol for his headaches, and the extent to which Mr. Wong's ongoing symptoms are capable of complete resolution.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terms of low back injury, in Dr. Cailler's opinion the 2011 Collision caused a low back injury. Dr. Craig holds a different opinion; he opined that the 2013 Snowboarding Accident is the original cause of Mr. Wong's low back injury and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Dr. Callier is also of the opinion that Botox injections are an appropriate treatment for Mr. Wong's headaches and should be employed if he does not obtain relief from other treatment recommendations. Dr. Craig disagrees.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It is also Dr. Caillier's opinion that Mr. Wong's ongoing symptoms are not capable of complete resolution. Dr. Craig opined that resolution may be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Caillier met and assessed Mr. Wong on two separate occasions, November 8, 2016 and April 23, 2019.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As part of her fulsome and thorough assessment, Dr. Caillier tested Mr. Wong for exaggerated pain responses, with negative results. She did not accept Mr. Wong's account of events at face value and instead considered the potential causes of his injuries and symptoms. Dr. Caillier also carried out an in-depth review of the clinical and hospital records. She did not have the Eagle Ridge Hospital records (concerning the 2016 Collision) until she testified at trial since they only became available shortly before trial. Their contents did not alter her opinion. In hearing Dr. Caillier's testimony, where her candour, objectivity, and lack of advocacy were manifest, I was satisfied that she was able to fully and accurately assess, from a medical perspective, the merits of Mr. Wong's reports of his symptoms, the specific injuries caused by each of the four accidents, and appropriate treatment protocols and prognosis for recovery. I reject the defence submission that she was biased in favour of Mr. Wong.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defence physiatrist, Dr. Craig, never met with Mr. Wong. His opinion is based on his review of clinical and hospital records and Dr. Caillier's April 2019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Although Dr. Craig is a highly qualified, experienced physiatrist, I remain concerned with the reliability of those aspects of his opinions that conflict with Dr. Caillier for the following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First, his opinions are premised solely on a records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Judgments in this Court comment on the weight to be accorded to expert reports premised solely on a records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For example, in </w:t>
      </w:r>
      <w:r>
        <w:rPr>
          <w:rFonts w:ascii="arial" w:eastAsia="arial" w:hAnsi="arial" w:cs="arial"/>
          <w:i/>
          <w:color w:val="000000"/>
          <w:sz w:val="20"/>
          <w:lang w:val="en-US" w:eastAsia="en-US" w:bidi="ar-SA"/>
        </w:rPr>
        <w:t>Preston v. Kontzamanis</w:t>
      </w:r>
      <w:r>
        <w:rPr>
          <w:rFonts w:ascii="arial" w:eastAsia="arial" w:hAnsi="arial" w:cs="arial"/>
          <w:color w:val="000000"/>
          <w:sz w:val="20"/>
          <w:lang w:val="en-US" w:eastAsia="en-US" w:bidi="ar-SA"/>
        </w:rPr>
        <w:t xml:space="preserve">, </w:t>
      </w:r>
      <w:hyperlink r:id="rId250" w:history="1">
        <w:r>
          <w:rPr>
            <w:rFonts w:ascii="arial" w:eastAsia="arial" w:hAnsi="arial" w:cs="arial"/>
            <w:i/>
            <w:color w:val="0077CC"/>
            <w:sz w:val="20"/>
            <w:u w:val="single"/>
            <w:shd w:val="clear" w:color="auto" w:fill="FFFFFF"/>
            <w:lang w:val="en-US" w:eastAsia="en-US" w:bidi="ar-SA"/>
          </w:rPr>
          <w:t>2015 BCSC 2219</w:t>
        </w:r>
      </w:hyperlink>
      <w:r>
        <w:rPr>
          <w:rFonts w:ascii="arial" w:eastAsia="arial" w:hAnsi="arial" w:cs="arial"/>
          <w:color w:val="000000"/>
          <w:sz w:val="20"/>
          <w:lang w:val="en-US" w:eastAsia="en-US" w:bidi="ar-SA"/>
        </w:rPr>
        <w:t>, Mr. Justice Parrett expressed these concerns: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[125] The defendant provided and relied upon what purported to be an independent medical report (IME) by Dr. Boyle.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[126] Dr. Boyle readily acknowledged that he was not asked to and did not meet with, examine or interview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[127] Dr. Boyle reviewed documents and information provided by counsel and wrote his report.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[128] These documents and that information included clinical records of various medical professionals.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[129] </w:t>
      </w:r>
      <w:r>
        <w:rPr>
          <w:rFonts w:ascii="arial" w:eastAsia="arial" w:hAnsi="arial" w:cs="arial"/>
          <w:color w:val="000000"/>
          <w:sz w:val="20"/>
          <w:u w:val="single"/>
          <w:lang w:val="en-US" w:eastAsia="en-US" w:bidi="ar-SA"/>
        </w:rPr>
        <w:t>This is a process that is unlikely to assist the court in any material way. The first concession is invariably, and was in this case, that interviewing, examining and getting a personal history is important to providing an accurate and complete assessment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[130] This is a trend that appears to have been of relatively recent origin.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[131] </w:t>
      </w:r>
      <w:r>
        <w:rPr>
          <w:rFonts w:ascii="arial" w:eastAsia="arial" w:hAnsi="arial" w:cs="arial"/>
          <w:color w:val="000000"/>
          <w:sz w:val="20"/>
          <w:u w:val="single"/>
          <w:lang w:val="en-US" w:eastAsia="en-US" w:bidi="ar-SA"/>
        </w:rPr>
        <w:t>It is also a trend which has drawn adverse comment from judges of this court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Dhaliwal v. Bassi</w:t>
      </w:r>
      <w:r>
        <w:rPr>
          <w:rFonts w:ascii="arial" w:eastAsia="arial" w:hAnsi="arial" w:cs="arial"/>
          <w:color w:val="000000"/>
          <w:sz w:val="20"/>
          <w:lang w:val="en-US" w:eastAsia="en-US" w:bidi="ar-SA"/>
        </w:rPr>
        <w:t xml:space="preserve"> </w:t>
      </w:r>
      <w:hyperlink r:id="rId251" w:history="1">
        <w:r>
          <w:rPr>
            <w:rFonts w:ascii="arial" w:eastAsia="arial" w:hAnsi="arial" w:cs="arial"/>
            <w:i/>
            <w:color w:val="0077CC"/>
            <w:sz w:val="20"/>
            <w:u w:val="single"/>
            <w:shd w:val="clear" w:color="auto" w:fill="FFFFFF"/>
            <w:lang w:val="en-US" w:eastAsia="en-US" w:bidi="ar-SA"/>
          </w:rPr>
          <w:t>2007 BCSC 549</w:t>
        </w:r>
      </w:hyperlink>
      <w:r>
        <w:rPr>
          <w:rFonts w:ascii="arial" w:eastAsia="arial" w:hAnsi="arial" w:cs="arial"/>
          <w:color w:val="000000"/>
          <w:sz w:val="20"/>
          <w:lang w:val="en-US" w:eastAsia="en-US" w:bidi="ar-SA"/>
        </w:rPr>
        <w:t xml:space="preserve"> (Burnyeat, J. at paras. 2-3); </w:t>
      </w:r>
      <w:r>
        <w:rPr>
          <w:rFonts w:ascii="arial" w:eastAsia="arial" w:hAnsi="arial" w:cs="arial"/>
          <w:i/>
          <w:color w:val="000000"/>
          <w:sz w:val="20"/>
          <w:lang w:val="en-US" w:eastAsia="en-US" w:bidi="ar-SA"/>
        </w:rPr>
        <w:t>Ruscheinski v. Biln</w:t>
      </w:r>
      <w:r>
        <w:rPr>
          <w:rFonts w:ascii="arial" w:eastAsia="arial" w:hAnsi="arial" w:cs="arial"/>
          <w:color w:val="000000"/>
          <w:sz w:val="20"/>
          <w:lang w:val="en-US" w:eastAsia="en-US" w:bidi="ar-SA"/>
        </w:rPr>
        <w:t xml:space="preserve"> </w:t>
      </w:r>
      <w:hyperlink r:id="rId252" w:history="1">
        <w:r>
          <w:rPr>
            <w:rFonts w:ascii="arial" w:eastAsia="arial" w:hAnsi="arial" w:cs="arial"/>
            <w:i/>
            <w:color w:val="0077CC"/>
            <w:sz w:val="20"/>
            <w:u w:val="single"/>
            <w:shd w:val="clear" w:color="auto" w:fill="FFFFFF"/>
            <w:lang w:val="en-US" w:eastAsia="en-US" w:bidi="ar-SA"/>
          </w:rPr>
          <w:t>2011 BCSC 1263</w:t>
        </w:r>
      </w:hyperlink>
      <w:r>
        <w:rPr>
          <w:rFonts w:ascii="arial" w:eastAsia="arial" w:hAnsi="arial" w:cs="arial"/>
          <w:color w:val="000000"/>
          <w:sz w:val="20"/>
          <w:lang w:val="en-US" w:eastAsia="en-US" w:bidi="ar-SA"/>
        </w:rPr>
        <w:t xml:space="preserve"> (Walker, J. at paras. 85-87); </w:t>
      </w:r>
      <w:r>
        <w:rPr>
          <w:rFonts w:ascii="arial" w:eastAsia="arial" w:hAnsi="arial" w:cs="arial"/>
          <w:i/>
          <w:color w:val="000000"/>
          <w:sz w:val="20"/>
          <w:lang w:val="en-US" w:eastAsia="en-US" w:bidi="ar-SA"/>
        </w:rPr>
        <w:t>Rizotti v. Doe</w:t>
      </w:r>
      <w:r>
        <w:rPr>
          <w:rFonts w:ascii="arial" w:eastAsia="arial" w:hAnsi="arial" w:cs="arial"/>
          <w:color w:val="000000"/>
          <w:sz w:val="20"/>
          <w:lang w:val="en-US" w:eastAsia="en-US" w:bidi="ar-SA"/>
        </w:rPr>
        <w:t xml:space="preserve"> </w:t>
      </w:r>
      <w:hyperlink r:id="rId253" w:history="1">
        <w:r>
          <w:rPr>
            <w:rFonts w:ascii="arial" w:eastAsia="arial" w:hAnsi="arial" w:cs="arial"/>
            <w:i/>
            <w:color w:val="0077CC"/>
            <w:sz w:val="20"/>
            <w:u w:val="single"/>
            <w:shd w:val="clear" w:color="auto" w:fill="FFFFFF"/>
            <w:lang w:val="en-US" w:eastAsia="en-US" w:bidi="ar-SA"/>
          </w:rPr>
          <w:t>2012 BCSC 1330</w:t>
        </w:r>
      </w:hyperlink>
      <w:r>
        <w:rPr>
          <w:rFonts w:ascii="arial" w:eastAsia="arial" w:hAnsi="arial" w:cs="arial"/>
          <w:color w:val="000000"/>
          <w:sz w:val="20"/>
          <w:lang w:val="en-US" w:eastAsia="en-US" w:bidi="ar-SA"/>
        </w:rPr>
        <w:t xml:space="preserve"> (Tindale, J. at para. 35).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[132] To these I would add my own comments. Where an expert chooses to prepare a report as he did here, expecting this court to accept and rely on it. He is presenting a report in which he effectively asserts that he accepts as true and accurate the factual base on which his opinions are based.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[133] </w:t>
      </w:r>
      <w:r>
        <w:rPr>
          <w:rFonts w:ascii="arial" w:eastAsia="arial" w:hAnsi="arial" w:cs="arial"/>
          <w:color w:val="000000"/>
          <w:sz w:val="20"/>
          <w:u w:val="single"/>
          <w:lang w:val="en-US" w:eastAsia="en-US" w:bidi="ar-SA"/>
        </w:rPr>
        <w:t>Where he does so without seeing, examining or taking a personal history he chooses to offer his opinion on the basis of hearsay. Worse still he chooses to offer it on the basis of his interpretation of hearsay recorded by others</w:t>
      </w:r>
      <w:r>
        <w:rPr>
          <w:rFonts w:ascii="arial" w:eastAsia="arial" w:hAnsi="arial" w:cs="arial"/>
          <w:color w:val="000000"/>
          <w:sz w:val="20"/>
          <w:lang w:val="en-US" w:eastAsia="en-US" w:bidi="ar-SA"/>
        </w:rPr>
        <w: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In his reasons, Parrett J. refers to </w:t>
      </w:r>
      <w:r>
        <w:rPr>
          <w:rFonts w:ascii="arial" w:eastAsia="arial" w:hAnsi="arial" w:cs="arial"/>
          <w:i/>
          <w:color w:val="000000"/>
          <w:sz w:val="20"/>
          <w:lang w:val="en-US" w:eastAsia="en-US" w:bidi="ar-SA"/>
        </w:rPr>
        <w:t>Ruscheniski v. Biln</w:t>
      </w:r>
      <w:r>
        <w:rPr>
          <w:rFonts w:ascii="arial" w:eastAsia="arial" w:hAnsi="arial" w:cs="arial"/>
          <w:color w:val="000000"/>
          <w:sz w:val="20"/>
          <w:lang w:val="en-US" w:eastAsia="en-US" w:bidi="ar-SA"/>
        </w:rPr>
        <w:t xml:space="preserve">, </w:t>
      </w:r>
      <w:hyperlink r:id="rId252" w:history="1">
        <w:r>
          <w:rPr>
            <w:rFonts w:ascii="arial" w:eastAsia="arial" w:hAnsi="arial" w:cs="arial"/>
            <w:i/>
            <w:color w:val="0077CC"/>
            <w:sz w:val="20"/>
            <w:u w:val="single"/>
            <w:shd w:val="clear" w:color="auto" w:fill="FFFFFF"/>
            <w:lang w:val="en-US" w:eastAsia="en-US" w:bidi="ar-SA"/>
          </w:rPr>
          <w:t>2011 BCSC 1263</w:t>
        </w:r>
      </w:hyperlink>
      <w:r>
        <w:rPr>
          <w:rFonts w:ascii="arial" w:eastAsia="arial" w:hAnsi="arial" w:cs="arial"/>
          <w:color w:val="000000"/>
          <w:sz w:val="20"/>
          <w:lang w:val="en-US" w:eastAsia="en-US" w:bidi="ar-SA"/>
        </w:rPr>
        <w:t>, where I made these remarks concerning the reliability of opinions based solely on a records review: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[85] I prefer the evidence of Drs. Feldman and Wasti over the defence expert, Dr. Turnbull. I accept Dr. Feldman's opinion (supported by Dr. Wasti) that meeting a patient, obtaining their history directly, and conducting a thorough examination are essential to provide an accurate diagnosis of a patient's injuries and to determine an appropriate prognosis.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[86] </w:t>
      </w:r>
      <w:r>
        <w:rPr>
          <w:rFonts w:ascii="arial" w:eastAsia="arial" w:hAnsi="arial" w:cs="arial"/>
          <w:color w:val="000000"/>
          <w:sz w:val="20"/>
          <w:u w:val="single"/>
          <w:lang w:val="en-US" w:eastAsia="en-US" w:bidi="ar-SA"/>
        </w:rPr>
        <w:t>In my opinion, when dealing with cases where chronic pain is suggested or suspected, an examination of a patient that is designed to look for objective evidence of injury, such as muscle spasm, as opposed to feigned pain behaviour, coupled with an appropriate and thoughtful approach to taking a patient's history, will lead to a diagnosis and prognosis that is much more reliable than a records review</w:t>
      </w:r>
      <w:r>
        <w:rPr>
          <w:rFonts w:ascii="arial" w:eastAsia="arial" w:hAnsi="arial" w:cs="arial"/>
          <w:color w:val="000000"/>
          <w:sz w:val="20"/>
          <w:lang w:val="en-US" w:eastAsia="en-US" w:bidi="ar-SA"/>
        </w:rPr>
        <w:t>. I accept Dr. Feldman's evidence that without a physical examination of Ms. Ruscheinski, it would not have been possible to detect the winging of her scapula.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[88] My view of the matter is also supported by the remarks of Burnyeat J. in </w:t>
      </w:r>
      <w:r>
        <w:rPr>
          <w:rFonts w:ascii="arial" w:eastAsia="arial" w:hAnsi="arial" w:cs="arial"/>
          <w:i/>
          <w:color w:val="000000"/>
          <w:sz w:val="20"/>
          <w:lang w:val="en-US" w:eastAsia="en-US" w:bidi="ar-SA"/>
        </w:rPr>
        <w:t>Dhaliwal v. Bassi</w:t>
      </w:r>
      <w:r>
        <w:rPr>
          <w:rFonts w:ascii="arial" w:eastAsia="arial" w:hAnsi="arial" w:cs="arial"/>
          <w:color w:val="000000"/>
          <w:sz w:val="20"/>
          <w:lang w:val="en-US" w:eastAsia="en-US" w:bidi="ar-SA"/>
        </w:rPr>
        <w:t xml:space="preserve">, </w:t>
      </w:r>
      <w:hyperlink r:id="rId251" w:history="1">
        <w:r>
          <w:rPr>
            <w:rFonts w:ascii="arial" w:eastAsia="arial" w:hAnsi="arial" w:cs="arial"/>
            <w:i/>
            <w:color w:val="0077CC"/>
            <w:sz w:val="20"/>
            <w:u w:val="single"/>
            <w:shd w:val="clear" w:color="auto" w:fill="FFFFFF"/>
            <w:lang w:val="en-US" w:eastAsia="en-US" w:bidi="ar-SA"/>
          </w:rPr>
          <w:t>2007 BCSC 549</w:t>
        </w:r>
      </w:hyperlink>
      <w:r>
        <w:rPr>
          <w:rFonts w:ascii="arial" w:eastAsia="arial" w:hAnsi="arial" w:cs="arial"/>
          <w:color w:val="000000"/>
          <w:sz w:val="20"/>
          <w:lang w:val="en-US" w:eastAsia="en-US" w:bidi="ar-SA"/>
        </w:rPr>
        <w:t xml:space="preserve">, </w:t>
      </w:r>
      <w:hyperlink r:id="rId251" w:history="1">
        <w:r>
          <w:rPr>
            <w:rFonts w:ascii="arial" w:eastAsia="arial" w:hAnsi="arial" w:cs="arial"/>
            <w:i/>
            <w:color w:val="0077CC"/>
            <w:sz w:val="20"/>
            <w:u w:val="single"/>
            <w:shd w:val="clear" w:color="auto" w:fill="FFFFFF"/>
            <w:lang w:val="en-US" w:eastAsia="en-US" w:bidi="ar-SA"/>
          </w:rPr>
          <w:t>73 B.C.L.R. (4th) 177</w:t>
        </w:r>
      </w:hyperlink>
      <w:r>
        <w:rPr>
          <w:rFonts w:ascii="arial" w:eastAsia="arial" w:hAnsi="arial" w:cs="arial"/>
          <w:color w:val="000000"/>
          <w:sz w:val="20"/>
          <w:lang w:val="en-US" w:eastAsia="en-US" w:bidi="ar-SA"/>
        </w:rPr>
        <w:t>, where he wrote at paras.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The role of an expert is to assist the Court. I am not assisted by receiving the "opinion" from a psychiatrist who has not seen a person and who bases his opinion only on documentation made available to him where much of that documentation will ultimately not be in evidence. Ordinarily, counsel will provide the factual assumptions to the expert that counsel will then proceed to prove in evidence. Those factual assumptions should be clearly stated in the statement of the expert. </w:t>
            </w:r>
            <w:r>
              <w:rPr>
                <w:rFonts w:ascii="arial" w:eastAsia="arial" w:hAnsi="arial" w:cs="arial"/>
                <w:color w:val="000000"/>
                <w:sz w:val="18"/>
                <w:u w:val="single"/>
                <w:lang w:val="en-US" w:eastAsia="en-US" w:bidi="ar-SA"/>
              </w:rPr>
              <w:t>It is not for an expert to merely review a number of documents, many of which will not be in evidence and make certain findings of fact</w:t>
            </w:r>
            <w:r>
              <w:rPr>
                <w:rFonts w:ascii="arial" w:eastAsia="arial" w:hAnsi="arial" w:cs="arial"/>
                <w:color w:val="000000"/>
                <w:sz w:val="18"/>
                <w:lang w:val="en-US" w:eastAsia="en-US" w:bidi="ar-SA"/>
              </w:rPr>
              <w:t>.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As well, the Court has commented a number of times on it being inadvisable to rely on the opinion of a medical advisor who has not seen a plaintiff</w:t>
            </w:r>
            <w:r>
              <w:rPr>
                <w:rFonts w:ascii="arial" w:eastAsia="arial" w:hAnsi="arial" w:cs="arial"/>
                <w:color w:val="000000"/>
                <w:sz w:val="18"/>
                <w:lang w:val="en-US" w:eastAsia="en-US" w:bidi="ar-SA"/>
              </w:rPr>
              <w:t xml:space="preserve">: see for instance Parish </w:t>
            </w:r>
            <w:r>
              <w:rPr>
                <w:rFonts w:ascii="arial" w:eastAsia="arial" w:hAnsi="arial" w:cs="arial"/>
                <w:i/>
                <w:color w:val="000000"/>
                <w:sz w:val="18"/>
                <w:lang w:val="en-US" w:eastAsia="en-US" w:bidi="ar-SA"/>
              </w:rPr>
              <w:t>v. Scott</w:t>
            </w:r>
            <w:r>
              <w:rPr>
                <w:rFonts w:ascii="arial" w:eastAsia="arial" w:hAnsi="arial" w:cs="arial"/>
                <w:color w:val="000000"/>
                <w:sz w:val="18"/>
                <w:lang w:val="en-US" w:eastAsia="en-US" w:bidi="ar-SA"/>
              </w:rPr>
              <w:t xml:space="preserve">, </w:t>
            </w:r>
            <w:hyperlink r:id="rId254" w:history="1">
              <w:r>
                <w:rPr>
                  <w:rFonts w:ascii="arial" w:eastAsia="arial" w:hAnsi="arial" w:cs="arial"/>
                  <w:i/>
                  <w:color w:val="0077CC"/>
                  <w:sz w:val="18"/>
                  <w:u w:val="single"/>
                  <w:shd w:val="clear" w:color="auto" w:fill="FFFFFF"/>
                  <w:lang w:val="en-US" w:eastAsia="en-US" w:bidi="ar-SA"/>
                </w:rPr>
                <w:t>[1996] B.C.J. No. 2839</w:t>
              </w:r>
            </w:hyperlink>
            <w:r>
              <w:rPr>
                <w:rFonts w:ascii="arial" w:eastAsia="arial" w:hAnsi="arial" w:cs="arial"/>
                <w:color w:val="000000"/>
                <w:sz w:val="18"/>
                <w:lang w:val="en-US" w:eastAsia="en-US" w:bidi="ar-SA"/>
              </w:rPr>
              <w:t xml:space="preserve"> (B.C.S.C.) at paras. 5 and 29.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Second, Dr. Craig's opinion concerning the cause of the low back injury and the progress of Mr. Wong's symptoms following each accident are largely predicated on Dr. Lim's clinical notes. Dr. Lim's clinical notes are sparse. I agree with Mr. Wong's submission that unlike some chronic pain cases, he was not a regular attendee at Dr. Lim's office. He followed Dr. Lim's advice to get on with his life, to not hold back, and to be as active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Dr. Craig premised his opinion that the low back injury was not caused by the 2011 Collision on the absence of any note in the family doctor's clinical records of reports of low back pain. Dr. Craig points out that a note of low back pain first appears in those records following the 2013 Snowboarding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do not accept Dr. Craig's evidence and the defence's contention that the absence of a note in Dr. Lim's records means Mr. Wong did not suffer from low back pain following the 2011 Collision. That submission is grounded in the assumption that Dr. Lim recorded every complaint Mr. Wong made to him and Mr. Wong complained of every symptom, such that in the absence of a note of a low back pain complaint, it did not exist.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Edmondson v. Payer</w:t>
      </w:r>
      <w:r>
        <w:rPr>
          <w:rFonts w:ascii="arial" w:eastAsia="arial" w:hAnsi="arial" w:cs="arial"/>
          <w:color w:val="000000"/>
          <w:sz w:val="20"/>
          <w:lang w:val="en-US" w:eastAsia="en-US" w:bidi="ar-SA"/>
        </w:rPr>
        <w:t xml:space="preserve">, </w:t>
      </w:r>
      <w:hyperlink r:id="rId104" w:history="1">
        <w:r>
          <w:rPr>
            <w:rFonts w:ascii="arial" w:eastAsia="arial" w:hAnsi="arial" w:cs="arial"/>
            <w:i/>
            <w:color w:val="0077CC"/>
            <w:sz w:val="20"/>
            <w:u w:val="single"/>
            <w:shd w:val="clear" w:color="auto" w:fill="FFFFFF"/>
            <w:lang w:val="en-US" w:eastAsia="en-US" w:bidi="ar-SA"/>
          </w:rPr>
          <w:t>2011 BCSC 118</w:t>
        </w:r>
      </w:hyperlink>
      <w:r>
        <w:rPr>
          <w:rFonts w:ascii="arial" w:eastAsia="arial" w:hAnsi="arial" w:cs="arial"/>
          <w:color w:val="000000"/>
          <w:sz w:val="20"/>
          <w:lang w:val="en-US" w:eastAsia="en-US" w:bidi="ar-SA"/>
        </w:rPr>
        <w:t xml:space="preserve">, aff'd </w:t>
      </w:r>
      <w:hyperlink r:id="rId105" w:history="1">
        <w:r>
          <w:rPr>
            <w:rFonts w:ascii="arial" w:eastAsia="arial" w:hAnsi="arial" w:cs="arial"/>
            <w:i/>
            <w:color w:val="0077CC"/>
            <w:sz w:val="20"/>
            <w:u w:val="single"/>
            <w:shd w:val="clear" w:color="auto" w:fill="FFFFFF"/>
            <w:lang w:val="en-US" w:eastAsia="en-US" w:bidi="ar-SA"/>
          </w:rPr>
          <w:t>2012 BCCA 114</w:t>
        </w:r>
      </w:hyperlink>
      <w:r>
        <w:rPr>
          <w:rFonts w:ascii="arial" w:eastAsia="arial" w:hAnsi="arial" w:cs="arial"/>
          <w:color w:val="000000"/>
          <w:sz w:val="20"/>
          <w:lang w:val="en-US" w:eastAsia="en-US" w:bidi="ar-SA"/>
        </w:rPr>
        <w:t>, Mr. Justice N. Smith discussed the limited use and inherent reliability concerns with clinical records: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Much of the defendant's submission on the plaintiff's credibility flows from what is, or is not, found in the clinical records of doctors the plaintiff has seen. It is therefore important to review the limited purposes for which clinical records are admissible. </w:t>
      </w:r>
      <w:r>
        <w:rPr>
          <w:rFonts w:ascii="arial" w:eastAsia="arial" w:hAnsi="arial" w:cs="arial"/>
          <w:color w:val="000000"/>
          <w:sz w:val="20"/>
          <w:u w:val="single"/>
          <w:lang w:val="en-US" w:eastAsia="en-US" w:bidi="ar-SA"/>
        </w:rPr>
        <w:t>It is easy to lose sight of those limitations in cases of this kind, where the time spent parsing a single note made by a doctor often far exceeds the length of the medical appointment that the note records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w:t>
      </w:r>
      <w:r>
        <w:rPr>
          <w:rFonts w:ascii="arial" w:eastAsia="arial" w:hAnsi="arial" w:cs="arial"/>
          <w:color w:val="000000"/>
          <w:sz w:val="20"/>
          <w:u w:val="single"/>
          <w:lang w:val="en-US" w:eastAsia="en-US" w:bidi="ar-SA"/>
        </w:rPr>
        <w:t>The difficulty with statements in clinical records is that, because they are only a brief summary or paraphrase, there is no record of anything else that may have been said</w:t>
      </w:r>
      <w:r>
        <w:rPr>
          <w:rFonts w:ascii="arial" w:eastAsia="arial" w:hAnsi="arial" w:cs="arial"/>
          <w:color w:val="000000"/>
          <w:sz w:val="20"/>
          <w:lang w:val="en-US" w:eastAsia="en-US" w:bidi="ar-SA"/>
        </w:rPr>
        <w:t xml:space="preserve"> and which might in some way explain, expand upon or qualify a particular doctor's note. The plaintiff will usually have no specific recollection of what was said and, when shown the record on cross-examination, can rarely do more than agree that he or she must have said what the doctor wrote.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w:t>
      </w:r>
      <w:r>
        <w:rPr>
          <w:rFonts w:ascii="arial" w:eastAsia="arial" w:hAnsi="arial" w:cs="arial"/>
          <w:color w:val="000000"/>
          <w:sz w:val="20"/>
          <w:u w:val="single"/>
          <w:lang w:val="en-US" w:eastAsia="en-US" w:bidi="ar-SA"/>
        </w:rPr>
        <w:t>Further difficulties arise when a number of clinical records made over a lengthy period are being considered. Inconsistencies are almost inevitable because few people, when asked to describe their condition on numerous occasions, will use exactly the same words or emphasis each time</w:t>
      </w:r>
      <w:r>
        <w:rPr>
          <w:rFonts w:ascii="arial" w:eastAsia="arial" w:hAnsi="arial" w:cs="arial"/>
          <w:color w:val="000000"/>
          <w:sz w:val="20"/>
          <w:lang w:val="en-US" w:eastAsia="en-US" w:bidi="ar-SA"/>
        </w:rPr>
        <w:t xml:space="preserve">. As Parrett J. said in </w:t>
      </w:r>
      <w:r>
        <w:rPr>
          <w:rFonts w:ascii="arial" w:eastAsia="arial" w:hAnsi="arial" w:cs="arial"/>
          <w:i/>
          <w:color w:val="000000"/>
          <w:sz w:val="20"/>
          <w:lang w:val="en-US" w:eastAsia="en-US" w:bidi="ar-SA"/>
        </w:rPr>
        <w:t>Burke-Pietramala v. Samad</w:t>
      </w:r>
      <w:r>
        <w:rPr>
          <w:rFonts w:ascii="arial" w:eastAsia="arial" w:hAnsi="arial" w:cs="arial"/>
          <w:color w:val="000000"/>
          <w:sz w:val="20"/>
          <w:lang w:val="en-US" w:eastAsia="en-US" w:bidi="ar-SA"/>
        </w:rPr>
        <w:t xml:space="preserve">, </w:t>
      </w:r>
      <w:hyperlink r:id="rId255" w:history="1">
        <w:r>
          <w:rPr>
            <w:rFonts w:ascii="arial" w:eastAsia="arial" w:hAnsi="arial" w:cs="arial"/>
            <w:i/>
            <w:color w:val="0077CC"/>
            <w:sz w:val="20"/>
            <w:u w:val="single"/>
            <w:shd w:val="clear" w:color="auto" w:fill="FFFFFF"/>
            <w:lang w:val="en-US" w:eastAsia="en-US" w:bidi="ar-SA"/>
          </w:rPr>
          <w:t>2004 BCSC 470</w:t>
        </w:r>
      </w:hyperlink>
      <w:r>
        <w:rPr>
          <w:rFonts w:ascii="arial" w:eastAsia="arial" w:hAnsi="arial" w:cs="arial"/>
          <w:color w:val="000000"/>
          <w:sz w:val="20"/>
          <w:lang w:val="en-US" w:eastAsia="en-US" w:bidi="ar-SA"/>
        </w:rPr>
        <w:t>, at paragraph 104: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reports are those of a layperson going through a traumatic and difficult time and one for which she is seeing little, if any, hope for improvement. Secondly, the histories are those recorded by different doctors who may well have had different perspectives and different perceptions of what is important. ... I find little surprising in the variations of the plaintiff's history in this case, particularly given the human tendency to reconsider, review and summarize history in light of new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As Smith J. aptly pointed out, the absence of a record or note is not evidence of anything and cannot lead to an inference concerning the lack of injury: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[36] </w:t>
      </w:r>
      <w:r>
        <w:rPr>
          <w:rFonts w:ascii="arial" w:eastAsia="arial" w:hAnsi="arial" w:cs="arial"/>
          <w:color w:val="000000"/>
          <w:sz w:val="20"/>
          <w:u w:val="single"/>
          <w:lang w:val="en-US" w:eastAsia="en-US" w:bidi="ar-SA"/>
        </w:rPr>
        <w:t>While the content of a clinical record may be evidence for some purposes, the absence of a record is not, in itself, evidence of anything</w:t>
      </w:r>
      <w:r>
        <w:rPr>
          <w:rFonts w:ascii="arial" w:eastAsia="arial" w:hAnsi="arial" w:cs="arial"/>
          <w:color w:val="000000"/>
          <w:sz w:val="20"/>
          <w:lang w:val="en-US" w:eastAsia="en-US" w:bidi="ar-SA"/>
        </w:rPr>
        <w:t xml:space="preserve">. For example, the absence of reference to a symptom in a doctor's notes of a particular visit cannot be the sole basis for any inference about the existence or non-existence of that symptom. </w:t>
      </w:r>
      <w:r>
        <w:rPr>
          <w:rFonts w:ascii="arial" w:eastAsia="arial" w:hAnsi="arial" w:cs="arial"/>
          <w:color w:val="000000"/>
          <w:sz w:val="20"/>
          <w:u w:val="single"/>
          <w:lang w:val="en-US" w:eastAsia="en-US" w:bidi="ar-SA"/>
        </w:rPr>
        <w:t>At most, it indicates only that it was not the focus of discussion on that occasion</w:t>
      </w:r>
      <w:r>
        <w:rPr>
          <w:rFonts w:ascii="arial" w:eastAsia="arial" w:hAnsi="arial" w:cs="arial"/>
          <w:color w:val="000000"/>
          <w:sz w:val="20"/>
          <w:lang w:val="en-US" w:eastAsia="en-US" w:bidi="ar-SA"/>
        </w:rPr>
        <w: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The case authorities are clear it is for the trier of fact to determine whether the plaintiff's evidence concerning an injury is credible and reliable. In that respect, Smith J. made these comments </w:t>
      </w:r>
      <w:r>
        <w:rPr>
          <w:rFonts w:ascii="arial" w:eastAsia="arial" w:hAnsi="arial" w:cs="arial"/>
          <w:i/>
          <w:color w:val="000000"/>
          <w:sz w:val="20"/>
          <w:lang w:val="en-US" w:eastAsia="en-US" w:bidi="ar-SA"/>
        </w:rPr>
        <w:t>Edmondson</w:t>
      </w:r>
      <w:r>
        <w:rPr>
          <w:rFonts w:ascii="arial" w:eastAsia="arial" w:hAnsi="arial" w:cs="arial"/>
          <w:color w:val="000000"/>
          <w:sz w:val="20"/>
          <w:lang w:val="en-US" w:eastAsia="en-US" w:bidi="ar-SA"/>
        </w:rPr>
        <w:t xml:space="preserve"> concerning the plaintiff's evidence and alleged contradictions arising from clinical records: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[48] I do not find a significant inconsistency or contradiction between the evidence the plaintiff gave at trial and the very brief statements attributed to her in the clinical records. </w:t>
      </w:r>
      <w:r>
        <w:rPr>
          <w:rFonts w:ascii="arial" w:eastAsia="arial" w:hAnsi="arial" w:cs="arial"/>
          <w:color w:val="000000"/>
          <w:sz w:val="20"/>
          <w:u w:val="single"/>
          <w:lang w:val="en-US" w:eastAsia="en-US" w:bidi="ar-SA"/>
        </w:rPr>
        <w:t>I also found the plaintiff to be a generally forthright and credible witness. Her evidence was internally consistent and consistent with what little other evidence exists, such as the evidence of her sister. She did not appear to be exaggerating her symptoms and she unhesitatingly admitted that she tries, as much as possible, to not let her injury interfere with her lifestyle</w:t>
      </w:r>
      <w:r>
        <w:rPr>
          <w:rFonts w:ascii="arial" w:eastAsia="arial" w:hAnsi="arial" w:cs="arial"/>
          <w:color w:val="000000"/>
          <w:sz w:val="20"/>
          <w:lang w:val="en-US" w:eastAsia="en-US" w:bidi="ar-SA"/>
        </w:rPr>
        <w: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Similar comments were made by Madam Justice Gropper in </w:t>
      </w:r>
      <w:r>
        <w:rPr>
          <w:rFonts w:ascii="arial" w:eastAsia="arial" w:hAnsi="arial" w:cs="arial"/>
          <w:i/>
          <w:color w:val="000000"/>
          <w:sz w:val="20"/>
          <w:lang w:val="en-US" w:eastAsia="en-US" w:bidi="ar-SA"/>
        </w:rPr>
        <w:t>Myers v. Leng</w:t>
      </w:r>
      <w:r>
        <w:rPr>
          <w:rFonts w:ascii="arial" w:eastAsia="arial" w:hAnsi="arial" w:cs="arial"/>
          <w:color w:val="000000"/>
          <w:sz w:val="20"/>
          <w:lang w:val="en-US" w:eastAsia="en-US" w:bidi="ar-SA"/>
        </w:rPr>
        <w:t xml:space="preserve">, </w:t>
      </w:r>
      <w:hyperlink r:id="rId256" w:history="1">
        <w:r>
          <w:rPr>
            <w:rFonts w:ascii="arial" w:eastAsia="arial" w:hAnsi="arial" w:cs="arial"/>
            <w:i/>
            <w:color w:val="0077CC"/>
            <w:sz w:val="20"/>
            <w:u w:val="single"/>
            <w:shd w:val="clear" w:color="auto" w:fill="FFFFFF"/>
            <w:lang w:val="en-US" w:eastAsia="en-US" w:bidi="ar-SA"/>
          </w:rPr>
          <w:t>2006 BCSC 1582</w:t>
        </w:r>
      </w:hyperlink>
      <w:r>
        <w:rPr>
          <w:rFonts w:ascii="arial" w:eastAsia="arial" w:hAnsi="arial" w:cs="arial"/>
          <w:color w:val="000000"/>
          <w:sz w:val="20"/>
          <w:lang w:val="en-US" w:eastAsia="en-US" w:bidi="ar-SA"/>
        </w:rPr>
        <w:t>, when considering defence submissions regarding inferences to be drawn from gaps in clinical records due to the plaintiff's infrequent visits to his doctor: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[49] Dr. Clayton was asked about the gap in the plaintiff's seeking of medical treatment. The doctor stated: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Gaps between visits are fairly typical. Some come infrequently. Others attend every day. It doesn't change my conclusions or cause any concern.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[50] </w:t>
      </w:r>
      <w:r>
        <w:rPr>
          <w:rFonts w:ascii="arial" w:eastAsia="arial" w:hAnsi="arial" w:cs="arial"/>
          <w:color w:val="000000"/>
          <w:sz w:val="20"/>
          <w:u w:val="single"/>
          <w:lang w:val="en-US" w:eastAsia="en-US" w:bidi="ar-SA"/>
        </w:rPr>
        <w:t>I am not troubled by the gap in the plaintiff seeking treatment. His decision not to continue to see a doctor about his neck and back complaints was clearly based on a reasonable conclusion that the doctors could only provide temporary relief from the pain by prescribing medication and physiotherapy. The plaintiff did not consider either to be helpful. It is a sensible and practical approach to medical treatment. If continuous medical treatment can cure you, or make you feel better, then it is worthwhile to attend on a regular basis. If it cannot, there really is no point in taking the doctor's time. The purpose of a (sic) seeing a doctor is not to create a chronicle of complaints for the purpose of proving that you have ongoing pain from an injury arising from a motor-vehicle accident. Rather than detract from the accuracy of the plaintiff's complaint, I consider the plaintiff's course of conduct, in not seeing the doctor on a continuous basis, to enhance his evidence</w:t>
      </w:r>
      <w:r>
        <w:rPr>
          <w:rFonts w:ascii="arial" w:eastAsia="arial" w:hAnsi="arial" w:cs="arial"/>
          <w:color w:val="000000"/>
          <w:sz w:val="20"/>
          <w:lang w:val="en-US" w:eastAsia="en-US" w:bidi="ar-SA"/>
        </w:rPr>
        <w: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Third, and applying the reasoning in </w:t>
      </w:r>
      <w:r>
        <w:rPr>
          <w:rFonts w:ascii="arial" w:eastAsia="arial" w:hAnsi="arial" w:cs="arial"/>
          <w:i/>
          <w:color w:val="000000"/>
          <w:sz w:val="20"/>
          <w:lang w:val="en-US" w:eastAsia="en-US" w:bidi="ar-SA"/>
        </w:rPr>
        <w:t>Edmondson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Myers</w:t>
      </w:r>
      <w:r>
        <w:rPr>
          <w:rFonts w:ascii="arial" w:eastAsia="arial" w:hAnsi="arial" w:cs="arial"/>
          <w:color w:val="000000"/>
          <w:sz w:val="20"/>
          <w:lang w:val="en-US" w:eastAsia="en-US" w:bidi="ar-SA"/>
        </w:rPr>
        <w:t>, the veracity and reliability of Mr. Wong's account of each accident and his report of symptoms following each one are critical to the assessment of causation and aggravation of prior injuries. Of necessity, Dr. Craig's opinion must discount Mr. Wong's evidence concerning his low back pain following the 2011 Collision. As discussed, I have no hesitation in accepting the credibility and reliability of Mr. Wong's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Fourth, I found Dr. Craig strayed into advocacy and conjecture in several areas (e.g., when opining about the nature and severity of some of the injuries Mr. Wong sustained in the 2013 Snowboarding Accident and the 2014 Single Vehicle Collision, Mr. Wong's post-accident mood issues, and the potential impact on Mr. Wong's mental health from re-injury or aggravation leading to worsening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Fifth, Dr. Craig was inexplicably argumentative when rejecting out of hand any possible benefits of Botox injections. The tone and demeanour of his evidence changed. He became highly emotive as he ventured into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Dr. Craig's insistence in his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evidence that Botox injections were not warranted and were not a clinically accepted scope of practice to treat Mr. Wong's headaches is also inconsistent with his medical legal report where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Based on the description of his headaches, I do not think that Botox injections would be warranted, as they do not sound migrainous in nature. </w:t>
      </w:r>
      <w:r>
        <w:rPr>
          <w:rFonts w:ascii="arial" w:eastAsia="arial" w:hAnsi="arial" w:cs="arial"/>
          <w:color w:val="000000"/>
          <w:sz w:val="20"/>
          <w:u w:val="single"/>
          <w:lang w:val="en-US" w:eastAsia="en-US" w:bidi="ar-SA"/>
        </w:rPr>
        <w:t>If he has a positive response to trigger point injections, but only temporarily, then a few sets of Botox injections could be warranted for the myofascial pain</w:t>
      </w:r>
      <w:r>
        <w:rPr>
          <w:rFonts w:ascii="arial" w:eastAsia="arial" w:hAnsi="arial" w:cs="arial"/>
          <w:color w:val="000000"/>
          <w:sz w:val="20"/>
          <w:lang w:val="en-US" w:eastAsia="en-US" w:bidi="ar-SA"/>
        </w:rPr>
        <w:t>. Cost is approximately $450-900 for the medicine and $100-350 for the procedure with this being repeated up to three times. Cost is not covered through the Medical Services Plan.</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When pressed for the basis of his opinion that Mr. Wong's headaches "do not sound migrainous in nature", Dr. Craig referred to and began quoting from Dr. Caillier's December 2016 Report, which was not provided to him as part of his records review. He only reviewed the April 2019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agree with Mr. Wong's submissions that once it was drawn to Dr. Craig's attention that he was never given the December 2016 Report, he engaged in additional argument as he began to read portions from it (since, having conducted only a records review, he had not obtained from Mr. Wong a description of his headache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following extract from Mr. Wong's closing written submissions accurately summarizes what transpired, including Dr. Craig's seeming attempt to justify a headache diagnosis that would preclude any possible medical recommendation for Botox injections:</w:t>
      </w:r>
      <w:r>
        <w:rPr>
          <w:rFonts w:ascii="arial" w:eastAsia="arial" w:hAnsi="arial" w:cs="arial"/>
          <w:sz w:val="20"/>
          <w:lang w:val="en-US" w:eastAsia="en-US" w:bidi="ar-SA"/>
        </w:rPr>
        <w:cr/>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he started quoting the 2016 report in error, then his next justification for the description of "non-migrainous" headache stems from Dr. Caillier's report which is found at </w:t>
      </w:r>
      <w:r>
        <w:rPr>
          <w:rFonts w:ascii="arial" w:eastAsia="arial" w:hAnsi="arial" w:cs="arial"/>
          <w:i/>
          <w:color w:val="000000"/>
          <w:sz w:val="20"/>
          <w:lang w:val="en-US" w:eastAsia="en-US" w:bidi="ar-SA"/>
        </w:rPr>
        <w:t>Exhibit 3</w:t>
      </w:r>
      <w:r>
        <w:rPr>
          <w:rFonts w:ascii="arial" w:eastAsia="arial" w:hAnsi="arial" w:cs="arial"/>
          <w:color w:val="000000"/>
          <w:sz w:val="20"/>
          <w:lang w:val="en-US" w:eastAsia="en-US" w:bidi="ar-SA"/>
        </w:rPr>
        <w:t>, Tab 2, p. 32, from which Dr. Craig read during cross-examination (a passage which says very little about the symptoms of headaches Parker experiences):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Okay, so starting on page 32 of Tab 2, just about line 33: Mr. Wong continues to have headaches that are provoked with increased neck pain or what he is studying and there are times when they're triggered for no specific reasons. Typically frontal, mild headaches most days, which are more tolerable. The more intense headaches can last an entire day, and occasional associated with sensitivity to noise and light.</w:t>
      </w:r>
    </w:p>
    <w:p>
      <w:pPr>
        <w:numPr>
          <w:numId w:val="2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common symptoms of headaches with migrainous features were put to Dr. Craig from which Parker testified he had been suffering, including dizziness, sensitivity to light and sound, black outs and temple pain, Dr. Craig equivocated and said all these symptoms could be found in "non-migrainous headaches as well". The point here is that Dr. Craig appeared to be grasping for a headache diagnosis that would preclude a recommendation for Botox injections for headaches, a recommendation which comes with significant future cost of care if effective.</w:t>
      </w:r>
    </w:p>
    <w:p>
      <w:pPr>
        <w:numPr>
          <w:numId w:val="2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Most notably, when Dr. Craig testified under oath that patients with cervicogenic headaches or headaches secondary to neck trauma are </w:t>
      </w:r>
      <w:r>
        <w:rPr>
          <w:rFonts w:ascii="arial" w:eastAsia="arial" w:hAnsi="arial" w:cs="arial"/>
          <w:i/>
          <w:color w:val="000000"/>
          <w:sz w:val="20"/>
          <w:lang w:val="en-US" w:eastAsia="en-US" w:bidi="ar-SA"/>
        </w:rPr>
        <w:t>not</w:t>
      </w:r>
      <w:r>
        <w:rPr>
          <w:rFonts w:ascii="arial" w:eastAsia="arial" w:hAnsi="arial" w:cs="arial"/>
          <w:color w:val="000000"/>
          <w:sz w:val="20"/>
          <w:lang w:val="en-US" w:eastAsia="en-US" w:bidi="ar-SA"/>
        </w:rPr>
        <w:t xml:space="preserve"> frequently and only "occasionally" treated with Botox injections because it's not "a clinically accepted scope of practice". More than once Dr. Craig was given the opportunity to clarify his evidence under oath on this point. He did not.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 would add to those submissions Dr. Craig's evidence concerning the controversy surrounding Botox injections for post-traumatic headaches, where he appears to have inadvertently acknowledged Mr. Wong's headaches are migraines: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Ah, I would - - from the reports of many experts that I've read who are doing a lot of Botox -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 - it's controversial as to whether Botox is indicated in post-traumatic headaches. Botox, although it's a safe medication, there's a very high cost associated with it. There is also issues with potential risks associated with it. It's really a treatment of last resort if everything else doesn't work, </w:t>
            </w:r>
            <w:r>
              <w:rPr>
                <w:rFonts w:ascii="arial" w:eastAsia="arial" w:hAnsi="arial" w:cs="arial"/>
                <w:color w:val="000000"/>
                <w:sz w:val="18"/>
                <w:u w:val="single"/>
                <w:lang w:val="en-US" w:eastAsia="en-US" w:bidi="ar-SA"/>
              </w:rPr>
              <w:t>and from what I'm seeing from his treatment</w:t>
            </w:r>
            <w:r>
              <w:rPr>
                <w:rFonts w:ascii="arial" w:eastAsia="arial" w:hAnsi="arial" w:cs="arial"/>
                <w:color w:val="000000"/>
                <w:sz w:val="18"/>
                <w:lang w:val="en-US" w:eastAsia="en-US" w:bidi="ar-SA"/>
              </w:rPr>
              <w:t xml:space="preserve">, he hasn't had a lot of typical treatments that I would suggest, and if you're not addressing those underlying conditions, </w:t>
            </w:r>
            <w:r>
              <w:rPr>
                <w:rFonts w:ascii="arial" w:eastAsia="arial" w:hAnsi="arial" w:cs="arial"/>
                <w:color w:val="000000"/>
                <w:sz w:val="18"/>
                <w:u w:val="single"/>
                <w:lang w:val="en-US" w:eastAsia="en-US" w:bidi="ar-SA"/>
              </w:rPr>
              <w:t>you're not really addressing the migraine trigger</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Just like if a neurologist was to see somebody with classic migraines, they're going to look at what the triggers are, try to identify those, reduce those</w:t>
            </w:r>
            <w:r>
              <w:rPr>
                <w:rFonts w:ascii="arial" w:eastAsia="arial" w:hAnsi="arial" w:cs="arial"/>
                <w:color w:val="000000"/>
                <w:sz w:val="18"/>
                <w:lang w:val="en-US" w:eastAsia="en-US" w:bidi="ar-SA"/>
              </w:rPr>
              <w:t xml:space="preserve">. They would try medications. They would try different therapies. </w:t>
            </w:r>
            <w:r>
              <w:rPr>
                <w:rFonts w:ascii="arial" w:eastAsia="arial" w:hAnsi="arial" w:cs="arial"/>
                <w:color w:val="000000"/>
                <w:sz w:val="18"/>
                <w:u w:val="single"/>
                <w:lang w:val="en-US" w:eastAsia="en-US" w:bidi="ar-SA"/>
              </w:rPr>
              <w:t>They would essentially try everything before jumping to the Botox</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Dr. Craig mischaracterized Dr. Caillier's recommendation for Botox treatments when he suggested that she had "jumped" to recommending Botox. As I explain in the Cost of Future Care section, she recommended Botox injections if additional therapies are unsuccessful. Dr. Craig also overlooked, when giving the evidence noted in the foregoing excerpt, the numerous other treatment protocols recommended by Dr. Caillier, which were undertaken by Mr. Wong.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Sixth, Dr. Craig's opinion in his medical legal report for potential complete resolution of symptoms appears to be mentioned in passing, without elaboration, and not expressed as something that is likely or probable.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It is also at odds with his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evidence, where Dr. Craig:</w:t>
      </w:r>
      <w:r>
        <w:rPr>
          <w:rFonts w:ascii="arial" w:eastAsia="arial" w:hAnsi="arial" w:cs="arial"/>
          <w:sz w:val="20"/>
          <w:lang w:val="en-US" w:eastAsia="en-US" w:bidi="ar-SA"/>
        </w:rPr>
        <w:cr/>
      </w:r>
    </w:p>
    <w:p>
      <w:pPr>
        <w:numPr>
          <w:numId w:val="2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agreed that if Mr. Wong remains physically fit, and despite working out regularly for the last six months, continues to suffer headaches, neck, and back pain, there is a reduced probability for resolution of his symptoms;</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acknowledged the two year post-accident mark is a fairly accurate average time interval for improvement (the 2011 Collision was eight years ago and the 2016 Collision was over three years ago); and</w:t>
      </w:r>
    </w:p>
    <w:p>
      <w:pPr>
        <w:numPr>
          <w:numId w:val="2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acknowledged that he still sees patients who are symptomatic in over seven or nine years in spite of improvements in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For these reasons, I prefer the opinions expressed by Dr. Caillier in her two reports and at trial over those of Dr. Craig where they conflict.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Low Back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This is an appropriate point to discuss my findings concerning the cause of Mr. Wong's low back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The absence of a note in Dr. Lim's records concerning low back pain following the 2011 Collision and prior to the 2013 Snowboarding Accident is not proof that the 2011 Collision did not cause a low back injury and not proof that Mr. Wong did not suffer low back pain: </w:t>
      </w:r>
      <w:r>
        <w:rPr>
          <w:rFonts w:ascii="arial" w:eastAsia="arial" w:hAnsi="arial" w:cs="arial"/>
          <w:i/>
          <w:color w:val="000000"/>
          <w:sz w:val="20"/>
          <w:lang w:val="en-US" w:eastAsia="en-US" w:bidi="ar-SA"/>
        </w:rPr>
        <w:t>Edmondson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Myers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Dr. Lim was not called as a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After observing and considering the evidence of Mr. Wong and his mother, I am satisfied Mr. Wong's delay in noticing his low back symptoms following the 2011 Collision was due to the severity of his other symptoms. His low back symptoms were and remain minor in comparison to his other symptoms. It is also clear Mr. Wong has never been overly focused on his low back issues. I am satisfied the 2011 Collision caused Mr. Wong mild low back pain and discomfort. There is no evidence the nature of the low back injury was anything other than soft tissue.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 also find the 2013 Snowboarding Accident mildly aggravated Mr. Wong's low back pain. Symptoms resulting from that aggravation quickly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2014 Single Vehicle Collision had no effect on Mr. Wong's low back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However, the 2016 Collision worsened his low back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I reject the defendants' submission that Mr. Wong's award should not take into account any aggravation to his low back injury caused by the 2016 Collision. They argue his low back injury from the 2013 Snowboarding Accident posed a measurable risk that would detrimentally affect him in the future. Their submission is not supported by evidence. There is also no evidence to engage the defendants' reliance on the crumbling skull and measureable risk analysis discussed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07"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35. Speculation is not a basis to support an assertion of measurable risk: </w:t>
      </w:r>
      <w:r>
        <w:rPr>
          <w:rFonts w:ascii="arial" w:eastAsia="arial" w:hAnsi="arial" w:cs="arial"/>
          <w:i/>
          <w:color w:val="000000"/>
          <w:sz w:val="20"/>
          <w:lang w:val="en-US" w:eastAsia="en-US" w:bidi="ar-SA"/>
        </w:rPr>
        <w:t>Zacharias v. Leys</w:t>
      </w:r>
      <w:r>
        <w:rPr>
          <w:rFonts w:ascii="arial" w:eastAsia="arial" w:hAnsi="arial" w:cs="arial"/>
          <w:color w:val="000000"/>
          <w:sz w:val="20"/>
          <w:lang w:val="en-US" w:eastAsia="en-US" w:bidi="ar-SA"/>
        </w:rPr>
        <w:t xml:space="preserve">, </w:t>
      </w:r>
      <w:hyperlink r:id="rId257" w:history="1">
        <w:r>
          <w:rPr>
            <w:rFonts w:ascii="arial" w:eastAsia="arial" w:hAnsi="arial" w:cs="arial"/>
            <w:i/>
            <w:color w:val="0077CC"/>
            <w:sz w:val="20"/>
            <w:u w:val="single"/>
            <w:shd w:val="clear" w:color="auto" w:fill="FFFFFF"/>
            <w:lang w:val="en-US" w:eastAsia="en-US" w:bidi="ar-SA"/>
          </w:rPr>
          <w:t>2005 BCCA 560</w:t>
        </w:r>
      </w:hyperlink>
      <w:r>
        <w:rPr>
          <w:rFonts w:ascii="arial" w:eastAsia="arial" w:hAnsi="arial" w:cs="arial"/>
          <w:color w:val="000000"/>
          <w:sz w:val="20"/>
          <w:lang w:val="en-US" w:eastAsia="en-US" w:bidi="ar-SA"/>
        </w:rPr>
        <w:t xml:space="preserve"> at para.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Even assuming the 2013 Snowboarding Accident was the initial cause of Mr. Wong's low back symptoms, the doctrine of indivisible injury is engaged on the evidence in this case such that the tortious defendant in the 2016 Collision is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Indivisible injuries "are those that cannot be separated or have liability attributed to constituent causes": </w:t>
      </w:r>
      <w:r>
        <w:rPr>
          <w:rFonts w:ascii="arial" w:eastAsia="arial" w:hAnsi="arial" w:cs="arial"/>
          <w:i/>
          <w:color w:val="000000"/>
          <w:sz w:val="20"/>
          <w:lang w:val="en-US" w:eastAsia="en-US" w:bidi="ar-SA"/>
        </w:rPr>
        <w:t>Bradley v. Groves</w:t>
      </w:r>
      <w:r>
        <w:rPr>
          <w:rFonts w:ascii="arial" w:eastAsia="arial" w:hAnsi="arial" w:cs="arial"/>
          <w:color w:val="000000"/>
          <w:sz w:val="20"/>
          <w:lang w:val="en-US" w:eastAsia="en-US" w:bidi="ar-SA"/>
        </w:rPr>
        <w:t xml:space="preserve">, </w:t>
      </w:r>
      <w:hyperlink r:id="rId258" w:history="1">
        <w:r>
          <w:rPr>
            <w:rFonts w:ascii="arial" w:eastAsia="arial" w:hAnsi="arial" w:cs="arial"/>
            <w:i/>
            <w:color w:val="0077CC"/>
            <w:sz w:val="20"/>
            <w:u w:val="single"/>
            <w:shd w:val="clear" w:color="auto" w:fill="FFFFFF"/>
            <w:lang w:val="en-US" w:eastAsia="en-US" w:bidi="ar-SA"/>
          </w:rPr>
          <w:t>2010 BCCA 361</w:t>
        </w:r>
      </w:hyperlink>
      <w:r>
        <w:rPr>
          <w:rFonts w:ascii="arial" w:eastAsia="arial" w:hAnsi="arial" w:cs="arial"/>
          <w:color w:val="000000"/>
          <w:sz w:val="20"/>
          <w:lang w:val="en-US" w:eastAsia="en-US" w:bidi="ar-SA"/>
        </w:rPr>
        <w:t xml:space="preserve"> at para. 20. In that case, the Court of Appeal discussed the meaning of an indivisible injury, and noting the difference between causation and liability: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was a case involving both multiple tortious and non-tortious causes. The plaintiff had been injured in two motor vehicle accidents. While still recovering, he herniated a disc in his back during stretching at the gym. The question before the Court was how the damages should be apportioned between the tortious and non-tortious causes.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The Supreme Court of Canada found apportionment between tortious and non-tortious causes contrary to the principles of tort law, and therefore impermissible. The liability for any injury caused or contributed to by a tortious action should be borne jointly and severally by the tortfeasors, and not attributed to non-tortious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In the course of the discussion, Major J. (for the Court) described injuries produced by more than one cause as either "divisible" or "indivisible". Divisible injuries are those capable of being separated out and having their damages assessed independently. Indivisible injuries are those that cannot be separated or have liability attributed to the constituent causes. At paras. 22-25, he commented on apportionment between multiple causes and the issue of divisibility:</w:t>
      </w:r>
    </w:p>
    <w:p>
      <w:pPr>
        <w:numPr>
          <w:numId w:val="2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Multiple Tortious Causes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The respondents argued that apportionment between tortious and non-tortious causes should be permitted just as it is where multiple tortfeasors cause the injury. The two situations are not analogous. </w:t>
      </w:r>
      <w:r>
        <w:rPr>
          <w:rFonts w:ascii="arial" w:eastAsia="arial" w:hAnsi="arial" w:cs="arial"/>
          <w:color w:val="000000"/>
          <w:sz w:val="20"/>
          <w:u w:val="single"/>
          <w:lang w:val="en-US" w:eastAsia="en-US" w:bidi="ar-SA"/>
        </w:rPr>
        <w:t xml:space="preserve">Apportionment between tortious causes is expressly permitted by provincial </w:t>
      </w:r>
      <w:r>
        <w:rPr>
          <w:rFonts w:ascii="arial" w:eastAsia="arial" w:hAnsi="arial" w:cs="arial"/>
          <w:b/>
          <w:i/>
          <w:color w:val="000000"/>
          <w:sz w:val="20"/>
          <w:u w:val="single"/>
          <w:lang w:val="en-US" w:eastAsia="en-US" w:bidi="ar-SA"/>
        </w:rPr>
        <w:t>negligence</w:t>
      </w:r>
      <w:r>
        <w:rPr>
          <w:rFonts w:ascii="arial" w:eastAsia="arial" w:hAnsi="arial" w:cs="arial"/>
          <w:color w:val="000000"/>
          <w:sz w:val="20"/>
          <w:u w:val="single"/>
          <w:lang w:val="en-US" w:eastAsia="en-US" w:bidi="ar-SA"/>
        </w:rPr>
        <w:t xml:space="preserve"> statutes and is consistent with the general principles of tort law. The plaintiff is still fully compensated and is placed in the position he or she would have been in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u w:val="single"/>
          <w:lang w:val="en-US" w:eastAsia="en-US" w:bidi="ar-SA"/>
        </w:rPr>
        <w:t xml:space="preserve"> of the defendants. Each defendant remains fully liable to the plaintiff for the injury, since each was a cause of the injury. The legislation simply permits defendants to seek contribution and indemnity from one another, according to the degree of responsibility for the injury</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Divisible Injuries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 The respondents submitted that apportionment is permitted where the injuries caused by two defendants are divisible (for example, one injuring the plaintiff's foot and the other the plaintiff's arm): Fleming, supra, at p. 201. Separation of distinct and divisible injuries is not truly apportionment; it is simply making each defendant liable only for the injury he or she has caused, according to the usual rule. The respondents are correct that separation is also permitted where some of the injuries have tortious causes and some of the injuries have non-tortious causes: Fleming,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 202. Again, such cases merely recognize that the defendant is not liable for injuries which were not caused by his or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Accordingly, liability to a plaintiff for indivisible injuries is joint and several.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The conclusions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were further refined in the decision of the Supreme Court in </w:t>
      </w:r>
      <w:r>
        <w:rPr>
          <w:rFonts w:ascii="arial" w:eastAsia="arial" w:hAnsi="arial" w:cs="arial"/>
          <w:i/>
          <w:color w:val="000000"/>
          <w:sz w:val="20"/>
          <w:lang w:val="en-US" w:eastAsia="en-US" w:bidi="ar-SA"/>
        </w:rPr>
        <w:t>E.D.G. v. Hammer</w:t>
      </w:r>
      <w:r>
        <w:rPr>
          <w:rFonts w:ascii="arial" w:eastAsia="arial" w:hAnsi="arial" w:cs="arial"/>
          <w:color w:val="000000"/>
          <w:sz w:val="20"/>
          <w:lang w:val="en-US" w:eastAsia="en-US" w:bidi="ar-SA"/>
        </w:rPr>
        <w:t xml:space="preserve">, </w:t>
      </w:r>
      <w:hyperlink r:id="rId259" w:history="1">
        <w:r>
          <w:rPr>
            <w:rFonts w:ascii="arial" w:eastAsia="arial" w:hAnsi="arial" w:cs="arial"/>
            <w:i/>
            <w:color w:val="0077CC"/>
            <w:sz w:val="20"/>
            <w:u w:val="single"/>
            <w:shd w:val="clear" w:color="auto" w:fill="FFFFFF"/>
            <w:lang w:val="en-US" w:eastAsia="en-US" w:bidi="ar-SA"/>
          </w:rPr>
          <w:t>2003 SCC 52</w:t>
        </w:r>
      </w:hyperlink>
      <w:r>
        <w:rPr>
          <w:rFonts w:ascii="arial" w:eastAsia="arial" w:hAnsi="arial" w:cs="arial"/>
          <w:color w:val="000000"/>
          <w:sz w:val="20"/>
          <w:lang w:val="en-US" w:eastAsia="en-US" w:bidi="ar-SA"/>
        </w:rPr>
        <w:t>, [2003] 2 S.C.R. 429.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In </w:t>
      </w:r>
      <w:r>
        <w:rPr>
          <w:rFonts w:ascii="arial" w:eastAsia="arial" w:hAnsi="arial" w:cs="arial"/>
          <w:i/>
          <w:color w:val="000000"/>
          <w:sz w:val="20"/>
          <w:lang w:val="en-US" w:eastAsia="en-US" w:bidi="ar-SA"/>
        </w:rPr>
        <w:t>E.D.G</w:t>
      </w:r>
      <w:r>
        <w:rPr>
          <w:rFonts w:ascii="arial" w:eastAsia="arial" w:hAnsi="arial" w:cs="arial"/>
          <w:color w:val="000000"/>
          <w:sz w:val="20"/>
          <w:lang w:val="en-US" w:eastAsia="en-US" w:bidi="ar-SA"/>
        </w:rPr>
        <w:t>. the majority of the Court per McLachlin C.J.C., said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w:t>
      </w:r>
      <w:r>
        <w:rPr>
          <w:rFonts w:ascii="arial" w:eastAsia="arial" w:hAnsi="arial" w:cs="arial"/>
          <w:b/>
          <w:color w:val="000000"/>
          <w:sz w:val="20"/>
          <w:lang w:val="en-US" w:eastAsia="en-US" w:bidi="ar-SA"/>
        </w:rPr>
        <w:t>In my view, the Board's reading of the principle articulated in</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Athey</w:t>
      </w:r>
      <w:r>
        <w:rPr>
          <w:rFonts w:ascii="arial" w:eastAsia="arial" w:hAnsi="arial" w:cs="arial"/>
          <w:b/>
          <w:color w:val="000000"/>
          <w:sz w:val="20"/>
          <w:lang w:val="en-US" w:eastAsia="en-US" w:bidi="ar-SA"/>
        </w:rPr>
        <w:t xml:space="preserve"> is overly</w:t>
      </w:r>
      <w:r>
        <w:rPr>
          <w:rFonts w:ascii="arial" w:eastAsia="arial" w:hAnsi="arial" w:cs="arial"/>
          <w:color w:val="000000"/>
          <w:sz w:val="20"/>
          <w:lang w:val="en-US" w:eastAsia="en-US" w:bidi="ar-SA"/>
        </w:rPr>
        <w:t xml:space="preserve"> narrow. After making the claim cited above, Major J. further expanded upon his reasoning, stating at para. 19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law does not excuse a defendant from liability merely because </w:t>
      </w:r>
      <w:r>
        <w:rPr>
          <w:rFonts w:ascii="arial" w:eastAsia="arial" w:hAnsi="arial" w:cs="arial"/>
          <w:color w:val="000000"/>
          <w:sz w:val="20"/>
          <w:u w:val="single"/>
          <w:lang w:val="en-US" w:eastAsia="en-US" w:bidi="ar-SA"/>
        </w:rPr>
        <w:t>other causal factors</w:t>
      </w:r>
      <w:r>
        <w:rPr>
          <w:rFonts w:ascii="arial" w:eastAsia="arial" w:hAnsi="arial" w:cs="arial"/>
          <w:color w:val="000000"/>
          <w:sz w:val="20"/>
          <w:lang w:val="en-US" w:eastAsia="en-US" w:bidi="ar-SA"/>
        </w:rPr>
        <w:t xml:space="preserve"> for which he is not responsible also helped produce the harm ... It is sufficient if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w:t>
      </w:r>
      <w:r>
        <w:rPr>
          <w:rFonts w:ascii="arial" w:eastAsia="arial" w:hAnsi="arial" w:cs="arial"/>
          <w:color w:val="000000"/>
          <w:sz w:val="20"/>
          <w:u w:val="single"/>
          <w:lang w:val="en-US" w:eastAsia="en-US" w:bidi="ar-SA"/>
        </w:rPr>
        <w:t>a</w:t>
      </w:r>
      <w:r>
        <w:rPr>
          <w:rFonts w:ascii="arial" w:eastAsia="arial" w:hAnsi="arial" w:cs="arial"/>
          <w:color w:val="000000"/>
          <w:sz w:val="20"/>
          <w:lang w:val="en-US" w:eastAsia="en-US" w:bidi="ar-SA"/>
        </w:rPr>
        <w:t xml:space="preserve"> cause of the harm... [First emphasis added; second emphasis in original.]</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This principle is not confined to cases involving non-tortious preconditions. It applies to any case in which the injuries caused by a number of factors are indivisible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There can be no question that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requires joint and several liability for indivisible injuries. Once a trial judge has concluded as a fact that an injury is indivisible, then the tortfeasors are jointly liable to the plaintiff. They can still seek apportionment (contribution and indemnity) from each other, but absent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 can claim the entire amount from any of them.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The approach to apportionment in </w:t>
      </w:r>
      <w:r>
        <w:rPr>
          <w:rFonts w:ascii="arial" w:eastAsia="arial" w:hAnsi="arial" w:cs="arial"/>
          <w:i/>
          <w:color w:val="000000"/>
          <w:sz w:val="20"/>
          <w:lang w:val="en-US" w:eastAsia="en-US" w:bidi="ar-SA"/>
        </w:rPr>
        <w:t>Long v. Thiessen</w:t>
      </w:r>
      <w:r>
        <w:rPr>
          <w:rFonts w:ascii="arial" w:eastAsia="arial" w:hAnsi="arial" w:cs="arial"/>
          <w:color w:val="000000"/>
          <w:sz w:val="20"/>
          <w:lang w:val="en-US" w:eastAsia="en-US" w:bidi="ar-SA"/>
        </w:rPr>
        <w:t xml:space="preserve"> is therefore no longer applicable to indivisible injuries. The reason is that </w:t>
      </w:r>
      <w:r>
        <w:rPr>
          <w:rFonts w:ascii="arial" w:eastAsia="arial" w:hAnsi="arial" w:cs="arial"/>
          <w:i/>
          <w:color w:val="000000"/>
          <w:sz w:val="20"/>
          <w:lang w:val="en-US" w:eastAsia="en-US" w:bidi="ar-SA"/>
        </w:rPr>
        <w:t>Long v. Thiessen</w:t>
      </w:r>
      <w:r>
        <w:rPr>
          <w:rFonts w:ascii="arial" w:eastAsia="arial" w:hAnsi="arial" w:cs="arial"/>
          <w:color w:val="000000"/>
          <w:sz w:val="20"/>
          <w:lang w:val="en-US" w:eastAsia="en-US" w:bidi="ar-SA"/>
        </w:rPr>
        <w:t xml:space="preserve"> pre-supposes </w:t>
      </w:r>
      <w:r>
        <w:rPr>
          <w:rFonts w:ascii="arial" w:eastAsia="arial" w:hAnsi="arial" w:cs="arial"/>
          <w:color w:val="000000"/>
          <w:sz w:val="20"/>
          <w:u w:val="single"/>
          <w:lang w:val="en-US" w:eastAsia="en-US" w:bidi="ar-SA"/>
        </w:rPr>
        <w:t>divisibility</w:t>
      </w:r>
      <w:r>
        <w:rPr>
          <w:rFonts w:ascii="arial" w:eastAsia="arial" w:hAnsi="arial" w:cs="arial"/>
          <w:color w:val="000000"/>
          <w:sz w:val="20"/>
          <w:lang w:val="en-US" w:eastAsia="en-US" w:bidi="ar-SA"/>
        </w:rPr>
        <w:t>: Long requires courts to take a single injury and divide it up into constituent causes or points in time, and assess damages twice; once on the day before the second tort, and once at trial. Each defendant is responsible only for their share of the injury and the plaintiff can recover only the appropriate portion from each tortfeasor.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That approach is logically incompatible with the concept of an </w:t>
      </w:r>
      <w:r>
        <w:rPr>
          <w:rFonts w:ascii="arial" w:eastAsia="arial" w:hAnsi="arial" w:cs="arial"/>
          <w:color w:val="000000"/>
          <w:sz w:val="20"/>
          <w:u w:val="single"/>
          <w:lang w:val="en-US" w:eastAsia="en-US" w:bidi="ar-SA"/>
        </w:rPr>
        <w:t>indivisible</w:t>
      </w:r>
      <w:r>
        <w:rPr>
          <w:rFonts w:ascii="arial" w:eastAsia="arial" w:hAnsi="arial" w:cs="arial"/>
          <w:color w:val="000000"/>
          <w:sz w:val="20"/>
          <w:lang w:val="en-US" w:eastAsia="en-US" w:bidi="ar-SA"/>
        </w:rPr>
        <w:t xml:space="preserve"> injury. If an injury cannot be divided into distinct parts, then joint liability to the plaintiff cannot be apportioned either. It is clear that tortfeasors causing or contributing to a single, indivisible injury are jointly liable to the plaintiff. This in no way restricts the tortfeasors' right to apportionment as between themselves under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but it is a matter of indifference to the plaintiff, who may claim the entire amount from any defendant.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[36] It may be that this represents an extension of pecuniary liability for consecutive or concurrent tortfeasors who contribute to an indivisible injury. We do not think it can be said that the Supreme Court of Canada was unmindful of that consequence. Moreover, apportionment legislation can potentially remedy injustice to defendants by letting them claim contribution and indemnity as against one another.</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Since Mr. Wong's case involves instances of aggravation of pre-existing injuries, I also rely on the Court of Appeal's statement in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xml:space="preserve"> that an aggravation of a pre-existing injury is not qualitatively different from an indivisible injury: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[37] </w:t>
      </w:r>
      <w:r>
        <w:rPr>
          <w:rFonts w:ascii="arial" w:eastAsia="arial" w:hAnsi="arial" w:cs="arial"/>
          <w:color w:val="000000"/>
          <w:sz w:val="20"/>
          <w:u w:val="single"/>
          <w:lang w:val="en-US" w:eastAsia="en-US" w:bidi="ar-SA"/>
        </w:rPr>
        <w:t>We are also unable to accept the appellant's submission that "aggravation" and "indivisibility" are qualitatively different, and require different legal approaches. If a trial judge finds on the facts of a particular case that subsequent tortious action has merged with prior tortious action to create an injury that is not attributable to one particular tortfeasor, then a finding of indivisibility is inevitable</w:t>
      </w:r>
      <w:r>
        <w:rPr>
          <w:rFonts w:ascii="arial" w:eastAsia="arial" w:hAnsi="arial" w:cs="arial"/>
          <w:color w:val="000000"/>
          <w:sz w:val="20"/>
          <w:lang w:val="en-US" w:eastAsia="en-US" w:bidi="ar-SA"/>
        </w:rPr>
        <w:t xml:space="preserve">. That one tort made worse what another tort created does not automatically implicate a thin or crumbling skull approach (as in </w:t>
      </w:r>
      <w:r>
        <w:rPr>
          <w:rFonts w:ascii="arial" w:eastAsia="arial" w:hAnsi="arial" w:cs="arial"/>
          <w:i/>
          <w:color w:val="000000"/>
          <w:sz w:val="20"/>
          <w:lang w:val="en-US" w:eastAsia="en-US" w:bidi="ar-SA"/>
        </w:rPr>
        <w:t>Blackwater</w:t>
      </w:r>
      <w:r>
        <w:rPr>
          <w:rFonts w:ascii="arial" w:eastAsia="arial" w:hAnsi="arial" w:cs="arial"/>
          <w:color w:val="000000"/>
          <w:sz w:val="20"/>
          <w:lang w:val="en-US" w:eastAsia="en-US" w:bidi="ar-SA"/>
        </w:rPr>
        <w:t xml:space="preserve">), if the injuries cannot be distinguished from one another on the facts. Those doctrines deal with finding the plaintiff's original position, not with apportioning liability. The first accident remains a cause of the entire indivisible injury suffered by the plaintiff under the "but for" approach to causation endorsed by the Supreme Court of Canada in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260"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w:t>
      </w:r>
      <w:hyperlink r:id="rId260" w:history="1">
        <w:r>
          <w:rPr>
            <w:rFonts w:ascii="arial" w:eastAsia="arial" w:hAnsi="arial" w:cs="arial"/>
            <w:i/>
            <w:color w:val="0077CC"/>
            <w:sz w:val="20"/>
            <w:u w:val="single"/>
            <w:shd w:val="clear" w:color="auto" w:fill="FFFFFF"/>
            <w:lang w:val="en-US" w:eastAsia="en-US" w:bidi="ar-SA"/>
          </w:rPr>
          <w:t>[2007] 1 S.C.R. 333</w:t>
        </w:r>
      </w:hyperlink>
      <w:r>
        <w:rPr>
          <w:rFonts w:ascii="arial" w:eastAsia="arial" w:hAnsi="arial" w:cs="arial"/>
          <w:color w:val="000000"/>
          <w:sz w:val="20"/>
          <w:lang w:val="en-US" w:eastAsia="en-US" w:bidi="ar-SA"/>
        </w:rPr>
        <w:t xml:space="preserve">. As noted by McLachlin C.J.C. in that case, showing that there are multiple causes for an injury will not excuse any particular tortfeasor found to have caused an injury on a "but-for" test, as "there is more than one potential cause in virtually all litigated cases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(at para. 19). It may be that in some cases, earlier injury and later injury to the same region of the body are divisible. </w:t>
      </w:r>
      <w:r>
        <w:rPr>
          <w:rFonts w:ascii="arial" w:eastAsia="arial" w:hAnsi="arial" w:cs="arial"/>
          <w:color w:val="000000"/>
          <w:sz w:val="20"/>
          <w:u w:val="single"/>
          <w:lang w:val="en-US" w:eastAsia="en-US" w:bidi="ar-SA"/>
        </w:rPr>
        <w:t>While it will lie for the trial judge to decide in the circumstances of each case, it is difficult to see how the worsening of a single injury could be divided up</w:t>
      </w:r>
      <w:r>
        <w:rPr>
          <w:rFonts w:ascii="arial" w:eastAsia="arial" w:hAnsi="arial" w:cs="arial"/>
          <w:color w:val="000000"/>
          <w:sz w:val="20"/>
          <w:lang w:val="en-US" w:eastAsia="en-US" w:bidi="ar-SA"/>
        </w:rPr>
        <w: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the case at bar, I have found the 2011 Collision was the original cause of Mr. Wong's low back injury. It was mildly and temporarily aggravated in the 2013 Snowboarding Accident. It was aggravated again and worsened as a result of the 2016 Collision. It is only recently that Mr. Wong realized significant improvement in his low back symptoms through his work with a personal trainer. Applying the reasoning in Bradley to the case at bar, the tortious conduct of the defendant, Mr. Harrison, in the 2016 Collision, has merged with the tortious action of the defendant, Ms. Campbell, the tortfeasor driver in the 2011 Collision. Mr. Harrison is jointly and severally liable for the current state of Mr. Wong's low back symptoms, as he is for the aggravation of Mr. Wong's other injuries from the 2011 Collision extant at the time of the 2016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 of Findings of Injuries Sustained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 turn now to set out my findings concerning the specific injuries Mr. Wong sustained in the various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Mr. Wong sustained the following injuries in the 2011 Collision:</w:t>
      </w:r>
      <w:r>
        <w:rPr>
          <w:rFonts w:ascii="arial" w:eastAsia="arial" w:hAnsi="arial" w:cs="arial"/>
          <w:sz w:val="20"/>
          <w:lang w:val="en-US" w:eastAsia="en-US" w:bidi="ar-SA"/>
        </w:rPr>
        <w:cr/>
      </w:r>
    </w:p>
    <w:p>
      <w:pPr>
        <w:numPr>
          <w:numId w:val="3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chronic soft tissue musculoligamentous injury to neck and upper back extending through and into lower back regions;</w:t>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chronic cervicogenic headaches of varying frequency and intensity, affecting concentration, mood, and sleep;</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dizziness, likely associated with headaches;</w:t>
      </w:r>
    </w:p>
    <w:p>
      <w:pPr>
        <w:numPr>
          <w:numId w:val="3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chest pain;</w:t>
      </w:r>
    </w:p>
    <w:p>
      <w:pPr>
        <w:numPr>
          <w:numId w:val="3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soft tissue left shoulder and right shoulder girdle injuries;</w:t>
      </w:r>
    </w:p>
    <w:p>
      <w:pPr>
        <w:numPr>
          <w:numId w:val="3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mild intermittent abdominal pain; and</w:t>
      </w:r>
    </w:p>
    <w:p>
      <w:pPr>
        <w:numPr>
          <w:numId w:val="3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short term anxiety riding in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injuries described in sub-paragraphs (d) to (g) were fully resolved by the time the 2013 Snowboarding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Mr. Wong suffered a left kidney injury in the 2013 Snowboarding Accident, soft tissue injury to his left flank, and a mild, temporary aggravation of his low back symptoms. Dr. Caillier described his injuries as "left renal trauma", "left flank pain", and "abdominal wall trauma" with associated injury from the "psoas to below the iliac crest". His injuries quickly and fully resolved prior to the 2014 Single Vehicle Collision. In Dr. Caillier's opinion, the injuries Mr. Wong sustained in this accident "did not have a significant impact upon [Mr. Wong's] already present [2011 Collision] complaints in the form of neck and back pain as well as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Over time, Mr. Wong's neck and back pain decreased in frequency and intensity such that he was able to accommodate his symptoms in his daily life. He found temporary relief from some of his symptoms with over-the-counter pain medication, acupuncture, massage therapy, and participation in active rehabilitation therapy from November 2016 to October 2017 (all as recommended by Dr. Caillier). His headaches also improved, but not nearly to the same extent as his soft tissue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Mr. Wong suffered short term shock, loss of concentration, ringing in his ears, and generalized stiffness following the 2014 Single Vehicle Collision, but did not suffer any aggravation to his pre-existing injuries other than a temporary increase in his neck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2016 Collision caused aggravation to Mr. Wong's neck and back pain (including his low back) and worsening headache symptoms, which in turn adversely affected his sleep, concentration, mood, and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Mr. Wong also currently complains of infrequent abdominal pain, which Dr. Caillier said (and I accept) is not related to the 2011 Collision or the 2016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Mr. Wong's neck and back symptoms, as well as his posture, strength, and flexibility, have greatly improved since he began working with a personal trainer (who is also a kinesiologist) in June 2019. Mr. Wong was forthright in his evidence when he said that in particular, he noticed significant improvement in his low back symptoms since working out with his personal trainer. Mr. Wong has also been helped with an ergonomic study station at home with an ergonomic chair, elevated laptop stand, and wireless keyboard and mouse. His neck and back pain remain intermittent.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Current Status and 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A useful overview of the status of Mr. Wong's neck and back symptoms as at April 2019 is found in the following extract from Dr. Caillier's April 2019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Wong, since the time he was last seen has been involved in an active rehabilitation program. The active rehabilitation program began in November 2016 and continued through to October 2017. He does report some benefit from this program as it helped with lessening the intensity of the pain a bit, but he did not become pain free, nor did his symptoms return to what they were like prior to May 20, 2016.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Since the time Mr. Wong was last seen, he continues to have ongoing back pain and he describes his back feeling very tight and sore and this involves the scapular region through to the lower back or what he describes as being mid back through the lower back. His neck is pretty good but at times it can also be aggravated in the form of stiffness.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reports that his back pain can be intermittent or constant. At the present time, his back pain is more continuous, and he attributes this to the fact that he is moving from his dorm room to his parents' home.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back symptoms can be triggered with sustained posturing as well as heavier-based activities as well as at times can be present randomly.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His neck symptoms can be triggered with the sustained posturing, particularly head down position.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times, he can have difficulty falling asleep secondary to discomfort through the back region. Also, Mr. Wong reports that he will have difficulties sleeping secondary to the hectic nature of his school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According to Dr. Caillier, there is still room to improve management of Mr. Wong's symptoms. I address those recommendations in the Cost of Future Care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Dr. Caillier and Dr. Craig agree that Mr. Wong is susceptible to worsening pain. As Dr. Caillier explained in her April 2019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remains my opinion that there is increased susceptibility and vulnerability to worsening pain should he sustain trauma to the regions involved with his current complaints. An increase in pain can have a negative impact upon his ability to function not only recreationally but also vocationally and at home.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Wong will need to take breaks as required whether he is studying or at work in order to lessen the stress to the musculature of the neck and back regions.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After having been made aware of Mr. Wong's progress with the personal trainer, in her testimony, Dr. Caillier remains of the opinion that Mr. Wong's prognosis to become completely pain free is poor. The opinion she expressed in her April 2019 Report, as extracted below, concerning ongoing pain to his neck and back regions has not changed: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he will likely continue to have an increased level of pain as well as increased frequency of flares of pain involving the neck and back regions as a result of his involvement in the [2016 Collision].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remains my opinion that benefit from recommendations made will likely result in there being a lessening of symptomatic flares when engaged in sustained posturing or heavier-based activities as well as increased endurance and tolerance for activities, but he is not going to become pain free.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even with further benefit from recommendations made, Mr. Wong will likely to continue to experience flares of pain depending on the activities he is engaged in, whether this is sustained posturing, repetitive or heavier-based activities. In my opinion, Mr. Wong is still capable of participating in such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Turning to Mr. Wong's headaches, they continue to be his primary issue. Their onset remains unpredictable and they vary in frequency and intensity. Even though working out with his personal trainer and on his own at a gym have reduced intensity and frequency, currently, Mr. Wong suffers from mild headaches three to five times a week on average, with at least one intense headache per week. His intense headaches adversely affect his entire day. There are times when a headache will come on suddenly during a day, and then disappear for a short time before returning. Intense headaches affect Mr. Wong's ability to concentrate (in his school classes, homework, and physical activities), his mood (he becomes irritable and withdrawn), sleep, and his willingness to participate in physical and social activities. Mr. Wong is able to obtain some relief with Advil or Tylenol. He tried a prescription pain medication prescribed by Dr. Caillier - Amitriptyline - but found it offered no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According to Dr. Caillier, Mr. Wong's headaches are provoked by increased neck pain (which she described as cervicogenic in nature) and postural and activity triggers (e.g., studying for school), and sometimes for no apparent reason. In her April 2019 Report, she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Wong continues to have headaches that are provoked with increase of neck pain or when he is studying and there are times when the headaches are triggered for no specific reason. The headaches typically involve the frontal regions.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has a mild headache on most days, which is more tolerable, and lately he has more intense headaches once per week. The more intense headaches can last the entire day and occasionally there are associated symptoms in the form of dizziness as well as light and sound sensitivity.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In Dr. Caillier's opinion, it is possible that unknown triggers of Mr. Wong's headaches may be dehydration or stress, which are unrelated to the collisions at issue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However, in her opinion, absent the 2011 Collision and the 2016 Collision, Mr. Wong would not be experiencing his headaches when studying in class or "sustained posturing."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In Dr. Caillier's opinion, Mr. Wong's headaches have not returned to their pre-2016 Collision level. The prospect for return to pre-2016 Collision level is poor. In Dr. Caillier's opinion, much depends on any benefits Mr. Wong may derive from treatment recommendations: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Previously, I opined that Mr. Wong was likely to have ongoing headaches into the future in association with neck symptoms, but the headaches could be improved upon as well as better managed such that they return to the level that they were like prior to [the 2016 Collision].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Wong has not had a return of his headaches to the level that they were prior to [the 2016 Collision];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Mr. Wong is likely to have ongoing headaches now and into the future in association with sustained postures through the head and neck region as well as when there are increases in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it is unlikely that his headaches will return to the level they were prior to [the 2016 Collision].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provided Mr. Wong benefits from recommendations made, there will likely be improved management of headaches with a reduction in intensity and frequency, but he will continue to have intermittent headaches depending upon the level of activity as well as the level of neck pain that he does have.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During the times of a more intense headache, this can have a negative impact upon his ability to engage in activities as well as his cognitive abilities. The more intense headaches can have a negative impact upon his ability to relay information, discuss information as well as to be productive and efficient, whether this is within his post-secondary education or with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remains my opinion that there is increased susceptibility to worsening of headaches should he sustain trauma to the neck region. A worsening of headaches can have a negative impact upon his ability to engage in activities of his choosing.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Abilities and Limitations:</w:t>
      </w:r>
      <w:r>
        <w:rPr>
          <w:rFonts w:ascii="arial" w:eastAsia="arial" w:hAnsi="arial" w:cs="arial"/>
          <w:color w:val="000000"/>
          <w:sz w:val="20"/>
          <w:lang w:val="en-US" w:eastAsia="en-US" w:bidi="ar-SA"/>
        </w:rPr>
        <w:t xml:space="preserve"> It remains my opinion that as a result of the chronic posttraumatic headache condition, there are difficulties with sustained posturing such as head down position or activities that increase the neck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remains my opinion that during the time the headache becomes more intense, this could have a negative impact upon his cognitive capabilities and reduce his ability to focus and retain information as well as relay information. This could have a potential impact upon his efficiency and productivity at work as well as his post-secondary education.</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[Bold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Dr. Callier also noted that Mr. Wong's sleep impairment issues are attributed both to his pain and to the hectic pace of his schoolwork. She recommended stretching and heat prior to retiring at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With the benefit of Dr. Caillier's opinions, I find on a balance of probabilities that her treatment recommendations should allow Mr. Wong to better manage his symptoms, with a corresponding decrease in frequency and intensity. However, symptom management will not alleviate the adverse effects of intense headaches on Mr. Wong's educational and vocational pursuits. As well, Mr. Wong remains vulnerable to worsening symptoms from future trauma to his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Dr. Caillier is clear in her opinion, expressed in her April 2019 Report and testimony at trial, that Mr. Wong's current injuries do not prevent him working, carrying on with his education, bowling, or volunteering as a volleyball coach, so long as he can be accommodated when experiencing symptoms. Mr. Wong is now in a position where he will have to be accommodated at the workplace and take steps himself to avoid activities and postures that increase his symptoms or cause flares for the remainder of his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Impact on Mr. Wong's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Mr. Wong has established that his injuries sustained in the 2011 Collision and 2016 Collision continue to impact his activities and enjoyment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defendants correctly point to Mr. Wong's improvement in symptoms and physical stamina. They also point to the many activities Mr. Wong has engaged in since those accidents, such as his success at competitive bowling, ability to referee volleyball games, working part-time as a residence advisor while attending University of the Fraser Valley, working at a summer camp operated by SuperChefs, outdoor activities (such as hiking, white water rafting, and skeet shooting), working at an archeological dig in Ontario, travel, recent weightlifting at a gym, and pursuing his post secondary education.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However, I disagree with the defendants' submission that his injuries have and will continue to have </w:t>
      </w:r>
      <w:r>
        <w:rPr>
          <w:rFonts w:ascii="arial" w:eastAsia="arial" w:hAnsi="arial" w:cs="arial"/>
          <w:color w:val="000000"/>
          <w:sz w:val="20"/>
          <w:u w:val="single"/>
          <w:lang w:val="en-US" w:eastAsia="en-US" w:bidi="ar-SA"/>
        </w:rPr>
        <w:t>minimal</w:t>
      </w:r>
      <w:r>
        <w:rPr>
          <w:rFonts w:ascii="arial" w:eastAsia="arial" w:hAnsi="arial" w:cs="arial"/>
          <w:color w:val="000000"/>
          <w:sz w:val="20"/>
          <w:lang w:val="en-US" w:eastAsia="en-US" w:bidi="ar-SA"/>
        </w:rPr>
        <w:t xml:space="preserve"> impact on his life, education, and employment prospects.Their submissions overlook a number of key pieces of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First, Mr. Wong assiduously followed Dr. Lim's advice to remain active and has used his best efforts to work through his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Second, with respect to bowling, evidence from Mr. Wong's bowling instructors/coaches demonstrates that in spite of Mr. Wong's reticence to discuss his symptoms, it was clear to them when Mr. Wong was suffering from pain or headaches because it affected his physical stance, gait, and his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Third, Mr. Wong' supervisor at the University of the Fraser Valley testified it was clear to her when Mr. Wong was suffering from headaches or back pain. On those occasions, he presented as lethargic; his outward appearance and mood were subdued as opposed to his "usual positive self". His supervisor said she "could see it in his eyes" and encouraged him to take time off of his duties and rest, which Mr. Wong was always hesitant to do. Mr. Wong's supervisor respected Mr. Wong's privacy, his gung-ho attitude, and work ethic, and ultimately agreed to let him decide how best to proceed when suffering from increased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Mr. Wong's reticence to mention his symptoms is also reflected in his desire not to be viewed as different from his peers. When asked why he did not apply for any special consideration or accommodation at school, Mr. Wong explained that he did not wish to be treated in a way such that others would view him as unusual or as someone who could not perform.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Fourth, the defendants' position ignores Mr. Wong's own credible evidence concerning the breaks he had to take while bowling, refereeing, travel, at summer camps, and working at the archeology dig site. Sometimes he could relieve his symptoms with breaks to stretch or move about; at other times, particularly when suffering from an intense headache, he had to postpone activities, often for a day, and felt withdrawn and irritable.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Fifth, Mr. Wong's good academic performance at the University of the Fraser Valley demonstrate his work ethic but do not detract from his evidence and the evidence of credible corroborating lay witnesses concerning the adverse effects of his pain and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Lastly, their submission overlooks Dr. Craig's evidence concerning Mr. Wong's vulnerability and the effect of his injuries on his vocational pursuits.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 find that while Mr. Wong is making efforts to carry on his normal activities and to be as physically active as possible in spite of his symptoms, his headaches and, to a lesser extent, his neck and back pain, continue to have an ongoing adverse impact on his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At this juncture, Mr. Wong's symptoms have plateaued.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He suffers from ongoing chronic pain attributed to his neck and back pain and ongoing headaches, which can only be managed as opposed to cured.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Mr. Wong's most significant complaint is his ongoing headaches. On average, he suffers from mild headaches three to five times per week and one intense headache once per week which affects his concentration, mood, activities, and sleep. Mr. Wong's neck and back pain are significantly improved, with the latter now presenting mainly as discomfort and stiffness that Mr. Wong is able to cope with and manage. Mr. Wong's prognosis for further recovery is poor. He is susceptible to flares of pain and to further injury. It is expected that Mr. Wong will suffer headaches of varying intensity and frequency for the remainder of his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Non 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In the oft-cited decision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117"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the Court of Appeal set out a non-exhaustive list of common factors which influence an award of non-pecuniary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he inexhaustive list of common factors cited in </w:t>
      </w:r>
      <w:r>
        <w:rPr>
          <w:rFonts w:ascii="arial" w:eastAsia="arial" w:hAnsi="arial" w:cs="arial"/>
          <w:i/>
          <w:color w:val="000000"/>
          <w:sz w:val="20"/>
          <w:lang w:val="en-US" w:eastAsia="en-US" w:bidi="ar-SA"/>
        </w:rPr>
        <w:t>Boyd</w:t>
      </w:r>
      <w:r>
        <w:rPr>
          <w:rFonts w:ascii="arial" w:eastAsia="arial" w:hAnsi="arial" w:cs="arial"/>
          <w:color w:val="000000"/>
          <w:sz w:val="20"/>
          <w:lang w:val="en-US" w:eastAsia="en-US" w:bidi="ar-SA"/>
        </w:rPr>
        <w:t xml:space="preserve"> that influence an award of non-pecuniary damages includes:</w:t>
      </w:r>
    </w:p>
    <w:p>
      <w:pPr>
        <w:numPr>
          <w:numId w:val="3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4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4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4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 impairment of family, marital and social relationships;</w:t>
      </w:r>
    </w:p>
    <w:p>
      <w:pPr>
        <w:numPr>
          <w:numId w:val="4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4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4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plaintiff's stoicism (as a factor that should not, generally speaking, penalize the plaintiff</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122"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(QL), </w:t>
      </w:r>
      <w:hyperlink r:id="rId122"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The parties cited a number of case authorities in support of their submissions concerning the appropriate quantum of the award. In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Madam Justice Kirkpatrick cautioned against engaging </w:t>
      </w:r>
      <w:r>
        <w:rPr>
          <w:rFonts w:ascii="arial" w:eastAsia="arial" w:hAnsi="arial" w:cs="arial"/>
          <w:color w:val="000000"/>
          <w:sz w:val="20"/>
          <w:u w:val="single"/>
          <w:lang w:val="en-US" w:eastAsia="en-US" w:bidi="ar-SA"/>
        </w:rPr>
        <w:t>solely</w:t>
      </w:r>
      <w:r>
        <w:rPr>
          <w:rFonts w:ascii="arial" w:eastAsia="arial" w:hAnsi="arial" w:cs="arial"/>
          <w:color w:val="000000"/>
          <w:sz w:val="20"/>
          <w:lang w:val="en-US" w:eastAsia="en-US" w:bidi="ar-SA"/>
        </w:rPr>
        <w:t xml:space="preserve"> in a comparative analysis of the injuries suffered by plaintiffs in prior decisions to those suffered by the plaintiff in the case at bar when assessing an appropriate award. The award must take into account the specific circumstances of the victim: paras. 44-45.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 have considered the cases cited by the parties with that caution in mind.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cases cited by the parties in their written submissions provide useful guidance of an appropriate range for the award under this head of damage, and for that reason I have excerpted their helpful review of those cases from their written submissions (the bold is in their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In his written submissions, Mr. Wong cited these cases with awards ranging between $85,000 and $110,000) in support of his submission that an appropriate award is $95,000:</w:t>
      </w:r>
      <w:r>
        <w:rPr>
          <w:rFonts w:ascii="arial" w:eastAsia="arial" w:hAnsi="arial" w:cs="arial"/>
          <w:sz w:val="20"/>
          <w:lang w:val="en-US" w:eastAsia="en-US" w:bidi="ar-SA"/>
        </w:rPr>
        <w:cr/>
      </w:r>
    </w:p>
    <w:p>
      <w:pPr>
        <w:numPr>
          <w:numId w:val="4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Parker's non-pecuniary award can be considered in reference to the following comparable cases involving chronic intermittent pain spanning several years by the time of trial:</w:t>
      </w:r>
    </w:p>
    <w:p>
      <w:pPr>
        <w:numPr>
          <w:numId w:val="4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Blackman v. Dha</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 xml:space="preserve"> </w:t>
      </w:r>
      <w:hyperlink r:id="rId261" w:history="1">
        <w:r>
          <w:rPr>
            <w:rFonts w:ascii="arial" w:eastAsia="arial" w:hAnsi="arial" w:cs="arial"/>
            <w:b/>
            <w:i/>
            <w:color w:val="0077CC"/>
            <w:sz w:val="20"/>
            <w:u w:val="single"/>
            <w:shd w:val="clear" w:color="auto" w:fill="FFFFFF"/>
            <w:lang w:val="en-US" w:eastAsia="en-US" w:bidi="ar-SA"/>
          </w:rPr>
          <w:t>2015 BCSC 698</w:t>
        </w:r>
      </w:hyperlink>
      <w:r>
        <w:rPr>
          <w:rFonts w:ascii="arial" w:eastAsia="arial" w:hAnsi="arial" w:cs="arial"/>
          <w:color w:val="000000"/>
          <w:sz w:val="20"/>
          <w:lang w:val="en-US" w:eastAsia="en-US" w:bidi="ar-SA"/>
        </w:rPr>
        <w:t>: The Plaintiff [age 37] suffered with intermittent and mild neck pain and headaches following a collision that occurred 5 years before trial. The medical prognosis was to the effect that this mild intermittent pain would continue into the future. The Plaintiff continued to work-full time since the collision, and was able to participate in recreational and family activities. The court found that the plaintiff remained stoical and determined in the face of her pain. Madam Justice Devlin awarded $80,000 in non-pecuniary damages (</w:t>
      </w:r>
      <w:r>
        <w:rPr>
          <w:rFonts w:ascii="arial" w:eastAsia="arial" w:hAnsi="arial" w:cs="arial"/>
          <w:b/>
          <w:color w:val="000000"/>
          <w:sz w:val="20"/>
          <w:lang w:val="en-US" w:eastAsia="en-US" w:bidi="ar-SA"/>
        </w:rPr>
        <w:t>$85,000</w:t>
      </w:r>
      <w:r>
        <w:rPr>
          <w:rFonts w:ascii="arial" w:eastAsia="arial" w:hAnsi="arial" w:cs="arial"/>
          <w:color w:val="000000"/>
          <w:sz w:val="20"/>
          <w:lang w:val="en-US" w:eastAsia="en-US" w:bidi="ar-SA"/>
        </w:rPr>
        <w:t xml:space="preserve"> in present day funds).</w:t>
      </w:r>
    </w:p>
    <w:p>
      <w:pPr>
        <w:numPr>
          <w:numId w:val="4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Carson v. Ehman</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 xml:space="preserve"> </w:t>
      </w:r>
      <w:hyperlink r:id="rId262" w:history="1">
        <w:r>
          <w:rPr>
            <w:rFonts w:ascii="arial" w:eastAsia="arial" w:hAnsi="arial" w:cs="arial"/>
            <w:b/>
            <w:i/>
            <w:color w:val="0077CC"/>
            <w:sz w:val="20"/>
            <w:u w:val="single"/>
            <w:shd w:val="clear" w:color="auto" w:fill="FFFFFF"/>
            <w:lang w:val="en-US" w:eastAsia="en-US" w:bidi="ar-SA"/>
          </w:rPr>
          <w:t>2019 BCSC 2120</w:t>
        </w:r>
      </w:hyperlink>
      <w:r>
        <w:rPr>
          <w:rFonts w:ascii="arial" w:eastAsia="arial" w:hAnsi="arial" w:cs="arial"/>
          <w:color w:val="000000"/>
          <w:sz w:val="20"/>
          <w:lang w:val="en-US" w:eastAsia="en-US" w:bidi="ar-SA"/>
        </w:rPr>
        <w:t xml:space="preserve">: The Plaintiff was a 22-year old student at the time of the Collision, wherein she sustained injuries to her neck, shoulders, upper back and related headaches. She took one week off work, but did not lose any pay. By the time of trial (5 years later), her symptoms had improved but that improvement had plateaued, and the court was satisfied that she would likely continue to suffer pain and headaches on and off into the foreseeable future. Mr. Justice Ehrcke awarded non-pecuniary damages of </w:t>
      </w:r>
      <w:r>
        <w:rPr>
          <w:rFonts w:ascii="arial" w:eastAsia="arial" w:hAnsi="arial" w:cs="arial"/>
          <w:b/>
          <w:color w:val="000000"/>
          <w:sz w:val="20"/>
          <w:lang w:val="en-US" w:eastAsia="en-US" w:bidi="ar-SA"/>
        </w:rPr>
        <w:t>$85,000</w:t>
      </w:r>
      <w:r>
        <w:rPr>
          <w:rFonts w:ascii="arial" w:eastAsia="arial" w:hAnsi="arial" w:cs="arial"/>
          <w:color w:val="000000"/>
          <w:sz w:val="20"/>
          <w:lang w:val="en-US" w:eastAsia="en-US" w:bidi="ar-SA"/>
        </w:rPr>
        <w:t>.</w:t>
      </w:r>
    </w:p>
    <w:p>
      <w:pPr>
        <w:numPr>
          <w:numId w:val="4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Williams v. Nekrasoff</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 xml:space="preserve"> </w:t>
      </w:r>
      <w:hyperlink r:id="rId263" w:history="1">
        <w:r>
          <w:rPr>
            <w:rFonts w:ascii="arial" w:eastAsia="arial" w:hAnsi="arial" w:cs="arial"/>
            <w:b/>
            <w:i/>
            <w:color w:val="0077CC"/>
            <w:sz w:val="20"/>
            <w:u w:val="single"/>
            <w:shd w:val="clear" w:color="auto" w:fill="FFFFFF"/>
            <w:lang w:val="en-US" w:eastAsia="en-US" w:bidi="ar-SA"/>
          </w:rPr>
          <w:t>2008 BCSC 1520</w:t>
        </w:r>
      </w:hyperlink>
      <w:r>
        <w:rPr>
          <w:rFonts w:ascii="arial" w:eastAsia="arial" w:hAnsi="arial" w:cs="arial"/>
          <w:color w:val="000000"/>
          <w:sz w:val="20"/>
          <w:lang w:val="en-US" w:eastAsia="en-US" w:bidi="ar-SA"/>
        </w:rPr>
        <w:t>: The Plaintiff was a 23-year old university student at the time of trial. He was involved in 3 motor vehicle accidents, the first of which occurred when he was 10 years old. The collisions resulted in soft-tissue injuries to his neck, upper back and shoulder and regular headaches. His symptoms improved after the collision but soon plateaued and remained constant for ten years. His pain did not prevent the Plaintiff from participating in the normal activities of a child or teenager including playing fairly competitive hockey. The court found that the Plaintiff was motivated to improve his physical conditioning by taking an intensive fitness program for hockey, and his future plans included attending law school. The prognosis was somewhat favourable with the prospect of significant, but probably not complete resolution of symptoms into the future. The court considered the fact that the Plaintiff had suffered ongoing (non-disabling) pain for more than 10 years, and noted it was to the Plaintiff's credit that he has been willing to accept his pain and carry on with most of his pre-collision activities. Mr. Justice N. Smith awarded $75,000 in non-pecuniary damages (</w:t>
      </w:r>
      <w:r>
        <w:rPr>
          <w:rFonts w:ascii="arial" w:eastAsia="arial" w:hAnsi="arial" w:cs="arial"/>
          <w:b/>
          <w:color w:val="000000"/>
          <w:sz w:val="20"/>
          <w:lang w:val="en-US" w:eastAsia="en-US" w:bidi="ar-SA"/>
        </w:rPr>
        <w:t>$89,000</w:t>
      </w:r>
      <w:r>
        <w:rPr>
          <w:rFonts w:ascii="arial" w:eastAsia="arial" w:hAnsi="arial" w:cs="arial"/>
          <w:color w:val="000000"/>
          <w:sz w:val="20"/>
          <w:lang w:val="en-US" w:eastAsia="en-US" w:bidi="ar-SA"/>
        </w:rPr>
        <w:t xml:space="preserve"> in present day funds).</w:t>
      </w:r>
    </w:p>
    <w:p>
      <w:pPr>
        <w:numPr>
          <w:numId w:val="5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Ruscheinski v. Biln</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 xml:space="preserve"> </w:t>
      </w:r>
      <w:hyperlink r:id="rId252" w:history="1">
        <w:r>
          <w:rPr>
            <w:rFonts w:ascii="arial" w:eastAsia="arial" w:hAnsi="arial" w:cs="arial"/>
            <w:b/>
            <w:i/>
            <w:color w:val="0077CC"/>
            <w:sz w:val="20"/>
            <w:u w:val="single"/>
            <w:shd w:val="clear" w:color="auto" w:fill="FFFFFF"/>
            <w:lang w:val="en-US" w:eastAsia="en-US" w:bidi="ar-SA"/>
          </w:rPr>
          <w:t>2011 BCSC 1263</w:t>
        </w:r>
      </w:hyperlink>
      <w:r>
        <w:rPr>
          <w:rFonts w:ascii="arial" w:eastAsia="arial" w:hAnsi="arial" w:cs="arial"/>
          <w:b/>
          <w:color w:val="000000"/>
          <w:sz w:val="20"/>
          <w:lang w:val="en-US" w:eastAsia="en-US" w:bidi="ar-SA"/>
        </w:rPr>
        <w:t>:</w:t>
      </w:r>
      <w:r>
        <w:rPr>
          <w:rFonts w:ascii="arial" w:eastAsia="arial" w:hAnsi="arial" w:cs="arial"/>
          <w:color w:val="000000"/>
          <w:sz w:val="20"/>
          <w:lang w:val="en-US" w:eastAsia="en-US" w:bidi="ar-SA"/>
        </w:rPr>
        <w:t xml:space="preserve"> The Plaintiff was 17 years old at the time of the first accident, and was 22 at trial. She sustained injuries to her upper back, shoulders and related headaches, but by the time of trial had gained "significant relief" from physiotherapy treatments and an exercise program. The Plaintiff testified that the intensity of her headaches had improved, although she still experienced them daily. The Plaintiff continued to pursue yoga, run, hike and snowboard, and her symptoms had improved sufficiently so that she was able to travel. The Plaintiff missed minimal work and had no past wage loss, and following the accident was able to receive a raise in her pay and two promotions. The court found that the Plaintiff was "highly motivated to overcome her symptoms through treatments and physical exercise", but noted that a positive outcome following pursuit of the treatments recommended would still leave her suffering from partial disability for the rest of her life. Your Lordship awarded non-pecuniary damages of $85,000 (</w:t>
      </w:r>
      <w:r>
        <w:rPr>
          <w:rFonts w:ascii="arial" w:eastAsia="arial" w:hAnsi="arial" w:cs="arial"/>
          <w:b/>
          <w:color w:val="000000"/>
          <w:sz w:val="20"/>
          <w:lang w:val="en-US" w:eastAsia="en-US" w:bidi="ar-SA"/>
        </w:rPr>
        <w:t>$96,000</w:t>
      </w:r>
      <w:r>
        <w:rPr>
          <w:rFonts w:ascii="arial" w:eastAsia="arial" w:hAnsi="arial" w:cs="arial"/>
          <w:color w:val="000000"/>
          <w:sz w:val="20"/>
          <w:lang w:val="en-US" w:eastAsia="en-US" w:bidi="ar-SA"/>
        </w:rPr>
        <w:t xml:space="preserve"> in present day funds).</w:t>
      </w:r>
    </w:p>
    <w:p>
      <w:pPr>
        <w:numPr>
          <w:numId w:val="5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Sekhon v. Gill</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 xml:space="preserve"> </w:t>
      </w:r>
      <w:hyperlink r:id="rId264" w:history="1">
        <w:r>
          <w:rPr>
            <w:rFonts w:ascii="arial" w:eastAsia="arial" w:hAnsi="arial" w:cs="arial"/>
            <w:b/>
            <w:i/>
            <w:color w:val="0077CC"/>
            <w:sz w:val="20"/>
            <w:u w:val="single"/>
            <w:shd w:val="clear" w:color="auto" w:fill="FFFFFF"/>
            <w:lang w:val="en-US" w:eastAsia="en-US" w:bidi="ar-SA"/>
          </w:rPr>
          <w:t>2019 BCSC 811</w:t>
        </w:r>
      </w:hyperlink>
      <w:r>
        <w:rPr>
          <w:rFonts w:ascii="arial" w:eastAsia="arial" w:hAnsi="arial" w:cs="arial"/>
          <w:color w:val="000000"/>
          <w:sz w:val="20"/>
          <w:lang w:val="en-US" w:eastAsia="en-US" w:bidi="ar-SA"/>
        </w:rPr>
        <w:t xml:space="preserve">: The Plaintiff was a 25 year old university student at the time of trial. She was involved in 3 motor vehicle accidents which resulted in ongoing chronic soft tissue injuries and mild psychological features. The court found that the plaintiff's pain was likely to be permanent, although variable in its severity, and that the plaintiff was at high risk for aggravation of her symptoms in the event of future trauma or stress. Mr. Justice N. Smith awarded </w:t>
      </w:r>
      <w:r>
        <w:rPr>
          <w:rFonts w:ascii="arial" w:eastAsia="arial" w:hAnsi="arial" w:cs="arial"/>
          <w:b/>
          <w:color w:val="000000"/>
          <w:sz w:val="20"/>
          <w:lang w:val="en-US" w:eastAsia="en-US" w:bidi="ar-SA"/>
        </w:rPr>
        <w:t>$110,000</w:t>
      </w:r>
      <w:r>
        <w:rPr>
          <w:rFonts w:ascii="arial" w:eastAsia="arial" w:hAnsi="arial" w:cs="arial"/>
          <w:color w:val="000000"/>
          <w:sz w:val="20"/>
          <w:lang w:val="en-US" w:eastAsia="en-US" w:bidi="ar-SA"/>
        </w:rPr>
        <w:t xml:space="preserve"> in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Additional cases were cited on behalf of Mr. Wong in oral submissions. Those I found helpful are:</w:t>
      </w:r>
      <w:r>
        <w:rPr>
          <w:rFonts w:ascii="arial" w:eastAsia="arial" w:hAnsi="arial" w:cs="arial"/>
          <w:sz w:val="20"/>
          <w:lang w:val="en-US" w:eastAsia="en-US" w:bidi="ar-SA"/>
        </w:rPr>
        <w:cr/>
      </w:r>
    </w:p>
    <w:p>
      <w:pPr>
        <w:numPr>
          <w:numId w:val="5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Carlisle v. Vanthof</w:t>
      </w:r>
      <w:r>
        <w:rPr>
          <w:rFonts w:ascii="arial" w:eastAsia="arial" w:hAnsi="arial" w:cs="arial"/>
          <w:color w:val="000000"/>
          <w:sz w:val="20"/>
          <w:lang w:val="en-US" w:eastAsia="en-US" w:bidi="ar-SA"/>
        </w:rPr>
        <w:t xml:space="preserve">, </w:t>
      </w:r>
      <w:hyperlink r:id="rId265" w:history="1">
        <w:r>
          <w:rPr>
            <w:rFonts w:ascii="arial" w:eastAsia="arial" w:hAnsi="arial" w:cs="arial"/>
            <w:i/>
            <w:color w:val="0077CC"/>
            <w:sz w:val="20"/>
            <w:u w:val="single"/>
            <w:shd w:val="clear" w:color="auto" w:fill="FFFFFF"/>
            <w:lang w:val="en-US" w:eastAsia="en-US" w:bidi="ar-SA"/>
          </w:rPr>
          <w:t>2015 BCSC 2427</w:t>
        </w:r>
      </w:hyperlink>
      <w:r>
        <w:rPr>
          <w:rFonts w:ascii="arial" w:eastAsia="arial" w:hAnsi="arial" w:cs="arial"/>
          <w:color w:val="000000"/>
          <w:sz w:val="20"/>
          <w:lang w:val="en-US" w:eastAsia="en-US" w:bidi="ar-SA"/>
        </w:rPr>
        <w:t>: A 34 year old plaintiff who was active in outdoors and gym based activities prior to the accident suffers with chronic pain. She is able to manage if sedentary, but suffers significant flares when active. Her condition was expected to wax and wane to different degrees indefinitely. None of the medical doctors recommended she restrict her activities. However, the plaintiff is restricted from engaging full time in all of her former activities given associated flares. She was awarded $90,000.</w:t>
      </w:r>
    </w:p>
    <w:p>
      <w:pPr>
        <w:numPr>
          <w:numId w:val="5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Cartwright v. Cartwright</w:t>
      </w:r>
      <w:r>
        <w:rPr>
          <w:rFonts w:ascii="arial" w:eastAsia="arial" w:hAnsi="arial" w:cs="arial"/>
          <w:color w:val="000000"/>
          <w:sz w:val="20"/>
          <w:lang w:val="en-US" w:eastAsia="en-US" w:bidi="ar-SA"/>
        </w:rPr>
        <w:t xml:space="preserve">, </w:t>
      </w:r>
      <w:hyperlink r:id="rId266" w:history="1">
        <w:r>
          <w:rPr>
            <w:rFonts w:ascii="arial" w:eastAsia="arial" w:hAnsi="arial" w:cs="arial"/>
            <w:i/>
            <w:color w:val="0077CC"/>
            <w:sz w:val="20"/>
            <w:u w:val="single"/>
            <w:shd w:val="clear" w:color="auto" w:fill="FFFFFF"/>
            <w:lang w:val="en-US" w:eastAsia="en-US" w:bidi="ar-SA"/>
          </w:rPr>
          <w:t>2012 BCSC 1140</w:t>
        </w:r>
      </w:hyperlink>
      <w:r>
        <w:rPr>
          <w:rFonts w:ascii="arial" w:eastAsia="arial" w:hAnsi="arial" w:cs="arial"/>
          <w:color w:val="000000"/>
          <w:sz w:val="20"/>
          <w:lang w:val="en-US" w:eastAsia="en-US" w:bidi="ar-SA"/>
        </w:rPr>
        <w:t>: A 20 year old plaintiff, who was 15 at the time of the accident, suffered soft tissue injuries to her neck and back of moderate severity. She is left with back pain that is chronic in nature and also suffers from headaches (severity unknown). She was moderately affected by her injuries with a prognosis of possible diminishment of pain that is manageable with proper rehabilitation and regular exercise. The award was $60,000.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defendants referred to these cases in their written submissions to support their submission that the award should be in the range of $60,000 to $75,000:</w:t>
      </w:r>
      <w:r>
        <w:rPr>
          <w:rFonts w:ascii="arial" w:eastAsia="arial" w:hAnsi="arial" w:cs="arial"/>
          <w:sz w:val="20"/>
          <w:lang w:val="en-US" w:eastAsia="en-US" w:bidi="ar-SA"/>
        </w:rPr>
        <w:cr/>
      </w:r>
    </w:p>
    <w:p>
      <w:pPr>
        <w:numPr>
          <w:numId w:val="5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lang w:val="en-US" w:eastAsia="en-US" w:bidi="ar-SA"/>
        </w:rPr>
        <w:t>Embleton v Innes</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 xml:space="preserve"> </w:t>
      </w:r>
      <w:hyperlink r:id="rId267" w:history="1">
        <w:r>
          <w:rPr>
            <w:rFonts w:ascii="arial" w:eastAsia="arial" w:hAnsi="arial" w:cs="arial"/>
            <w:b/>
            <w:i/>
            <w:color w:val="0077CC"/>
            <w:sz w:val="20"/>
            <w:u w:val="single"/>
            <w:shd w:val="clear" w:color="auto" w:fill="FFFFFF"/>
            <w:lang w:val="en-US" w:eastAsia="en-US" w:bidi="ar-SA"/>
          </w:rPr>
          <w:t>2013 BCSC 851</w:t>
        </w:r>
      </w:hyperlink>
      <w:r>
        <w:rPr>
          <w:rFonts w:ascii="arial" w:eastAsia="arial" w:hAnsi="arial" w:cs="arial"/>
          <w:color w:val="000000"/>
          <w:sz w:val="20"/>
          <w:lang w:val="en-US" w:eastAsia="en-US" w:bidi="ar-SA"/>
        </w:rPr>
        <w:t>, a female plaintiff was involved in a motor vehicle accident and sustained injuries to her neck, upper back and shoulder. She developed headaches associated with the neck pain. At the time of the accident, the plaintiff was 37 years-old and a mother of two young children and also worked as a care aid[e]. She had been very physically active prior to the accident. In the summer, the plaintiff would play slo-pitch and soccer, in the winter months she would play volleyball and hockey. Her teammates described the plaintiff as being fully capable of performing at a high level of sport. A year after the accident she had returned to her sporting activities, but with less tolerance for extreme exertion. She experience symptomatic flare-ups of her injuries approximately once every two weeks. She took over the counter pain medication on a daily basis to deal with her headaches and neck pain and was prescribed sleep medication. She continued to work and play through the pain and as of the time of trial, the court found her ongoing symptoms were a nagging irritant than they were an actual disability due to the fact that whatever symptoms she was having did not hold her back from going to the field, court or rink to compete in her sports. The plaintiff received an award of $60,000 for non-pecuniary damages.</w:t>
      </w:r>
    </w:p>
    <w:p>
      <w:pPr>
        <w:numPr>
          <w:numId w:val="5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lang w:val="en-US" w:eastAsia="en-US" w:bidi="ar-SA"/>
        </w:rPr>
        <w:t>Hinder v Yellow Cab Co</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 xml:space="preserve"> </w:t>
      </w:r>
      <w:hyperlink r:id="rId268" w:history="1">
        <w:r>
          <w:rPr>
            <w:rFonts w:ascii="arial" w:eastAsia="arial" w:hAnsi="arial" w:cs="arial"/>
            <w:b/>
            <w:i/>
            <w:color w:val="0077CC"/>
            <w:sz w:val="20"/>
            <w:u w:val="single"/>
            <w:shd w:val="clear" w:color="auto" w:fill="FFFFFF"/>
            <w:lang w:val="en-US" w:eastAsia="en-US" w:bidi="ar-SA"/>
          </w:rPr>
          <w:t>2015 BCSC 2069</w:t>
        </w:r>
      </w:hyperlink>
      <w:r>
        <w:rPr>
          <w:rFonts w:ascii="arial" w:eastAsia="arial" w:hAnsi="arial" w:cs="arial"/>
          <w:color w:val="000000"/>
          <w:sz w:val="20"/>
          <w:lang w:val="en-US" w:eastAsia="en-US" w:bidi="ar-SA"/>
        </w:rPr>
        <w:t>, the plaintiff was 29 years-old at the time of the accident. She was an interior designer and a mountain-biker so skilled that she could have become a professional. Following the accident, the plaintiff sustained soft tissue injury to her upper and lower back, neck pain and headaches. She also had pain in the side of her right leg and her right knee was bruised. While some of her soft tissue injuries resolved, she was left with neck pain and headaches that regularly progressed to become very painful and disabling, forcing her to stop whatever she is doing. The medical evidence showed that even with significant medical intervention, the neck pain and cervicogenic headaches were likely to continue into the foreseeable future. The Plaintiff had debilitating headaches approximately once every two weeks. She has been able to resume mountain-biking, however at a less intense level and at a lower frequency than prior to the accident. The court further found, "</w:t>
      </w:r>
      <w:r>
        <w:rPr>
          <w:rFonts w:ascii="arial" w:eastAsia="arial" w:hAnsi="arial" w:cs="arial"/>
          <w:i/>
          <w:color w:val="000000"/>
          <w:sz w:val="20"/>
          <w:lang w:val="en-US" w:eastAsia="en-US" w:bidi="ar-SA"/>
        </w:rPr>
        <w:t>the plaintiff was not a complainer, she was a hard worker and carried on despite the pain. Her home life and recreational activities have been impaired to a significant degree than likely would have been the case for a less strong and stalwart person</w:t>
      </w:r>
      <w:r>
        <w:rPr>
          <w:rFonts w:ascii="arial" w:eastAsia="arial" w:hAnsi="arial" w:cs="arial"/>
          <w:color w:val="000000"/>
          <w:sz w:val="20"/>
          <w:lang w:val="en-US" w:eastAsia="en-US" w:bidi="ar-SA"/>
        </w:rPr>
        <w:t>." However, this does not mean she did not suffer while incapacitated by neck pain and headaches. She was able to maintain her family and social relationships because of her positive attitude. The court awarded the Plaintiff $60,000 in non-pecuniary damages.</w:t>
      </w:r>
    </w:p>
    <w:p>
      <w:pPr>
        <w:numPr>
          <w:numId w:val="5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lang w:val="en-US" w:eastAsia="en-US" w:bidi="ar-SA"/>
        </w:rPr>
        <w:t xml:space="preserve">Poulin v. Armstrong, </w:t>
      </w:r>
      <w:hyperlink r:id="rId269" w:history="1">
        <w:r>
          <w:rPr>
            <w:rFonts w:ascii="arial" w:eastAsia="arial" w:hAnsi="arial" w:cs="arial"/>
            <w:b/>
            <w:i/>
            <w:color w:val="0077CC"/>
            <w:sz w:val="20"/>
            <w:u w:val="single"/>
            <w:shd w:val="clear" w:color="auto" w:fill="FFFFFF"/>
            <w:lang w:val="en-US" w:eastAsia="en-US" w:bidi="ar-SA"/>
          </w:rPr>
          <w:t>2019 BCSC 926</w:t>
        </w:r>
      </w:hyperlink>
      <w:r>
        <w:rPr>
          <w:rFonts w:ascii="arial" w:eastAsia="arial" w:hAnsi="arial" w:cs="arial"/>
          <w:color w:val="000000"/>
          <w:sz w:val="20"/>
          <w:lang w:val="en-US" w:eastAsia="en-US" w:bidi="ar-SA"/>
        </w:rPr>
        <w:t>, a 14 year-old student suffered injuries when the defendant's vehicle struck the vehicle in which the plaintiff was a passenger. The Plaintiff suffered moderate soft tissue injuries to her neck and upper back, with related headaches. Her symptoms improved over time but did not resolve. She was left with ongoing chronic pain and headaches. Her symptoms impacted her daily life and ability to engage in her formerly very physically active lifestyle. Any sustained activity beyond a moderate range of physical activity exacerbated her pain to the point of substantial functional capacity. According to the medical evidence, she would likely continue to suffer indefinitely from pain in her upper back and neck with associated headaches. She was injured at a young age but the Plaintiff was 20 years old at the time of trial and had gone onto University and was completing a degree i[n] Kinesiology and planned to pursue a Master's in Physiotherapy. [S]he had been deprived of the full enjoyment of her physical person and would continue to suffer from these deficits for many years. This was a significant setback especially for someone as active as the Plaintiff. The Plaintiff was awarded $65,000 in non-pecuniary damages.</w:t>
      </w:r>
    </w:p>
    <w:p>
      <w:pPr>
        <w:numPr>
          <w:numId w:val="5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lang w:val="en-US" w:eastAsia="en-US" w:bidi="ar-SA"/>
        </w:rPr>
        <w:t>Fontaine v Van Kampen</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 xml:space="preserve"> </w:t>
      </w:r>
      <w:hyperlink r:id="rId270" w:history="1">
        <w:r>
          <w:rPr>
            <w:rFonts w:ascii="arial" w:eastAsia="arial" w:hAnsi="arial" w:cs="arial"/>
            <w:b/>
            <w:i/>
            <w:color w:val="0077CC"/>
            <w:sz w:val="20"/>
            <w:u w:val="single"/>
            <w:shd w:val="clear" w:color="auto" w:fill="FFFFFF"/>
            <w:lang w:val="en-US" w:eastAsia="en-US" w:bidi="ar-SA"/>
          </w:rPr>
          <w:t>2013 CarswellBC 2795</w:t>
        </w:r>
      </w:hyperlink>
      <w:r>
        <w:rPr>
          <w:rFonts w:ascii="arial" w:eastAsia="arial" w:hAnsi="arial" w:cs="arial"/>
          <w:color w:val="000000"/>
          <w:sz w:val="20"/>
          <w:lang w:val="en-US" w:eastAsia="en-US" w:bidi="ar-SA"/>
        </w:rPr>
        <w:t>, the Plaintiff was a customer service representative who suffered injuries when the Defendant's vehicle suddenly veered into her lane, sideswiping her vehicle. She saw her doctor with complaints of pain in her lower back, neck and shoulder as well as moderate to severe headaches. The symptoms from the accident, particularly her lower back pain, had all b[ut] completely prevented her from participating in the intense physical activities that she once enjoyed, including her life long pursuit of hockey. She suffered headache[s] which in turn negatively affected her sleep mood and emotional health. She was also left suffering from chronic pain to her low back. With ongoing rehabilitation it was likely that her symptoms would improve, but it was unlikely that she would return to her pre-accident condition. The court awarded the Plaintiff with $75,000 in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Mr. Wong is a highly motivated and stoic plaintiff who followed his doctor's advice to remain as active as possible in spite of his symptoms. He pursued bowling, refereeing volleyball, volunteer work with his church locally and in Africa, his education, work at summer camps, and work as a resident advisor. He sought a physical trainer who has recently helped him with his low back and neck pain. He has continued to work out in a gym environment on his own, and has been able to increase his tolerance for lifting weights. Mr. Wong's perseverance and his continued optimism and stoicism are to his credit and should not detract from the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He is able to accommodate much of his neck and back pain so long as he remains active, continues to stretch and exercise, and continues from time to time with passive modalities. He is vulnerable to flares and aggravation of his injuries from subsequent trauma.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Mr. Wong has a poor prognosis for complete recovery from his headaches. His symptoms will not be cured. As was pointed out in </w:t>
      </w:r>
      <w:r>
        <w:rPr>
          <w:rFonts w:ascii="arial" w:eastAsia="arial" w:hAnsi="arial" w:cs="arial"/>
          <w:i/>
          <w:color w:val="000000"/>
          <w:sz w:val="20"/>
          <w:lang w:val="en-US" w:eastAsia="en-US" w:bidi="ar-SA"/>
        </w:rPr>
        <w:t>Munoz v. Singh</w:t>
      </w:r>
      <w:r>
        <w:rPr>
          <w:rFonts w:ascii="arial" w:eastAsia="arial" w:hAnsi="arial" w:cs="arial"/>
          <w:color w:val="000000"/>
          <w:sz w:val="20"/>
          <w:lang w:val="en-US" w:eastAsia="en-US" w:bidi="ar-SA"/>
        </w:rPr>
        <w:t xml:space="preserve">, </w:t>
      </w:r>
      <w:hyperlink r:id="rId271" w:history="1">
        <w:r>
          <w:rPr>
            <w:rFonts w:ascii="arial" w:eastAsia="arial" w:hAnsi="arial" w:cs="arial"/>
            <w:i/>
            <w:color w:val="0077CC"/>
            <w:sz w:val="20"/>
            <w:u w:val="single"/>
            <w:shd w:val="clear" w:color="auto" w:fill="FFFFFF"/>
            <w:lang w:val="en-US" w:eastAsia="en-US" w:bidi="ar-SA"/>
          </w:rPr>
          <w:t>2014 BCSC 567</w:t>
        </w:r>
      </w:hyperlink>
      <w:r>
        <w:rPr>
          <w:rFonts w:ascii="arial" w:eastAsia="arial" w:hAnsi="arial" w:cs="arial"/>
          <w:color w:val="000000"/>
          <w:sz w:val="20"/>
          <w:lang w:val="en-US" w:eastAsia="en-US" w:bidi="ar-SA"/>
        </w:rPr>
        <w:t xml:space="preserve"> at para. 164, enduring pain, even where intermittent with fluctuating intensity, "takes a toll on everyday living and casts a pall over the pleasures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Given Mr. Wong's age, the fact that he will suffer from the effects of ongoing headaches on a weekly basis for the remainder of his life, and taking into account the effect of inflation on the awards in the older cases cited by the parties, I have determined an appropriate award for non-pecuniary damage is $90,000.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Mr. Wong's award for the cost of future care is based on what the medical evidence establishes is reasonably necessary to promote his mental and physical health. Adjustments for negative and positive contingencies depends on his specific care needs: </w:t>
      </w:r>
      <w:r>
        <w:rPr>
          <w:rFonts w:ascii="arial" w:eastAsia="arial" w:hAnsi="arial" w:cs="arial"/>
          <w:i/>
          <w:color w:val="000000"/>
          <w:sz w:val="20"/>
          <w:lang w:val="en-US" w:eastAsia="en-US" w:bidi="ar-SA"/>
        </w:rPr>
        <w:t>Milna v. Bartsch</w:t>
      </w:r>
      <w:r>
        <w:rPr>
          <w:rFonts w:ascii="arial" w:eastAsia="arial" w:hAnsi="arial" w:cs="arial"/>
          <w:color w:val="000000"/>
          <w:sz w:val="20"/>
          <w:lang w:val="en-US" w:eastAsia="en-US" w:bidi="ar-SA"/>
        </w:rPr>
        <w:t xml:space="preserve"> </w:t>
      </w:r>
      <w:hyperlink r:id="rId133"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(B.C.S.C.); </w:t>
      </w:r>
      <w:r>
        <w:rPr>
          <w:rFonts w:ascii="arial" w:eastAsia="arial" w:hAnsi="arial" w:cs="arial"/>
          <w:i/>
          <w:color w:val="000000"/>
          <w:sz w:val="20"/>
          <w:lang w:val="en-US" w:eastAsia="en-US" w:bidi="ar-SA"/>
        </w:rPr>
        <w:t>Langille v. Nguyen</w:t>
      </w:r>
      <w:r>
        <w:rPr>
          <w:rFonts w:ascii="arial" w:eastAsia="arial" w:hAnsi="arial" w:cs="arial"/>
          <w:color w:val="000000"/>
          <w:sz w:val="20"/>
          <w:lang w:val="en-US" w:eastAsia="en-US" w:bidi="ar-SA"/>
        </w:rPr>
        <w:t xml:space="preserve">, </w:t>
      </w:r>
      <w:hyperlink r:id="rId272" w:history="1">
        <w:r>
          <w:rPr>
            <w:rFonts w:ascii="arial" w:eastAsia="arial" w:hAnsi="arial" w:cs="arial"/>
            <w:i/>
            <w:color w:val="0077CC"/>
            <w:sz w:val="20"/>
            <w:u w:val="single"/>
            <w:shd w:val="clear" w:color="auto" w:fill="FFFFFF"/>
            <w:lang w:val="en-US" w:eastAsia="en-US" w:bidi="ar-SA"/>
          </w:rPr>
          <w:t>2013 BCSC 1460</w:t>
        </w:r>
      </w:hyperlink>
      <w:r>
        <w:rPr>
          <w:rFonts w:ascii="arial" w:eastAsia="arial" w:hAnsi="arial" w:cs="arial"/>
          <w:color w:val="000000"/>
          <w:sz w:val="20"/>
          <w:lang w:val="en-US" w:eastAsia="en-US" w:bidi="ar-SA"/>
        </w:rPr>
        <w:t xml:space="preserve"> at paras. 231-235. The standard of proof is "substantial risk" of pecuniary loss. Medical necessity is not necessary. In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273"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 39, Madam Justice Garson said, "...there must be some evidentiary link between the physician's assessment of pain, disability, and recommended treatment and the care recommended by a qualified health care professional." The assessment for this head of damage is not a precise accounting exercise: </w:t>
      </w:r>
      <w:r>
        <w:rPr>
          <w:rFonts w:ascii="arial" w:eastAsia="arial" w:hAnsi="arial" w:cs="arial"/>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226"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xml:space="preserve"> at para. 21. The plaintiff making the claim must also establish that he or she will utilize the recommended treatments: </w:t>
      </w:r>
      <w:r>
        <w:rPr>
          <w:rFonts w:ascii="arial" w:eastAsia="arial" w:hAnsi="arial" w:cs="arial"/>
          <w:i/>
          <w:color w:val="000000"/>
          <w:sz w:val="20"/>
          <w:lang w:val="en-US" w:eastAsia="en-US" w:bidi="ar-SA"/>
        </w:rPr>
        <w:t>Izony v. Weidlich</w:t>
      </w:r>
      <w:r>
        <w:rPr>
          <w:rFonts w:ascii="arial" w:eastAsia="arial" w:hAnsi="arial" w:cs="arial"/>
          <w:color w:val="000000"/>
          <w:sz w:val="20"/>
          <w:lang w:val="en-US" w:eastAsia="en-US" w:bidi="ar-SA"/>
        </w:rPr>
        <w:t xml:space="preserve">, </w:t>
      </w:r>
      <w:hyperlink r:id="rId274" w:history="1">
        <w:r>
          <w:rPr>
            <w:rFonts w:ascii="arial" w:eastAsia="arial" w:hAnsi="arial" w:cs="arial"/>
            <w:i/>
            <w:color w:val="0077CC"/>
            <w:sz w:val="20"/>
            <w:u w:val="single"/>
            <w:shd w:val="clear" w:color="auto" w:fill="FFFFFF"/>
            <w:lang w:val="en-US" w:eastAsia="en-US" w:bidi="ar-SA"/>
          </w:rPr>
          <w:t>2006 BCSC 1315</w:t>
        </w:r>
      </w:hyperlink>
      <w:r>
        <w:rPr>
          <w:rFonts w:ascii="arial" w:eastAsia="arial" w:hAnsi="arial" w:cs="arial"/>
          <w:color w:val="000000"/>
          <w:sz w:val="20"/>
          <w:lang w:val="en-US" w:eastAsia="en-US" w:bidi="ar-SA"/>
        </w:rPr>
        <w:t xml:space="preserve"> at para. 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Mr. Wong claims for the future costs of ongoing acupuncture and massage, ongoing medication costs, ongoing Botox injections (to help with his headaches), and for certain one-time expenses. Each item was recommended by Dr. Caillier to help manage Mr. Wong's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Dr. Caillier made the following recommendations in her April 2019 Report:</w:t>
      </w:r>
      <w:r>
        <w:rPr>
          <w:rFonts w:ascii="arial" w:eastAsia="arial" w:hAnsi="arial" w:cs="arial"/>
          <w:sz w:val="20"/>
          <w:lang w:val="en-US" w:eastAsia="en-US" w:bidi="ar-SA"/>
        </w:rPr>
        <w:cr/>
      </w:r>
    </w:p>
    <w:p>
      <w:pPr>
        <w:numPr>
          <w:numId w:val="5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Ongoing, regular-based exercise program of at least three times per week, through a combination of pool and gym exercises.</w:t>
      </w:r>
    </w:p>
    <w:p>
      <w:pPr>
        <w:numPr>
          <w:numId w:val="5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further 16 to 18 sessions of an active rehabilitation program on a one-to-one basis with either a kinesiologist or personal trainer within a gym environment, followed by an additional six to eight one-to-one sessions with a kinesiologist or personal trainer per year for the next three years.</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Four to six massage therapy or acupuncture treatments per year on an ongoing basis, with greater access during times of symptomatic flares.</w:t>
      </w:r>
    </w:p>
    <w:p>
      <w:pPr>
        <w:numPr>
          <w:numId w:val="6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Ergonomic desks and computer/keyboards at home for his school studies and then at his place of employment.</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Wheelie-bag to carry documents for work.</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Topical anti-inflammatory medication.</w:t>
      </w:r>
    </w:p>
    <w:p>
      <w:pPr>
        <w:numPr>
          <w:numId w:val="6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Assessment at the CHANGE pain clinic for possible trial of myofascial trigger point injections to the neck and back regions.</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Trial of prescription pain medication such as Nortiptyline, gabapentin, Effexor, or Topamax to help manage headaches.</w:t>
      </w:r>
    </w:p>
    <w:p>
      <w:pPr>
        <w:numPr>
          <w:numId w:val="6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Prophylactic management of headaches with magnesium citrate, riboflavin 200mg twice daily, as well as Coenzyme Q10.</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Advil or Tylenol.</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Botox injections.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Dr. Craig's primary disagreement is with Botox injections.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dollar values ascribed to the items recommended by Dr. Caillier and sought by Mr. Wong are provided for in the expert opinion evidence of Louise Craig, who based her opinion on her review of the medical evidence together with an in-person assessment, including tests designed to examine Mr. Wong's function. In addition to being qualified to provide expert evidence concerning future care costs, Ms. Craig has additional experience in the medical field as a physiotherapist. Her assessment found objective and subjective findings of pain and impairment.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Ms. Craig also recommended two ergonomic assessments (home and work) as well as vocational coaching for Mr. Wong to help him improve his opportunities for employment (including better means of presenting himself to potential employers given the accommodations he needs as a result of his symptoms and restrictions).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Mr. Wong seeks recovery of the mid-point of Ms. Craig's valuation of one-time expenses and likewise the net present value of the mid-point for ongoing costs (e.g., massage, and acupuncture). His claim for medication (not including Botox treatments) is valued at 33% of the costs identified by Ms. Craig.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Mr. Wong does not seek recovery of all of the care items recommended by Dr. Caillier and as discussed by Ms. Craig in her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Instead, he claims the following:</w:t>
      </w:r>
      <w:r>
        <w:rPr>
          <w:rFonts w:ascii="arial" w:eastAsia="arial" w:hAnsi="arial" w:cs="arial"/>
          <w:sz w:val="20"/>
          <w:lang w:val="en-US" w:eastAsia="en-US" w:bidi="ar-SA"/>
        </w:rPr>
        <w:cr/>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one-time expenses (e.g., ergonomic assessment, work stations, vocational counselling) - $10,434;</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ongoing massage, acupuncture, and physiotherapy - $19,341,24;</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ongoing medication costs - $15,434.27;</w:t>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ongoing Botox injections - $158,801.76.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There is no cost to trigger point injections since they are covered by the provincial Medical Services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As noted, the main area of disagreement between the parties in terms of future care concerned Botox injections. The defendants relied on the evidence of Dr. Craig. Otherwise, they did not adduce any expert evidence regarding the future care claim and instead, chose to dispute entitlement or quantum in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Before turning to the Botox issue, I will deal with the other future care items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 find the evidence amply supports Mr. Wong's claim for future care costs and further, that he will continue to follow those he has undertaken to date and will utilize those he has yet to engage. There is clear medical justification for the claims for the medical and ergonomic-related expenses. I also find that a one-time expense for vocational counselling, as recommended by Ms. Craig, is justified to assist Mr. Wong's employment prospects in light of the need for accommodation. The values for these care items are clearly supported by Ms. Craig's evidence and the amounts claimed are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 also note some of the future care claims were recommended by Dr. Craig. In his report, he said that "there are good treatment recommendations as outlined by Dr. Caillier", and specifically recommended 16 to 20 further sessions with a kinesiologist, continued passive therapies (although not on a long-term yearly basis), and trigger point injections.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Otherwise, the defendants did not lead any evidence concerning the future care claim. In many instances the defendants' arguments took issue with the scope of the claims (e.g., that the cost of massage therapy, physiotherapy, and acupuncture treatments should only be awarded to cover anticipated flares of pain and hence at the low end of the range provided by Ms. Craig) and the bottom end of the range for one-time costs such as ergonomic aids.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In my opinion, the mid-point values sought by Mr. Wong are appropriate in the circumstances of this case, especially since he still requires ongoing treatments to manage his symptoms before he reaches a point where he will only require treatment for flares.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Mr. Wong is prepared to try the other prescription pain medications recommended by Dr. Caillier despite negative results from his use of Amitriptyline so long as the side effects will not interfere with his school work and employment. I am satisfied that Mr. Wong will try one or more of the recommended medications and will continue to use them if the side effects are not an issue. Although Mr. Wong has thus established this aspect of his claim, I remain concerned over the significant prospect that they will be of little to no effect in light of his experience with Amitriptyline. I find Mr. Wong's proposed two-thirds' reduction of those costs to be appropriate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Consequently, Mr. Wong has demonstrated entitlement to an award for future care costs for items (a) to (c) in paragraph 142 above, in the total amount of $45,209.51.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 turn now to the claim for Botox injections.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Dr. Caillier recommends Botox treatments if Mr. Wong does not benefit from tow further treatments. In her December 2016 Report, she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Recommendations</w:t>
      </w:r>
      <w:r>
        <w:rPr>
          <w:rFonts w:ascii="arial" w:eastAsia="arial" w:hAnsi="arial" w:cs="arial"/>
          <w:color w:val="000000"/>
          <w:sz w:val="20"/>
          <w:lang w:val="en-US" w:eastAsia="en-US" w:bidi="ar-SA"/>
        </w:rPr>
        <w: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Other considerations would be for a trial of Botox, particularly if he does not benefit from the more conservative management strategies. For Botox injections, one could consider not only the neck and top of the shoulder musculature but also the frontalis and temporalis muscles.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Botox is to be considered then I would recommend that he be referred to either a physiatrist or a neurologist in the community who is well-versed with giving such injections. ...</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[Bold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In her April 2019 Report she again recommended Botox injections if Mr. Wong "does not benefit how he should from further engagement in an active rehabilitation program as well as trialing the myofascial trigger point injections."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Apart from trying some of the prescription pain medications, the only treatment recommended by Dr. Caillier and Dr. Craig that Mr. Wong has not yet undertaken are the trigger point injections.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Dr. Caillier acknowledged the efficacy of Botox treatment is not guaranteed. In her experience, 60 to 70% of her patients experience some improvement to management (not cure) of their symptoms from Botox injections. However, she also candidly acknowledged there is a one in three chance that Mr. Wong will not derive any benefit from Botox injections.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According to Dr. Caillier, physicians in this province are not permitted to charge patients for in-office injections. Botox injections are generally carried out at private clinics. The charge out rate ranges between $10 and $12 per unit (including medication) for a total per injection cost of $1,500 to $1,800. The Food and Drug Administration recommends four treatments per year. Dr. Caillier said that in her experience, the benefits from the medication typically wears off after two and one-half months. She estimates an annual cost of $7,200 for Mr. Wong.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I am satisfied that Mr. Wong has established medical justification for Botox treatment. Likewise, Mr. Wong confirmed that he will try Botox injections if remaining treatments do not assist and continue to do so for as long as if they assist his headache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xml:space="preserve">  Significant awards for Botox injections have been made in this Court in appropriate cases: </w:t>
      </w:r>
      <w:r>
        <w:rPr>
          <w:rFonts w:ascii="arial" w:eastAsia="arial" w:hAnsi="arial" w:cs="arial"/>
          <w:i/>
          <w:color w:val="000000"/>
          <w:sz w:val="20"/>
          <w:lang w:val="en-US" w:eastAsia="en-US" w:bidi="ar-SA"/>
        </w:rPr>
        <w:t>Pearson v. Savage</w:t>
      </w:r>
      <w:r>
        <w:rPr>
          <w:rFonts w:ascii="arial" w:eastAsia="arial" w:hAnsi="arial" w:cs="arial"/>
          <w:color w:val="000000"/>
          <w:sz w:val="20"/>
          <w:lang w:val="en-US" w:eastAsia="en-US" w:bidi="ar-SA"/>
        </w:rPr>
        <w:t xml:space="preserve">, </w:t>
      </w:r>
      <w:hyperlink r:id="rId275" w:history="1">
        <w:r>
          <w:rPr>
            <w:rFonts w:ascii="arial" w:eastAsia="arial" w:hAnsi="arial" w:cs="arial"/>
            <w:i/>
            <w:color w:val="0077CC"/>
            <w:sz w:val="20"/>
            <w:u w:val="single"/>
            <w:shd w:val="clear" w:color="auto" w:fill="FFFFFF"/>
            <w:lang w:val="en-US" w:eastAsia="en-US" w:bidi="ar-SA"/>
          </w:rPr>
          <w:t>2017 BCSC 1435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Chow v. Goodman</w:t>
      </w:r>
      <w:r>
        <w:rPr>
          <w:rFonts w:ascii="arial" w:eastAsia="arial" w:hAnsi="arial" w:cs="arial"/>
          <w:color w:val="000000"/>
          <w:sz w:val="20"/>
          <w:lang w:val="en-US" w:eastAsia="en-US" w:bidi="ar-SA"/>
        </w:rPr>
        <w:t xml:space="preserve">, </w:t>
      </w:r>
      <w:hyperlink r:id="rId276" w:history="1">
        <w:r>
          <w:rPr>
            <w:rFonts w:ascii="arial" w:eastAsia="arial" w:hAnsi="arial" w:cs="arial"/>
            <w:i/>
            <w:color w:val="0077CC"/>
            <w:sz w:val="20"/>
            <w:u w:val="single"/>
            <w:shd w:val="clear" w:color="auto" w:fill="FFFFFF"/>
            <w:lang w:val="en-US" w:eastAsia="en-US" w:bidi="ar-SA"/>
          </w:rPr>
          <w:t>2016 BCSC 1486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McKenzie v. Lloyd</w:t>
      </w:r>
      <w:r>
        <w:rPr>
          <w:rFonts w:ascii="arial" w:eastAsia="arial" w:hAnsi="arial" w:cs="arial"/>
          <w:color w:val="000000"/>
          <w:sz w:val="20"/>
          <w:lang w:val="en-US" w:eastAsia="en-US" w:bidi="ar-SA"/>
        </w:rPr>
        <w:t xml:space="preserve">, </w:t>
      </w:r>
      <w:hyperlink r:id="rId277" w:history="1">
        <w:r>
          <w:rPr>
            <w:rFonts w:ascii="arial" w:eastAsia="arial" w:hAnsi="arial" w:cs="arial"/>
            <w:i/>
            <w:color w:val="0077CC"/>
            <w:sz w:val="20"/>
            <w:u w:val="single"/>
            <w:shd w:val="clear" w:color="auto" w:fill="FFFFFF"/>
            <w:lang w:val="en-US" w:eastAsia="en-US" w:bidi="ar-SA"/>
          </w:rPr>
          <w:t>2016 BCSC 1745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Picton v. Fredericks</w:t>
      </w:r>
      <w:r>
        <w:rPr>
          <w:rFonts w:ascii="arial" w:eastAsia="arial" w:hAnsi="arial" w:cs="arial"/>
          <w:color w:val="000000"/>
          <w:sz w:val="20"/>
          <w:lang w:val="en-US" w:eastAsia="en-US" w:bidi="ar-SA"/>
        </w:rPr>
        <w:t xml:space="preserve">, </w:t>
      </w:r>
      <w:hyperlink r:id="rId278" w:history="1">
        <w:r>
          <w:rPr>
            <w:rFonts w:ascii="arial" w:eastAsia="arial" w:hAnsi="arial" w:cs="arial"/>
            <w:i/>
            <w:color w:val="0077CC"/>
            <w:sz w:val="20"/>
            <w:u w:val="single"/>
            <w:shd w:val="clear" w:color="auto" w:fill="FFFFFF"/>
            <w:lang w:val="en-US" w:eastAsia="en-US" w:bidi="ar-SA"/>
          </w:rPr>
          <w:t>2016 BCSC 1470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McKenzie</w:t>
      </w:r>
      <w:r>
        <w:rPr>
          <w:rFonts w:ascii="arial" w:eastAsia="arial" w:hAnsi="arial" w:cs="arial"/>
          <w:color w:val="000000"/>
          <w:sz w:val="20"/>
          <w:lang w:val="en-US" w:eastAsia="en-US" w:bidi="ar-SA"/>
        </w:rPr>
        <w:t>, at para. 256, Madam Justice Russell discounted the award for Botox injections for the remainder of the plaintiff's lifetime by 50% to account for the possibility that treatment may not be effective. There is a one in three likelihood that Botox treatment will not benefit Mr. Wong.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The present value of the cost of Botox injections for the remainder of Mr. Wong's lifetime is $244,310.40. In submissions, Mr. Wong proposed a 35% reduction to that figure, for a total claim of $158,801.76.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In spite of Dr. Craig's written opinion confirming medical justification for some Botox injections, the defendants' position is that there is no basis for the award. Their alternative position is that if a claim for Botox is allowed, it should be premised on the same deduction Mr. Wong has suggested for his other medication costs, i.e., 66%, for an award of $83,066.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In this instance, I agree with the defendants' alternative submission given that the outcome of trigger point injection therapy is unknown and given uncertainty whether Botox injections will provide any relief or if they do, for what length of time. Accordingly, the award for Botox injections is $83,066.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Thus, the total award for cost of future care is $128,275.51.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xml:space="preserve">  Given his age and minimal work history, Mr. Wong advances a claim for loss of a capital asset. To be entitled to an award, he must establish that there is a real and substantial possibility of a future event leading to an income loss: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128"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the Court of Appeal discussed the test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Having reviewed all of these cases, I conclude that none of them are inconsistent with the basic principles articulated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07"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134"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These principles are:</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future or hypothetical possibility will be taken into consideration as long as it is a real and substantial possibility and not mere speculation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 and</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loss of earnings but, rather, loss of earning capacity for which compensation must be made [</w:t>
      </w:r>
      <w:r>
        <w:rPr>
          <w:rFonts w:ascii="arial" w:eastAsia="arial" w:hAnsi="arial" w:cs="arial"/>
          <w:i/>
          <w:color w:val="000000"/>
          <w:sz w:val="20"/>
          <w:lang w:val="en-US" w:eastAsia="en-US" w:bidi="ar-SA"/>
        </w:rPr>
        <w:t>Andrews</w:t>
      </w:r>
      <w:r>
        <w:rPr>
          <w:rFonts w:ascii="arial" w:eastAsia="arial" w:hAnsi="arial" w:cs="arial"/>
          <w:color w:val="000000"/>
          <w:sz w:val="20"/>
          <w:lang w:val="en-US" w:eastAsia="en-US" w:bidi="ar-SA"/>
        </w:rPr>
        <w:t xml:space="preserve"> at 251].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Furthermore, I conclude that there is no conflict between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xml:space="preserve"> and the earlier judgment in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As mentioned earlier,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is not authority for the proposition that mere speculation of future loss of earning capacity is sufficient to justify an award for damages for loss of future earning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A plaintiff must </w:t>
      </w:r>
      <w:r>
        <w:rPr>
          <w:rFonts w:ascii="arial" w:eastAsia="arial" w:hAnsi="arial" w:cs="arial"/>
          <w:color w:val="000000"/>
          <w:sz w:val="20"/>
          <w:u w:val="single"/>
          <w:lang w:val="en-US" w:eastAsia="en-US" w:bidi="ar-SA"/>
        </w:rPr>
        <w:t>always</w:t>
      </w:r>
      <w:r>
        <w:rPr>
          <w:rFonts w:ascii="arial" w:eastAsia="arial" w:hAnsi="arial" w:cs="arial"/>
          <w:color w:val="000000"/>
          <w:sz w:val="20"/>
          <w:lang w:val="en-US" w:eastAsia="en-US" w:bidi="ar-SA"/>
        </w:rPr>
        <w:t xml:space="preserve"> prove, as was noted by Donald J.A. in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xml:space="preserve">, by Bauman J. in </w:t>
      </w:r>
      <w:r>
        <w:rPr>
          <w:rFonts w:ascii="arial" w:eastAsia="arial" w:hAnsi="arial" w:cs="arial"/>
          <w:i/>
          <w:color w:val="000000"/>
          <w:sz w:val="20"/>
          <w:lang w:val="en-US" w:eastAsia="en-US" w:bidi="ar-SA"/>
        </w:rPr>
        <w:t>Chang</w:t>
      </w:r>
      <w:r>
        <w:rPr>
          <w:rFonts w:ascii="arial" w:eastAsia="arial" w:hAnsi="arial" w:cs="arial"/>
          <w:color w:val="000000"/>
          <w:sz w:val="20"/>
          <w:lang w:val="en-US" w:eastAsia="en-US" w:bidi="ar-SA"/>
        </w:rPr>
        <w:t xml:space="preserve">, and by Tysoe J.A. in </w:t>
      </w:r>
      <w:r>
        <w:rPr>
          <w:rFonts w:ascii="arial" w:eastAsia="arial" w:hAnsi="arial" w:cs="arial"/>
          <w:i/>
          <w:color w:val="000000"/>
          <w:sz w:val="20"/>
          <w:lang w:val="en-US" w:eastAsia="en-US" w:bidi="ar-SA"/>
        </w:rPr>
        <w:t>Romanchych</w:t>
      </w:r>
      <w:r>
        <w:rPr>
          <w:rFonts w:ascii="arial" w:eastAsia="arial" w:hAnsi="arial" w:cs="arial"/>
          <w:color w:val="000000"/>
          <w:sz w:val="20"/>
          <w:lang w:val="en-US" w:eastAsia="en-US" w:bidi="ar-SA"/>
        </w:rPr>
        <w:t xml:space="preserve">, that there is a real and substantial possibility of a future event leading to an income loss. If the plaintiff discharges that burden of proof, then depending upon the facts of the case, the plaintiff may prove the quantification of that loss of earning capacity, either on an earnings approach, 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or a capital asset approach, as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The former approach will be more useful when the loss is more easily measurable, as it was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The latter approach will be more useful when the loss is not as easily measurable, as in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Romanchych</w:t>
      </w:r>
      <w:r>
        <w:rPr>
          <w:rFonts w:ascii="arial" w:eastAsia="arial" w:hAnsi="arial" w:cs="arial"/>
          <w:color w:val="000000"/>
          <w:sz w:val="20"/>
          <w:lang w:val="en-US" w:eastAsia="en-US" w:bidi="ar-SA"/>
        </w:rPr>
        <w:t xml:space="preserve">. A plaintiff may indeed be able to prove that there is a substantial possibility of a future loss of income despite having returned to his or her usual employment. That was the case in both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Parypa</w:t>
      </w:r>
      <w:r>
        <w:rPr>
          <w:rFonts w:ascii="arial" w:eastAsia="arial" w:hAnsi="arial" w:cs="arial"/>
          <w:color w:val="000000"/>
          <w:sz w:val="20"/>
          <w:lang w:val="en-US" w:eastAsia="en-US" w:bidi="ar-SA"/>
        </w:rPr>
        <w:t xml:space="preserve">. But, as Donald J.A. said in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an inability to perform an occupation that is not a realistic alternative occupation is not proof of a future loss.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xml:space="preserve">  In assessing an appropriate award, I must, consider, at a minimum, the four factors discussed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127"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(B.C.S.C.):</w:t>
      </w:r>
      <w:r>
        <w:rPr>
          <w:rFonts w:ascii="arial" w:eastAsia="arial" w:hAnsi="arial" w:cs="arial"/>
          <w:sz w:val="20"/>
          <w:lang w:val="en-US" w:eastAsia="en-US" w:bidi="ar-SA"/>
        </w:rPr>
        <w:cr/>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has been rendered less capable overall from earning income from all types of employment;</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is less marketable or attractive as an employee to potential employers;</w:t>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has lost the ability to take advantage of all job opportunities which might otherwise have been open to him, had he not been injured; and</w:t>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Mr. Wong's injuries, current status, and prognosis engage each of those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Mr. Wong has established an entitlement to an award under this head of damage. The expert medical evidence clearly establishes that Mr. Wong's ongoing headaches, even if they can be better managed, and increases or flares in his neck and back pain, will adversely impact his vocational pursuits.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The defendants' submission that Mr. Wong has not established a loss of capital asset is not supported by the evidence. It is also inconsistent with the evidence of their medical expert, Dr. Craig, who acknowledged that if Mr. Wong's pain affects his ability to focus, concentrate, sit, and stand, then over the course of his working life, his injuries would prevent him from engaging in more physically demanding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279"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8, the Court of Appeal said, "[w]hat is being compensated is not lost projected future earnings but the loss or impairment of earning capacity as a capital asset." While projections from past earnings may be used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 xml:space="preserve"> at para. 8), they have no application in the facts of Mr. Wong's case: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12. The lump sum award for loss of a capital asset considers possibilities, probabilities, chances, opportunities, and risks, taking into account all of the evidence, so long as they are a real and substantial possibility and not mere speculation: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 xml:space="preserve"> at para. 9; </w:t>
      </w:r>
      <w:r>
        <w:rPr>
          <w:rFonts w:ascii="arial" w:eastAsia="arial" w:hAnsi="arial" w:cs="arial"/>
          <w:i/>
          <w:color w:val="000000"/>
          <w:sz w:val="20"/>
          <w:lang w:val="en-US" w:eastAsia="en-US" w:bidi="ar-SA"/>
        </w:rPr>
        <w:t>Jurczak v. Mauro</w:t>
      </w:r>
      <w:r>
        <w:rPr>
          <w:rFonts w:ascii="arial" w:eastAsia="arial" w:hAnsi="arial" w:cs="arial"/>
          <w:color w:val="000000"/>
          <w:sz w:val="20"/>
          <w:lang w:val="en-US" w:eastAsia="en-US" w:bidi="ar-SA"/>
        </w:rPr>
        <w:t xml:space="preserve">, </w:t>
      </w:r>
      <w:hyperlink r:id="rId280" w:history="1">
        <w:r>
          <w:rPr>
            <w:rFonts w:ascii="arial" w:eastAsia="arial" w:hAnsi="arial" w:cs="arial"/>
            <w:i/>
            <w:color w:val="0077CC"/>
            <w:sz w:val="20"/>
            <w:u w:val="single"/>
            <w:shd w:val="clear" w:color="auto" w:fill="FFFFFF"/>
            <w:lang w:val="en-US" w:eastAsia="en-US" w:bidi="ar-SA"/>
          </w:rPr>
          <w:t>2013 BCCA 507</w:t>
        </w:r>
      </w:hyperlink>
      <w:r>
        <w:rPr>
          <w:rFonts w:ascii="arial" w:eastAsia="arial" w:hAnsi="arial" w:cs="arial"/>
          <w:color w:val="000000"/>
          <w:sz w:val="20"/>
          <w:lang w:val="en-US" w:eastAsia="en-US" w:bidi="ar-SA"/>
        </w:rPr>
        <w:t xml:space="preserve"> at paras. 36-37; </w:t>
      </w:r>
      <w:r>
        <w:rPr>
          <w:rFonts w:ascii="arial" w:eastAsia="arial" w:hAnsi="arial" w:cs="arial"/>
          <w:i/>
          <w:color w:val="000000"/>
          <w:sz w:val="20"/>
          <w:lang w:val="en-US" w:eastAsia="en-US" w:bidi="ar-SA"/>
        </w:rPr>
        <w:t>Miscisco v. Small</w:t>
      </w:r>
      <w:r>
        <w:rPr>
          <w:rFonts w:ascii="arial" w:eastAsia="arial" w:hAnsi="arial" w:cs="arial"/>
          <w:color w:val="000000"/>
          <w:sz w:val="20"/>
          <w:lang w:val="en-US" w:eastAsia="en-US" w:bidi="ar-SA"/>
        </w:rPr>
        <w:t xml:space="preserve">, </w:t>
      </w:r>
      <w:hyperlink r:id="rId281" w:history="1">
        <w:r>
          <w:rPr>
            <w:rFonts w:ascii="arial" w:eastAsia="arial" w:hAnsi="arial" w:cs="arial"/>
            <w:i/>
            <w:color w:val="0077CC"/>
            <w:sz w:val="20"/>
            <w:u w:val="single"/>
            <w:shd w:val="clear" w:color="auto" w:fill="FFFFFF"/>
            <w:lang w:val="en-US" w:eastAsia="en-US" w:bidi="ar-SA"/>
          </w:rPr>
          <w:t>2001 BCCA 576</w:t>
        </w:r>
      </w:hyperlink>
      <w:r>
        <w:rPr>
          <w:rFonts w:ascii="arial" w:eastAsia="arial" w:hAnsi="arial" w:cs="arial"/>
          <w:color w:val="000000"/>
          <w:sz w:val="20"/>
          <w:lang w:val="en-US" w:eastAsia="en-US" w:bidi="ar-SA"/>
        </w:rPr>
        <w:t xml:space="preserve"> at para.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xml:space="preserve">  Evidence of continued pain can ground an award of loss of future earning capacity: </w:t>
      </w:r>
      <w:r>
        <w:rPr>
          <w:rFonts w:ascii="arial" w:eastAsia="arial" w:hAnsi="arial" w:cs="arial"/>
          <w:i/>
          <w:color w:val="000000"/>
          <w:sz w:val="20"/>
          <w:lang w:val="en-US" w:eastAsia="en-US" w:bidi="ar-SA"/>
        </w:rPr>
        <w:t>Morlan v. Barrett</w:t>
      </w:r>
      <w:r>
        <w:rPr>
          <w:rFonts w:ascii="arial" w:eastAsia="arial" w:hAnsi="arial" w:cs="arial"/>
          <w:color w:val="000000"/>
          <w:sz w:val="20"/>
          <w:lang w:val="en-US" w:eastAsia="en-US" w:bidi="ar-SA"/>
        </w:rPr>
        <w:t xml:space="preserve">, </w:t>
      </w:r>
      <w:hyperlink r:id="rId130" w:history="1">
        <w:r>
          <w:rPr>
            <w:rFonts w:ascii="arial" w:eastAsia="arial" w:hAnsi="arial" w:cs="arial"/>
            <w:i/>
            <w:color w:val="0077CC"/>
            <w:sz w:val="20"/>
            <w:u w:val="single"/>
            <w:shd w:val="clear" w:color="auto" w:fill="FFFFFF"/>
            <w:lang w:val="en-US" w:eastAsia="en-US" w:bidi="ar-SA"/>
          </w:rPr>
          <w:t>2012 BCCA 66</w:t>
        </w:r>
      </w:hyperlink>
      <w:r>
        <w:rPr>
          <w:rFonts w:ascii="arial" w:eastAsia="arial" w:hAnsi="arial" w:cs="arial"/>
          <w:color w:val="000000"/>
          <w:sz w:val="20"/>
          <w:lang w:val="en-US" w:eastAsia="en-US" w:bidi="ar-SA"/>
        </w:rPr>
        <w:t xml:space="preserve"> at para. 41; </w:t>
      </w:r>
      <w:r>
        <w:rPr>
          <w:rFonts w:ascii="arial" w:eastAsia="arial" w:hAnsi="arial" w:cs="arial"/>
          <w:i/>
          <w:color w:val="000000"/>
          <w:sz w:val="20"/>
          <w:lang w:val="en-US" w:eastAsia="en-US" w:bidi="ar-SA"/>
        </w:rPr>
        <w:t>Shapiro v. Dailey</w:t>
      </w:r>
      <w:r>
        <w:rPr>
          <w:rFonts w:ascii="arial" w:eastAsia="arial" w:hAnsi="arial" w:cs="arial"/>
          <w:color w:val="000000"/>
          <w:sz w:val="20"/>
          <w:lang w:val="en-US" w:eastAsia="en-US" w:bidi="ar-SA"/>
        </w:rPr>
        <w:t xml:space="preserve">, </w:t>
      </w:r>
      <w:hyperlink r:id="rId282" w:history="1">
        <w:r>
          <w:rPr>
            <w:rFonts w:ascii="arial" w:eastAsia="arial" w:hAnsi="arial" w:cs="arial"/>
            <w:i/>
            <w:color w:val="0077CC"/>
            <w:sz w:val="20"/>
            <w:u w:val="single"/>
            <w:shd w:val="clear" w:color="auto" w:fill="FFFFFF"/>
            <w:lang w:val="en-US" w:eastAsia="en-US" w:bidi="ar-SA"/>
          </w:rPr>
          <w:t>2010 BCSC 770</w:t>
        </w:r>
      </w:hyperlink>
      <w:r>
        <w:rPr>
          <w:rFonts w:ascii="arial" w:eastAsia="arial" w:hAnsi="arial" w:cs="arial"/>
          <w:color w:val="000000"/>
          <w:sz w:val="20"/>
          <w:lang w:val="en-US" w:eastAsia="en-US" w:bidi="ar-SA"/>
        </w:rPr>
        <w:t xml:space="preserve"> at para. 100, aff'd </w:t>
      </w:r>
      <w:hyperlink r:id="rId283" w:history="1">
        <w:r>
          <w:rPr>
            <w:rFonts w:ascii="arial" w:eastAsia="arial" w:hAnsi="arial" w:cs="arial"/>
            <w:i/>
            <w:color w:val="0077CC"/>
            <w:sz w:val="20"/>
            <w:u w:val="single"/>
            <w:shd w:val="clear" w:color="auto" w:fill="FFFFFF"/>
            <w:lang w:val="en-US" w:eastAsia="en-US" w:bidi="ar-SA"/>
          </w:rPr>
          <w:t>2012 BCCA 128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xml:space="preserve">  For younger plaintiffs who do not have a settled career or career path, quantifying the award is at large: </w:t>
      </w:r>
      <w:r>
        <w:rPr>
          <w:rFonts w:ascii="arial" w:eastAsia="arial" w:hAnsi="arial" w:cs="arial"/>
          <w:i/>
          <w:color w:val="000000"/>
          <w:sz w:val="20"/>
          <w:lang w:val="en-US" w:eastAsia="en-US" w:bidi="ar-SA"/>
        </w:rPr>
        <w:t>Sinnott v. Boggs</w:t>
      </w:r>
      <w:r>
        <w:rPr>
          <w:rFonts w:ascii="arial" w:eastAsia="arial" w:hAnsi="arial" w:cs="arial"/>
          <w:color w:val="000000"/>
          <w:sz w:val="20"/>
          <w:lang w:val="en-US" w:eastAsia="en-US" w:bidi="ar-SA"/>
        </w:rPr>
        <w:t xml:space="preserve">, </w:t>
      </w:r>
      <w:hyperlink r:id="rId284" w:history="1">
        <w:r>
          <w:rPr>
            <w:rFonts w:ascii="arial" w:eastAsia="arial" w:hAnsi="arial" w:cs="arial"/>
            <w:i/>
            <w:color w:val="0077CC"/>
            <w:sz w:val="20"/>
            <w:u w:val="single"/>
            <w:shd w:val="clear" w:color="auto" w:fill="FFFFFF"/>
            <w:lang w:val="en-US" w:eastAsia="en-US" w:bidi="ar-SA"/>
          </w:rPr>
          <w:t>2007 BCCA 267</w:t>
        </w:r>
      </w:hyperlink>
      <w:r>
        <w:rPr>
          <w:rFonts w:ascii="arial" w:eastAsia="arial" w:hAnsi="arial" w:cs="arial"/>
          <w:color w:val="000000"/>
          <w:sz w:val="20"/>
          <w:lang w:val="en-US" w:eastAsia="en-US" w:bidi="ar-SA"/>
        </w:rPr>
        <w:t xml:space="preserve"> at paras. 16-17; </w:t>
      </w:r>
      <w:r>
        <w:rPr>
          <w:rFonts w:ascii="arial" w:eastAsia="arial" w:hAnsi="arial" w:cs="arial"/>
          <w:i/>
          <w:color w:val="000000"/>
          <w:sz w:val="20"/>
          <w:lang w:val="en-US" w:eastAsia="en-US" w:bidi="ar-SA"/>
        </w:rPr>
        <w:t>Romanchych v. Vallianatos</w:t>
      </w:r>
      <w:r>
        <w:rPr>
          <w:rFonts w:ascii="arial" w:eastAsia="arial" w:hAnsi="arial" w:cs="arial"/>
          <w:color w:val="000000"/>
          <w:sz w:val="20"/>
          <w:lang w:val="en-US" w:eastAsia="en-US" w:bidi="ar-SA"/>
        </w:rPr>
        <w:t xml:space="preserve">, </w:t>
      </w:r>
      <w:hyperlink r:id="rId285" w:history="1">
        <w:r>
          <w:rPr>
            <w:rFonts w:ascii="arial" w:eastAsia="arial" w:hAnsi="arial" w:cs="arial"/>
            <w:i/>
            <w:color w:val="0077CC"/>
            <w:sz w:val="20"/>
            <w:u w:val="single"/>
            <w:shd w:val="clear" w:color="auto" w:fill="FFFFFF"/>
            <w:lang w:val="en-US" w:eastAsia="en-US" w:bidi="ar-SA"/>
          </w:rPr>
          <w:t>2010 BCCA 20</w:t>
        </w:r>
      </w:hyperlink>
      <w:r>
        <w:rPr>
          <w:rFonts w:ascii="arial" w:eastAsia="arial" w:hAnsi="arial" w:cs="arial"/>
          <w:color w:val="000000"/>
          <w:sz w:val="20"/>
          <w:lang w:val="en-US" w:eastAsia="en-US" w:bidi="ar-SA"/>
        </w:rPr>
        <w:t xml:space="preserve"> at para.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xml:space="preserve">  In this province, courts have often assessed at large awards based on the plaintiff's potential average annual earnings, and then multiplying that amount by an appropriate number of years after considering contingencies. I refer to this as the "multiplier approach". Case authorities provided by the parties in submissions provide awards between one and four years: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Davidge v. Fairholm</w:t>
      </w:r>
      <w:r>
        <w:rPr>
          <w:rFonts w:ascii="arial" w:eastAsia="arial" w:hAnsi="arial" w:cs="arial"/>
          <w:color w:val="000000"/>
          <w:sz w:val="20"/>
          <w:lang w:val="en-US" w:eastAsia="en-US" w:bidi="ar-SA"/>
        </w:rPr>
        <w:t xml:space="preserve">, </w:t>
      </w:r>
      <w:hyperlink r:id="rId286" w:history="1">
        <w:r>
          <w:rPr>
            <w:rFonts w:ascii="arial" w:eastAsia="arial" w:hAnsi="arial" w:cs="arial"/>
            <w:i/>
            <w:color w:val="0077CC"/>
            <w:sz w:val="20"/>
            <w:u w:val="single"/>
            <w:shd w:val="clear" w:color="auto" w:fill="FFFFFF"/>
            <w:lang w:val="en-US" w:eastAsia="en-US" w:bidi="ar-SA"/>
          </w:rPr>
          <w:t>2014 BCSC 1948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Miller v. Lawlor</w:t>
      </w:r>
      <w:r>
        <w:rPr>
          <w:rFonts w:ascii="arial" w:eastAsia="arial" w:hAnsi="arial" w:cs="arial"/>
          <w:color w:val="000000"/>
          <w:sz w:val="20"/>
          <w:lang w:val="en-US" w:eastAsia="en-US" w:bidi="ar-SA"/>
        </w:rPr>
        <w:t xml:space="preserve">, </w:t>
      </w:r>
      <w:hyperlink r:id="rId287" w:history="1">
        <w:r>
          <w:rPr>
            <w:rFonts w:ascii="arial" w:eastAsia="arial" w:hAnsi="arial" w:cs="arial"/>
            <w:i/>
            <w:color w:val="0077CC"/>
            <w:sz w:val="20"/>
            <w:u w:val="single"/>
            <w:shd w:val="clear" w:color="auto" w:fill="FFFFFF"/>
            <w:lang w:val="en-US" w:eastAsia="en-US" w:bidi="ar-SA"/>
          </w:rPr>
          <w:t>2012 BCSC 387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Scott v. Cheng</w:t>
      </w:r>
      <w:r>
        <w:rPr>
          <w:rFonts w:ascii="arial" w:eastAsia="arial" w:hAnsi="arial" w:cs="arial"/>
          <w:color w:val="000000"/>
          <w:sz w:val="20"/>
          <w:lang w:val="en-US" w:eastAsia="en-US" w:bidi="ar-SA"/>
        </w:rPr>
        <w:t xml:space="preserve">, </w:t>
      </w:r>
      <w:hyperlink r:id="rId288" w:history="1">
        <w:r>
          <w:rPr>
            <w:rFonts w:ascii="arial" w:eastAsia="arial" w:hAnsi="arial" w:cs="arial"/>
            <w:i/>
            <w:color w:val="0077CC"/>
            <w:sz w:val="20"/>
            <w:u w:val="single"/>
            <w:shd w:val="clear" w:color="auto" w:fill="FFFFFF"/>
            <w:lang w:val="en-US" w:eastAsia="en-US" w:bidi="ar-SA"/>
          </w:rPr>
          <w:t>2019 BCSC 697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Mr. Wong suggests a different approach, one that capitalizes the value of the economic asset and then discounts it for the impairment. This approach first requires a determination of Mr. Wong's life time earning potential by: (a) taking what I find to be his average earnings (which he submits is shown on the evidence to be $95,025 per year); (b) determining retirement age (which involves another factual determination); and (c) applying an appropriate contingency (e.g., mortality and/or economic/labour market contingencies) to determine present value. The second step is to determine the quantum of impairment as expressed as a percentage (which Mr. Wong submits in his case is 20%). The third and final step is to apply that number against the present value of the life time earnings amount to determine the award. In submissions, Mr. Wong suggested the present value of his capital earnings asset is approximately $2.898 million to age 65 if an actuarial multiplier is used or approximately $2.234 million if an economic multiplier is used. Depending on the actuarial multiplier used, Mr. Wong said his claim is either $579,728.52 or $447,833.82.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Respectfully, in my opinion, the multiplier approach is the appropriate one to assess an at large award in this case. This accords with the weight of the authorities involving younger plaintiffs with a scant or no work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As an officer of the Court, defence counsel acknowledged, as it was quite proper for him to do, the evidence supports a loss of capacity claim and suggested, in the alternative, that the award should be minimal, at one to two years valued at approximately $45,000 per year or one year at $95,000. In my opinion, neither amount reflects the true nature and effects of Mr. Wong's injuries and ongoing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Mr. Wong also advanced an alternative submission. As noted above, he cited case authority in this province using the multiplier approach for younger plaintiffs, and submitted if it is the method employed, then the award should reflect a significant temporal multiplier given the effects on a 24 year old Mr. Wong of the enduring nature of his headaches (which may at best be managed) and the limitations and requisite accommodations on his vocational opportunities posed by his neck and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In closing written submissions, Mr. Wong made these compelling points with which I agree:</w:t>
      </w:r>
      <w:r>
        <w:rPr>
          <w:rFonts w:ascii="arial" w:eastAsia="arial" w:hAnsi="arial" w:cs="arial"/>
          <w:sz w:val="20"/>
          <w:lang w:val="en-US" w:eastAsia="en-US" w:bidi="ar-SA"/>
        </w:rPr>
        <w:cr/>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many ways, Parker has done well because he has been sheltered as a teenager and a student, living in his parents' home, having accommodating coaches in the McPhees and part-time employers like Christine Zapisocki. Parker has been able to accommodate periods of time with bad headaches by relying on "banked games" in competitive bowling or getting pulled out of bowling tournaments and matches. In his role as an RA at UFV, Chrstine Zapisocki trusted the Plaintiff to work around his headaches or poor sleep by making up or completing his job duties on his own time. As with the McPhees, Dr. Chang and Parker's mother, Christine affirmed that Parker was not a whiner, that he "pushed through his work" if he had slept poorly, that she would encourage him to take time off work, but that he only made it known to her that he was struggling with headache or poor sleeps some six occasions over two years. ...</w:t>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In Parker, we have a young man that will be approaching the competitive job market at the bottom of the vocational food chain, and he will be competing against just as young and hungry and qualified applicants as him, but competitors who are unencumbered with chronic pain and headaches. Part of the diminishment to Parker's earning capacity the Defendants have visited on the Plaintiff is putting him in the position of having to either omit in the job interview setting that he has enduring chronic pain and headaches that impact weekly, or he tells the truth.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Mr. Wong is highly motivated to obtain a Bachelor of Arts degree, likely in forensics. He graduated from high school in 2015 and since studied at the University of the Fraser Valley. His focus is on criminology but he has also taken courses in geography and sciences. He anticipates graduating with a diploma in criminology this spring and of being accepted at the British Columbia Institute of Technology ("BCIT") for either the Fall 2020 or January 2021 term to attend its health sciences degree program. According to Mr. Wong, BCIT is the only post secondary institution in the province that truly offers a forensics program. His goal is to graduate with a Bachelor of Arts ("B.A.") degree in Health Sciences Forensics.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Given his academic performance to date, I have no hesitation in finding that absent the 2011 Collision and 2016 Collision, Mr. Wong would have graduated with a B.A. degree of his choice. Likewise, I find that in spite of the injuries he suffered in those accidents, Mr. Wong will achieve his goal to attend BCIT in September 2020 and will successfully complete a two year program in forensics, graduating with a B.A. degree in spring 2022, at which point he should be available to enter the workforce.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Mr. Wong has expressed an interest working as a coroner or with a police force or border services once he graduates. Dr. Caillier has encouraged Mr. Wong to pursue his B.A. degree and his chosen career. I accept her evidence that Mr. Wong is capable of working in his chosen career so long as he can be accommodated by his employer for his headache symptoms and when he suffers flares of neck and back pain or increased pain symptoms due to postural/activity based triggers.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The only income evidence adduced at trial is the average annual earnings of males living in this province with a B.A. degree in 2019 is $95,025.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I reject the defence submission that since Mr. Wong's starting income may be lower than the average income amount, it is inappropriate to use this figure when assessing the award, for several reasons. Mr. Wong's impaired earning capacity is not limited to his early working years. It is a loss suffered for the whole of his working life. The dollar amount in evidence reflects an average of all incomes for all age and income earning cohorts with a B.A. degree. As noted above, it is the only evidence of income. The defence did not tender any evidence concerning potential incomes. Given Mr. Wong's dedication, personality, and ambition, I am satisfied on the balance of probabilities that absent the injuries he sustained in the 2011 Collision and 2016 Collision, Mr. Wong would have readily achieved the income average.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There is no basis to incorporate into my analysis the defence submission that Mr. Wong could work in his father's liquor store business in a management position (he owns three liquor stores), even though it involves frequent lifting of heavy boxes and stocking shelves. Quite apart from Mr. Wong's evidence that when he worked for his father's business he tried to avoid heavy lifting so as not to aggravate his symptoms, no evidence was adduced of income earning potential.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For these reasons, I have determined an appropriate award for loss of future earning capacity - for what I find to be a significant impairment to Mr. Wong's lifetime earning capacity owing to his ongoing symptoms caused by the injuries caused by the 2011 Collision and 2016 Collision (which are at best managed), his ongoing need for accommodation, and his ongoing vulnerability to flares, triggers for pain due to posture and activity, and aggravation or injury - to be $285,075, which is premised on three years' of the average earnings amount of $95,025.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In light of the injuries suffered by Mr. Wong in the 2011 Collision and 2016 Collision, resulting in enduring headaches and chronic pain, I have determined the following amounts to comprise an appropriate award of damages:</w:t>
      </w:r>
      <w:r>
        <w:rPr>
          <w:rFonts w:ascii="arial" w:eastAsia="arial" w:hAnsi="arial" w:cs="arial"/>
          <w:sz w:val="20"/>
          <w:lang w:val="en-US" w:eastAsia="en-US" w:bidi="ar-SA"/>
        </w:rPr>
        <w:cr/>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 - $90,000;</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 - $128,275.51;</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future earning capacity - $285,075.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When added to the special damages claim agreed to by the parties ($2,200), the total award is $505,550.51.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In addition, Mr. Wong is entitled to court order interest and an award for applicable tax gross up as agreed between the parties, plus any management fees that may be agreed upon. Likewise, any applicable statutory deductions shall be applied as agreed between the parties. Failing agreement the parties may return before me to make further submissions concerning any or all of those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Absent some matter which counsel which to address, Mr. Wong is entitled to his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P.W. WALKER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3" style="position:absolute;z-index:2517719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89"/>
          <w:headerReference w:type="default" r:id="rId290"/>
          <w:footerReference w:type="even" r:id="rId291"/>
          <w:footerReference w:type="default" r:id="rId292"/>
          <w:headerReference w:type="first" r:id="rId293"/>
          <w:footerReference w:type="first" r:id="rId29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95" w:history="1">
        <w:r>
          <w:rPr>
            <w:rFonts w:ascii="arial" w:eastAsia="arial" w:hAnsi="arial" w:cs="arial"/>
            <w:b/>
            <w:bCs/>
            <w:i/>
            <w:color w:val="0077CC"/>
            <w:kern w:val="32"/>
            <w:sz w:val="28"/>
            <w:szCs w:val="32"/>
            <w:u w:val="single"/>
            <w:shd w:val="clear" w:color="auto" w:fill="FFFFFF"/>
            <w:lang w:val="en-US" w:eastAsia="en-US" w:bidi="ar-SA"/>
          </w:rPr>
          <w:t>Yongfeng Holdings Inc. v. Zheng, [2019] B.C.J. No. 1718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E.D. Crossin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5-9 and 12-16, April 3-4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and 6, July 9-10, August 28-31 and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September 21,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12,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S170960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1718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1534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Yongfeng Holdings Inc., Plaintiff, and Donghui Zheng, Defendant, and Shao Ming Wang, Defendant by Counterclaim</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(318 paras.)</w:t>
      </w:r>
    </w:p>
    <w:p>
      <w:pPr>
        <w:jc w:val="both"/>
        <w:rPr>
          <w:rFonts w:ascii="arial" w:eastAsia="arial" w:hAnsi="arial" w:cs="arial"/>
          <w:sz w:val="20"/>
          <w:lang w:val="en-US" w:eastAsia="en-US" w:bidi="ar-SA"/>
        </w:rPr>
      </w:pPr>
      <w:bookmarkStart w:id="68" w:name="Counsel_11"/>
      <w:bookmarkEnd w:id="6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4" style="position:absolute;z-index:251670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and Defendant by Counterclaim: D.G. Volk.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D.J. Smith, T.M. Sportschuetz, Articling Student.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9" w:name="Judgment_11"/>
      <w:bookmarkEnd w:id="69"/>
      <w:r>
        <w:pict>
          <v:line id="_x0000_s1065" style="position:absolute;z-index:25172172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0" w:name="E.D. CROSSIN J."/>
            <w:bookmarkEnd w:id="70"/>
            <w:r>
              <w:rPr>
                <w:rFonts w:ascii="arial" w:eastAsia="arial" w:hAnsi="arial" w:cs="arial"/>
                <w:b/>
                <w:color w:val="000000"/>
                <w:sz w:val="30"/>
                <w:lang w:val="en-US" w:eastAsia="en-US" w:bidi="ar-SA"/>
              </w:rPr>
              <w:t>E.D. CROSSIN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 </w:t>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Yongfeng Holdings Inc. seeks damages for breach of contract arising from a construction dispute with Ms. Donghui Zheng ("Ms. Zheng") relating to the partial construction of her Richmond home (the "New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Ms. Zheng has filed a counterclaim against the plaintiff and Mr. Shao Ming Wang ("Mr. Wang"), the owner, director, and general manager of Yongfeng Holdings Inc., and seeks a full accounting of actual costs incurred by Mr. Wang during construction of the New House; damages for breach of contract and breach of honest performance, and punitive damages. Ms. Zheng also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fraudulent misrepresentation, deceit, and abuse of process, against Mr. Wang.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This dispute is marked by a number of different companies and individuals involved in the design and construction of the New House. I will differentiate and define these companies at the outset.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Yongfeng Group is significant to Ms. Zheng's counterclaim. The Yongfeng Group appears to be a consortium of companies that purports to provide a "one-stop" shopping experience for prospective clients and their home construction needs.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Yongfeng Group comprises some of the following companies: Yongfeng Holdings Inc. ("Y Holdings"), (the plaintiff); Yongfeng Enterprises Inc. ("Y Enterprises"); VisionHouse Design Group Inc. ("VisionHouse"); and Bouthouse Design Group Inc. ("Bouthouse").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Zheng entered into agreements with Y Holdings, Y Enterprises, VisionHouse, and Bouthouse. She entered into a building agreement with Y Holdings on February 17, 2016 for the physical construction of the house (the "Building Contract"). She had previously entered into agreements with Y Enterprises in September 2015 for the design of the house (the "House Design Contract"); and with VisionHouse on November 16, 2015 for interior design services (the "Interior Design Contract"). She also entered into an agreement with Bouthouse on November 19, 2015 for landscape design services (the "Landscaping Design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 observe at the outset that many issues in this case significantly engage both matters of reliability and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distinction between reliability and credibility is well understood and was discussed in </w:t>
      </w:r>
      <w:r>
        <w:rPr>
          <w:rFonts w:ascii="arial" w:eastAsia="arial" w:hAnsi="arial" w:cs="arial"/>
          <w:i/>
          <w:color w:val="000000"/>
          <w:sz w:val="20"/>
          <w:lang w:val="en-US" w:eastAsia="en-US" w:bidi="ar-SA"/>
        </w:rPr>
        <w:t>R. v. Morrissey</w:t>
      </w:r>
      <w:r>
        <w:rPr>
          <w:rFonts w:ascii="arial" w:eastAsia="arial" w:hAnsi="arial" w:cs="arial"/>
          <w:color w:val="000000"/>
          <w:sz w:val="20"/>
          <w:lang w:val="en-US" w:eastAsia="en-US" w:bidi="ar-SA"/>
        </w:rPr>
        <w:t xml:space="preserve"> </w:t>
      </w:r>
      <w:hyperlink r:id="rId296" w:history="1">
        <w:r>
          <w:rPr>
            <w:rFonts w:ascii="arial" w:eastAsia="arial" w:hAnsi="arial" w:cs="arial"/>
            <w:i/>
            <w:color w:val="0077CC"/>
            <w:sz w:val="20"/>
            <w:u w:val="single"/>
            <w:shd w:val="clear" w:color="auto" w:fill="FFFFFF"/>
            <w:lang w:val="en-US" w:eastAsia="en-US" w:bidi="ar-SA"/>
          </w:rPr>
          <w:t>(1995), 22 O.R. (3d) 514</w:t>
        </w:r>
      </w:hyperlink>
      <w:r>
        <w:rPr>
          <w:rFonts w:ascii="arial" w:eastAsia="arial" w:hAnsi="arial" w:cs="arial"/>
          <w:color w:val="000000"/>
          <w:sz w:val="20"/>
          <w:lang w:val="en-US" w:eastAsia="en-US" w:bidi="ar-SA"/>
        </w:rPr>
        <w:t xml:space="preserve"> (C.A.) by Justice Doherty: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[33] Testimonial evidence can raise veracity and accuracy concerns. The former relate to the witness's sincerity, that is, his or her willingness to speak the truth as the witness believes it to be. The latter concerns relate to the actual accuracy of the witness's testimony. The accuracy of a witness's testimony involves considerations of the witness's ability to accurately observe, recall and recount the events in issue. When one is concerned with a witness's veracity, one speaks of the witness's credibility. When one is concerned with the accuracy of a witness's testimony, one speaks of the reliability of that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With these principles in mind, I briefly set out my central findings on credibility. There are, however, further specific credibility findings in relation to particular issues and actors that I will discuss within the context in which they arise.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Multiple witnesses testified at trial. The main witnesses were Mr. Wang and Ms. Zheng. Mr. Wang testified with the assistance of an interpreter. In this regard, I am mindful of the cautionary words of Madam Justice Griffin in </w:t>
      </w:r>
      <w:r>
        <w:rPr>
          <w:rFonts w:ascii="arial" w:eastAsia="arial" w:hAnsi="arial" w:cs="arial"/>
          <w:i/>
          <w:color w:val="000000"/>
          <w:sz w:val="20"/>
          <w:lang w:val="en-US" w:eastAsia="en-US" w:bidi="ar-SA"/>
        </w:rPr>
        <w:t>Fu v. Zhu</w:t>
      </w:r>
      <w:r>
        <w:rPr>
          <w:rFonts w:ascii="arial" w:eastAsia="arial" w:hAnsi="arial" w:cs="arial"/>
          <w:color w:val="000000"/>
          <w:sz w:val="20"/>
          <w:lang w:val="en-US" w:eastAsia="en-US" w:bidi="ar-SA"/>
        </w:rPr>
        <w:t xml:space="preserve">, </w:t>
      </w:r>
      <w:hyperlink r:id="rId297" w:history="1">
        <w:r>
          <w:rPr>
            <w:rFonts w:ascii="arial" w:eastAsia="arial" w:hAnsi="arial" w:cs="arial"/>
            <w:i/>
            <w:color w:val="0077CC"/>
            <w:sz w:val="20"/>
            <w:u w:val="single"/>
            <w:shd w:val="clear" w:color="auto" w:fill="FFFFFF"/>
            <w:lang w:val="en-US" w:eastAsia="en-US" w:bidi="ar-SA"/>
          </w:rPr>
          <w:t>2018 BCSC 9</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[39] Some caution had to be exercised in assessing credibility because the witnesses were from another country and culture and did not speak English. Often cultural and linguistic differences can affect the demeanour of witnesses in ways not necessarily understood by the trier of fact. For this reason, I was hesitant to conclude that a witness was evasive, in case what appeared to be evasiveness could be due to language or cultural differences.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[40] I have approached the evidence aware that nuances might be lost in translation, both in terms of the translation of the question to the witness and in the answer. Word choice and word order in a sentence might be an interpreter's preference and I have been careful not to form judgment based on the wording of a single answer. Rather, I have considered the whole tenor of the evidence in coming to conclusions as to the facts. In my view it would be a mistake to take a single passage from a witness's evidence as a conclusive admission against interest, given the nuances that might be lost in translation.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Frankly, I have significant concerns with the credibility of both Mr. Wang and Ms. Zheng. Both were often equivocal and their evidence self-serving. Both exaggerated or downplayed the events during, and deficiencies in, the construction of the New House when it suited their position. In addition, neither Mr. Wang nor Ms. Zheng acted consistently with their proffered version or interpretation of the Building Contract. I will assess the issue of credibility on an issue by issue basis but generally I will look to documentary evidence for comfort; or other witnesses to determine the parties' understanding of the Building Contract and how these events unfolded.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Although I do not intend to set out each general finding of credibility for each witness who testified at trial, I do wish to take note of Ms. Phoebe Qin's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Qin was an employee of Y Holdings and the project manager for the construction of the New House. Ms. Qin was on the construction site each day and was in constant communication with Ms. Zheng and the contractors on the ground. I found Ms. Qin to be a credible and reliable witness. I will return to the reliability of her evidence in due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II. </w:t>
      </w:r>
      <w:r>
        <w:rPr>
          <w:rFonts w:ascii="arial" w:eastAsia="arial" w:hAnsi="arial" w:cs="arial"/>
          <w:b/>
          <w:color w:val="000000"/>
          <w:sz w:val="20"/>
          <w:u w:val="single"/>
          <w:lang w:val="en-US" w:eastAsia="en-US" w:bidi="ar-SA"/>
        </w:rPr>
        <w:t>OVERVIEW OF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There is evidence that reflects some common ground concerning the facts in this matter and, in any event, I find the following facts by way of an overview of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Zheng is the owner of the Richmond property upon which the New House was to be built and which is at the center of this dispute. Some time in 2015, Ms. Zheng decided she wanted to build a new home. She attended an educational seminar at the Yongfeng Group offices in September 2015 with her husband, Mr. Liu. Mr. Wang discussed the Yongfeng Group and the one-stop shopping experience they provided for prospective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Following the seminar, Ms. Zheng and Mr. Liu contacted Mr. Wang's office to inquire about other houses completed by them. Shortly thereafter, Ms. Zheng and Mr. Liu were taken on a tour of two Richmond homes by an employee of Y Holdings. Not long after inspecting the two homes, Ms. Zheng and Mr. Liu attended at Mr. Wang's office to discuss the design and construction of the New House. Following some discussion, the House Design Contract was executed between Ms. Zheng and Y Enterprises with Mr. Wang signing as its representative. Several weeks later, Ms. Zheng also executed the Interior Design Contract and Landscaping Design Contract with VisionHouse and Bouthouse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During the designing stage, and once the designing process was "finalized", Ms. Zheng began negotiating the Building Contract with Mr. Wang and Y Holdings. These discussions and negotiations were conducted exclusively in Mandarin. Mr. Wang is unable to read, speak, or understand English. Despite this fact, there are Mandarin and English portions of the Building Contract. I will return to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Building Contract sets out the "Building Cost" as $753,410 "plus GST". A section titled "Payment Process" or "Payment Schedule" sets out seven instalments to be paid upon the completion of certain construction milestones (the "Milestones"). Appended to the Building Contract is a two page document that sets out the expected construction progress of the New House (the "Project Forecast"). Among the detailed progress dates are the following:</w:t>
      </w:r>
      <w:r>
        <w:rPr>
          <w:rFonts w:ascii="arial" w:eastAsia="arial" w:hAnsi="arial" w:cs="arial"/>
          <w:sz w:val="20"/>
          <w:lang w:val="en-US" w:eastAsia="en-US" w:bidi="ar-SA"/>
        </w:rPr>
        <w:cr/>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Sign the Contract on February 17, 2016.</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Submit drawings to the municipal government for approval on February 28 [2016]. It takes 6-8 weeks for approval.</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Obtain the building permit on May 1 [2016].</w:t>
      </w:r>
    </w:p>
    <w:p>
      <w:pPr>
        <w:numPr>
          <w:numId w:val="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Hand over the completed project on March 30,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Following the execution of the Building Contract, the design drawings were submitted to the City of Richmond ("City"). Approval by the City was delayed due to design errors and allegations of indecision and delay on the part of Ms. Zheng. Again, I will return to this issue. Regardless of the reason, the permitting process took almost four months rather than the standard 6 to 8 weeks estimated in the Project Forecast. The permit was issued on June 15, 2016. The construction of the New House was necessarily delayed until the designs were approved.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Once the City issued the building permit, Y Holdings began construction in accordance with the City-approved drawings and purported to complete the first three Milestones as set out in the Building Contract. Ms. Zheng accordingly made payments in respect of those Milestones.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Although Ms. Zheng often attended at the construction site, she was not present each day. To keep up with the progress of construction, Ms. Zheng communicated with various Y Holdings employees - including Mr. Kenny Chan and Ms. Qin - by using an instant messaging phone application called WeChat on an almost daily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Over WeChat, Ms. Zheng told Mr. Chan that she would be out of town from October 26 to November 7, 2016. Mr. Chan, in response, told Ms. Zheng that Y Holdings would complete Milestone 4 imminently and requested that Ms. Zheng prepare payment for that Milestone. Ms. Zheng did not make that 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the intervening month, Y Holdings continued to work on the New House to complete the listed items under Milestone 4. Y Holdings submitted that Milestone 4 was ultimately completed by November 21,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Zheng, through counsel, sent a letter to Y Holdings on December 16, 2016 and demanded Y Holdings return the monies paid upon the completion of Milestone 3; set out a list of deficiencies associated with the construction of the New House; and demanded that Y Holdings rectify the listed deficiencies in five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December 19, 2016, Y Holdings responded by letter denying the allegations of deficiencies and notifying Ms. Zheng that failure to pay the amount owed for completion of Milestone 4 constituted a breach of contract. Y Holdings demanded that Ms. Zheng make the payment owed by January 6, 2017 or it would take legal action to recover that amount and associated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There was conflicting evidence with respect to whether Y Holdings abandoned work following this letter. Y Holdings submits that it returned to the construction site to, among other things, complete a temporary fence as requested by the City and a handful of other improvements. Ms. Zheng submits that Y Holdings staff never returned to the construction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There were conflicting submissions regarding the repudiation and termination of the Building Contract. Y Holdings argues that it gave Ms. Zheng an opportunity to reconsider her refusal to pay for Milestone 4 and other outstanding invoices. When she continued to refuse, Y Holdings argues she thereby repudiated the Building Contract. Y Holdings submits that it was entitled to accept that repudiation and to treat the contract at an 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Conversely, Ms. Zheng submits that she clearly set out her expectations regarding the rectification of specified deficiencies and that, despite giving Y Holdings the opportunity to rectify the deficiencies and continue work, Y Holdings refused to continue working until she paid for Milestone 4 which, in her mind, had not been completed. Ms. Zheng argues that this constituted an abandonment of the construction work and a repudiation of the Building Contract which she was entitled to, and did, accept.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or about January 11, 2017, Y Holdings registered a builder's lien in the amount of $174,308 against the title of Ms. Zheng's Richmond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III </w:t>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following main issues arise in this litigation:</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were the terms of the Building Contract?</w:t>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Who repudiated the Building Contract?</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Mr. Wang induce Ms. Zheng into the Building Contract with pre-contractual misrepresentations and/ or deceitful conduct and did Mr. Wang and/or Mr. Chen fraudulently misrepresent the nature of the construction progress to induce early payment of Milestone 4?</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Y Holdings and Mr. Wang improperly file a builder's lien against Ms. Zheng's property?</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Y Holdings and Mr. Wang trespass on the property and convert construction materials paid for by Ms. Zheng?</w:t>
      </w:r>
    </w:p>
    <w:p>
      <w:pPr>
        <w:numPr>
          <w:numId w:val="1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the corporate veil be pierced such that liability for any wrongdoing of the Yongfeng Group companies attaches to Mr. Wang?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IV. </w:t>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It is appropriate in my view, given how the reasons in this matter must unfold, to address at this point the allegations of misrepresentation contained in the counterclaim filed by Ms. Zheng.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The Allegation of Fraudulent Misrepresentation/ Deceit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most serious claim in this matter is made by the defendant against the plaintiff, and Mr. Wang personally, alleging fraudulent misrepresentation and the tort of deceit (the "fraud claim"): </w:t>
      </w:r>
      <w:r>
        <w:rPr>
          <w:rFonts w:ascii="arial" w:eastAsia="arial" w:hAnsi="arial" w:cs="arial"/>
          <w:i/>
          <w:color w:val="000000"/>
          <w:sz w:val="20"/>
          <w:lang w:val="en-US" w:eastAsia="en-US" w:bidi="ar-SA"/>
        </w:rPr>
        <w:t>Battrum v. MacKenzie</w:t>
      </w:r>
      <w:r>
        <w:rPr>
          <w:rFonts w:ascii="arial" w:eastAsia="arial" w:hAnsi="arial" w:cs="arial"/>
          <w:color w:val="000000"/>
          <w:sz w:val="20"/>
          <w:lang w:val="en-US" w:eastAsia="en-US" w:bidi="ar-SA"/>
        </w:rPr>
        <w:t xml:space="preserve">, </w:t>
      </w:r>
      <w:hyperlink r:id="rId298" w:history="1">
        <w:r>
          <w:rPr>
            <w:rFonts w:ascii="arial" w:eastAsia="arial" w:hAnsi="arial" w:cs="arial"/>
            <w:i/>
            <w:color w:val="0077CC"/>
            <w:sz w:val="20"/>
            <w:u w:val="single"/>
            <w:shd w:val="clear" w:color="auto" w:fill="FFFFFF"/>
            <w:lang w:val="en-US" w:eastAsia="en-US" w:bidi="ar-SA"/>
          </w:rPr>
          <w:t>2010 BCSC 1285</w:t>
        </w:r>
      </w:hyperlink>
      <w:r>
        <w:rPr>
          <w:rFonts w:ascii="arial" w:eastAsia="arial" w:hAnsi="arial" w:cs="arial"/>
          <w:color w:val="000000"/>
          <w:sz w:val="20"/>
          <w:lang w:val="en-US" w:eastAsia="en-US" w:bidi="ar-SA"/>
        </w:rPr>
        <w:t xml:space="preserve"> at para. 33 and </w:t>
      </w:r>
      <w:r>
        <w:rPr>
          <w:rFonts w:ascii="arial" w:eastAsia="arial" w:hAnsi="arial" w:cs="arial"/>
          <w:i/>
          <w:color w:val="000000"/>
          <w:sz w:val="20"/>
          <w:lang w:val="en-US" w:eastAsia="en-US" w:bidi="ar-SA"/>
        </w:rPr>
        <w:t>Boyd v. Cook</w:t>
      </w:r>
      <w:r>
        <w:rPr>
          <w:rFonts w:ascii="arial" w:eastAsia="arial" w:hAnsi="arial" w:cs="arial"/>
          <w:color w:val="000000"/>
          <w:sz w:val="20"/>
          <w:lang w:val="en-US" w:eastAsia="en-US" w:bidi="ar-SA"/>
        </w:rPr>
        <w:t xml:space="preserve">, </w:t>
      </w:r>
      <w:hyperlink r:id="rId299" w:history="1">
        <w:r>
          <w:rPr>
            <w:rFonts w:ascii="arial" w:eastAsia="arial" w:hAnsi="arial" w:cs="arial"/>
            <w:i/>
            <w:color w:val="0077CC"/>
            <w:sz w:val="20"/>
            <w:u w:val="single"/>
            <w:shd w:val="clear" w:color="auto" w:fill="FFFFFF"/>
            <w:lang w:val="en-US" w:eastAsia="en-US" w:bidi="ar-SA"/>
          </w:rPr>
          <w:t>2016 BCCA 424</w:t>
        </w:r>
      </w:hyperlink>
      <w:r>
        <w:rPr>
          <w:rFonts w:ascii="arial" w:eastAsia="arial" w:hAnsi="arial" w:cs="arial"/>
          <w:color w:val="000000"/>
          <w:sz w:val="20"/>
          <w:lang w:val="en-US" w:eastAsia="en-US" w:bidi="ar-SA"/>
        </w:rPr>
        <w:t xml:space="preserve"> at para.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law is clear in this area. The elements of the tort are succinctly stated in </w:t>
      </w:r>
      <w:r>
        <w:rPr>
          <w:rFonts w:ascii="arial" w:eastAsia="arial" w:hAnsi="arial" w:cs="arial"/>
          <w:i/>
          <w:color w:val="000000"/>
          <w:sz w:val="20"/>
          <w:lang w:val="en-US" w:eastAsia="en-US" w:bidi="ar-SA"/>
        </w:rPr>
        <w:t>Catalyst Pulp and Paper Sales Inc. v. Universal Paper Export Company Ltd.</w:t>
      </w:r>
      <w:r>
        <w:rPr>
          <w:rFonts w:ascii="arial" w:eastAsia="arial" w:hAnsi="arial" w:cs="arial"/>
          <w:color w:val="000000"/>
          <w:sz w:val="20"/>
          <w:lang w:val="en-US" w:eastAsia="en-US" w:bidi="ar-SA"/>
        </w:rPr>
        <w:t xml:space="preserve">, </w:t>
      </w:r>
      <w:hyperlink r:id="rId300" w:history="1">
        <w:r>
          <w:rPr>
            <w:rFonts w:ascii="arial" w:eastAsia="arial" w:hAnsi="arial" w:cs="arial"/>
            <w:i/>
            <w:color w:val="0077CC"/>
            <w:sz w:val="20"/>
            <w:u w:val="single"/>
            <w:shd w:val="clear" w:color="auto" w:fill="FFFFFF"/>
            <w:lang w:val="en-US" w:eastAsia="en-US" w:bidi="ar-SA"/>
          </w:rPr>
          <w:t>2009 BCCA 307</w:t>
        </w:r>
      </w:hyperlink>
      <w:r>
        <w:rPr>
          <w:rFonts w:ascii="arial" w:eastAsia="arial" w:hAnsi="arial" w:cs="arial"/>
          <w:color w:val="000000"/>
          <w:sz w:val="20"/>
          <w:lang w:val="en-US" w:eastAsia="en-US" w:bidi="ar-SA"/>
        </w:rPr>
        <w:t xml:space="preserve"> at paras. 55-58 as follows:</w:t>
      </w:r>
      <w:r>
        <w:rPr>
          <w:rFonts w:ascii="arial" w:eastAsia="arial" w:hAnsi="arial" w:cs="arial"/>
          <w:sz w:val="20"/>
          <w:lang w:val="en-US" w:eastAsia="en-US" w:bidi="ar-SA"/>
        </w:rPr>
        <w:cr/>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wrongdoer must make a representation of fact to the victim;</w:t>
      </w:r>
    </w:p>
    <w:p>
      <w:pPr>
        <w:numPr>
          <w:numId w:val="1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representation must be false in fact;</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party making the representation must have either known it was false or made it recklessly without knowing whether it was true or false;</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victim must have been induced by the representation to enter into the contract; and</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party making the representation must have intended that the victim would act on the 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fraud claim alleges two distinct circumstances of misrepresentation. The "Pre-contractual Misrepresentations" and the "Construction Cost Misrepresentations".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1. Pre-Contractual Misrepresentations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defendant alleges the pre-contractual misrepresentations were made by Mr. Wang to Ms. Zheng in meetings at the Yongfeng Group offices prior to the execution of the Building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particular, the pleadings allege the following pre-contractual misrepresentations:</w:t>
      </w:r>
      <w:r>
        <w:rPr>
          <w:rFonts w:ascii="arial" w:eastAsia="arial" w:hAnsi="arial" w:cs="arial"/>
          <w:sz w:val="20"/>
          <w:lang w:val="en-US" w:eastAsia="en-US" w:bidi="ar-SA"/>
        </w:rPr>
        <w:cr/>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Mr. Wang had graduated from a famous university in China and had studied in Japan, in construction-related disciplines;</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Mr. Wang had been involved in the construction business for over 30 years; and</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Mr. Wang and [Y Holdings] had successfully constructed a number of projects in Greater Vancouver, including certain projects depicted in photographs shown by Mr. Wang to Ms. Zheng.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During the course of the litigation, Ms. Zheng, pursuant to a demand for particulars, provided particulars as follows:</w:t>
      </w:r>
      <w:r>
        <w:rPr>
          <w:rFonts w:ascii="arial" w:eastAsia="arial" w:hAnsi="arial" w:cs="arial"/>
          <w:sz w:val="20"/>
          <w:lang w:val="en-US" w:eastAsia="en-US" w:bidi="ar-SA"/>
        </w:rPr>
        <w:cr/>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alleged Pre-Contractual Misrepresentations occurred on September 29, 2015 and that the Pre-Contractual Misrepresentations were detrimental to Ms. Zheng "... due to Yongfeng's actual lack of construction experience and expertise...";</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Misrepresentation No. 1:</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That Mr. Wang had graduated from a famous university in China and had studied in Japan in construction related disciplines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observe immediately that Ms. Zheng had no knowledge herself as to whether the statement was true or false and she offered little or no evidence to establish the statement was false.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evidence discloses Mr. Wang had no recollection of making the statement but, in any event, testified he in fact did study certain construction-related disciplines in Japan and did in fact attend a university in China for four years. Mr. Wang was not really pressed on this assertion.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am not persuaded that this representation is false. I am satisfied that Ms. Zheng has not met her burden relating to this allegation.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Misrepresentation No. 2:</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That Mr. Wang had been involved in the construction business for over 30 years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evidence of Mr. Wang is that he was and has been involved in the construction business for over 30 years. This involvement included project management in China, installation of glass curtain walls in Canada, and construction of single-family dwellings.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Again, the evidence of Mr. Wang, on the whole, left uncertainty as to whether he could recall having uttered these words to Ms. Zheng during the course of their dealing.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any event, the effort to establish the statement to be false took a tortured route. It was established that the Yongfeng Group has a website that says "We have more than 20 years building experience in the region of Greater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It was conceded by Mr. Wang that the Yongfeng Group does not have 20 years' building experience in the Greater Vancouver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As I understand the defendant, the submission is that the inaccurate website provides the basis for an inference that not only corroborates the fact the alleged misrepresentation was stated, but provides a basis for an inference to prove the alleged statement is false.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do not accept this chain of reasoning. In my view, as a matter of law and logic, the submission plainly must fail. Frankly I am not persuaded, on balance, the statements were made by Mr. Wang and certainly it has not been established the statements are untrue.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Misrepresentation No. 3:</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That Mr. Wang and the plaintiff had successfully constructed a number of projects in Greater Vancouver, including certain projects depicted in photographs shown by Mr. Wang to Ms. Zheng</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Wang testified that Y Holdings had in fact successfully constructed a number of projects in Greater Vancouver. The evidence concerning the showing of photographs is unsatisfactory. It appears photographs or renderings of several homes and buildings were available for viewing in the offices of the plaintiff. What these photographs precisely depicted and to what extent they represented the actual work of the plaintiff is unclear. There were no photographs or renderings produced at trial that purported to be the subject photographs. In the result, there is not a sufficient evidentiary basis to assess the merits of this complaint in the context of a fraud allegation.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my view, it has not been established the plaintiff's alleged misrepresentations were made and it has not been established the statements were false.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addition, I am left in substantial doubt the alleged misrepresentations induced Ms. Zheng to enter into the Building Contract. Ms. Zheng is a sophisticated party. She is a licensed real estate salesperson in the Vancouver Lower Mainland with a Masters of Business Administration degree among other real estate certifications.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Ms. Zheng met with Mr. Wang to review, discuss, and change where desired, every provision of the proposed Building Contract. Ms. Zheng inspected two homes built by Y Holdings.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credibility of Ms. Zheng also features in this analysis. My sense from carefully listening to and observing Ms. Zheng is that she overstated her self-described naïveté and reliance on matters she was allegedly told by Mr. Wang. I also find that she understated her sophistication and own sense of independent purpose and decision making.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addition, the particulars that were provided anchor the alleged misrepresentations having taken place on September 29, 2015. The evidence of Ms. Zheng is that the statements occurred at a seminar at the offices of the plaintiff some two weeks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my view, on the whole, the evidence falls well short of establishing fraudulent misrepresentation in relation to what has been referred to as the pre-contractual misrepresentations.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2. Construction Cost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Ms. Zheng alleges that Mr. Wang and the project manager, Mr. Chen, both on behalf of Y Holdings, made statements to Ms. Zheng during the construction that misrepresented the progress being made concerning the Milestones.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It is alleged that both misrepresented, at various times, that Milestone 3 had been completed and/or that Milestone 4 would imminently be completed and the plaintiff therefore was entitled to be paid under the terms of the Building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Again, the plaintiff sought particulars. These particulars were as follows:</w:t>
      </w:r>
      <w:r>
        <w:rPr>
          <w:rFonts w:ascii="arial" w:eastAsia="arial" w:hAnsi="arial" w:cs="arial"/>
          <w:sz w:val="20"/>
          <w:lang w:val="en-US" w:eastAsia="en-US" w:bidi="ar-SA"/>
        </w:rPr>
        <w:cr/>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alleged Construction Cost Misrepresentations made by Mr. Wang:</w:t>
      </w:r>
    </w:p>
    <w:p>
      <w:pPr>
        <w:numPr>
          <w:numId w:val="2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occurred on August 7, 2016 during a telephone conversation between Ms. Zheng and Mr. Wang and was that the third Milestone had been fully completed and was due for payment in reliance on which misrepresentation, Ms. Zheng paid $169,188.60 to Yongfeng on August 8, 2016.;</w:t>
      </w:r>
    </w:p>
    <w:p>
      <w:pPr>
        <w:numPr>
          <w:numId w:val="2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occurred in a undated Yongfeng letter delivered on November 30, 2016 in which it was misrepresented that Yongfeng was entitled to payment for all amounts including the 4th Milestone amount without there being any requirement for Yongfeng to provide Ms. Zheng records of its construction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addition, particulars were provided in relation to Mr. Chen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Chen misrepresented to Mrs. Zheng in three Wechat group messages to Ms. Zheng on October 24, 2016 that Yongfeng's achievement of the fourth milestone was imminent, on which basis he requested that Ms. Zheng proceed with the fourth milestone payment to Yongfeng.</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Allegation No. 1:</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Wang misrepresented to Ms. Zheng in a telephone conversation between them on August 7, 2016 that the third Milestone had been fully completed and due for payment, in reliance on which misrepresentation, Ms. Zheng paid $169,188.60 to Yongfeng on August 8, 2016</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It is my view there is an evidentiary vacuum that is fatal to this allegation. There is no evidence to establish this conversation took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addition, one of the fundamental issues to be determined at this trial is how the Building Contract is to be interpreted and when, as a matter of contract interpretation, work and/or payment obligations arose.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For instance, Y Holdings takes the position that Milestone 3 was payable once framing for the second level was completed and the structure was ready to receive roof truss. Counsel for Ms. Zheng disagrees and submits that no entitlement arose concerning Milestone 3 until more construction was accomplished.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This issue engages matters of law and fact. Regardless of how these issues are resolved at trial, the evidence clearly does not establish the plaintiff knew his position to be false or was reckless without knowing whether it was true or false.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Allegation No. 2:</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That, Mr. Wang misrepresented that Yongfeng was entitled to payment for all amounts including the 4th Milestone amount without there being any requirement for Yongfeng to provide Ms. Zheng records of its construction costs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Again, with the greatest of respect, one of the issues that must be decided by the Court is whether the Building Contract is to be interpreted in such a way that obliged the plaintiff to provide its construction cost records to Ms. Zheng prior to 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There is no express term in the Building Contract, on either party's interpretation, that entitles Ms. Zheng to receive Yongfeng's construction cost records. There may be an implied term. Whether that is so or not is a live issue in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plaintiff cannot succeed on this point.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Allegation No. 3:</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Chen misrepresented to Ms. Zheng in three Wechat group messages to Ms. Zheng on October 24, 2016 that Yongfeng's achievement of the fourth Milestone was imminent, on which basis he requested that Ms. Zheng proceed with the fourth Milestone payment to Yongfeng</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Chen gave evidence. It was Mr. Chen's evidence that his intention was to ask Ms. Zheng to prepare the funds that would be required for payment pursuant to Milestone 4 because Ms. Zheng had indicated that she was leaving on vacation.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Chen testified that on October 25, 2016 he sent the October 17, 2016 invoice for the Milestone payment. The Wechat messages were written in Mandarin. Mr. Chen translated the message that he had sent on October 25, 2016. He testified that the invoice for Milestone 4 was due after completion of plumbing and electrical. It was sent to Ms. Zheng to allow her time to ready herself to make payment and prepare the cheque. There was additional evidence given by Mr. Chen explaining the context of this exchange.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There is no evidence supporting the proposition that Mr. Chen sent these communications knowing them to be false or sent them recklessly without knowing whether they were true or false.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On the whole of the evidence, the fraud claim is dismissed.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What were the terms of the Building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It was common ground that the Building Contract is enforceable and legally binding on each party according to its terms. The parties disagree, however, on the version of the Building Contract to be used; on whether it is a fixed-price or cost-plus contract; and about what work is to be completed for each Milestone.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1. What version of the Building Contract governs?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Building Contract, identified as Exhibit "7" at Tab "17", contained clauses written in both Mandarin and English. That is, clauses were written in Mandarin first and were purportedly followed, for the most part, by its English equivalent. There were Mandarin parts to the Building Contract that did not have an English equivalent. Again, I will return to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Wang testified with the assistance of an interpreter. Mr. Liu's understanding of Mandarin was better than his English, but there was some evidence that he had some understanding of both; however, Mr. Liu also testified with the assistance of an interpreter. Ms. Zheng was clearly capable of understanding both English and Mandarin.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discussion of the Building Contract occurred exclusively in Mandarin. Amendments to the Building Contract were made to the Mandarin version before the Mandarin text was translated into its English equivalent.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There was some dispute as to who drafted the English portion of the Building Contract. Ultimately, I find that Mr. Wang created the English version exclusively using Google Translate, a free online translation website, to translate clauses of the Building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In any event, I consider that the English translations of the Building Contract, rendered by Google Translate, ought not to be the version that is to be taken as representing the intention and understanding of the parties. The circumstances of this case can be distinguished from </w:t>
      </w:r>
      <w:r>
        <w:rPr>
          <w:rFonts w:ascii="arial" w:eastAsia="arial" w:hAnsi="arial" w:cs="arial"/>
          <w:i/>
          <w:color w:val="000000"/>
          <w:sz w:val="20"/>
          <w:lang w:val="en-US" w:eastAsia="en-US" w:bidi="ar-SA"/>
        </w:rPr>
        <w:t>Novelty Holdings Ltd. v. FMF Construction &amp; Trading Ltd.</w:t>
      </w:r>
      <w:r>
        <w:rPr>
          <w:rFonts w:ascii="arial" w:eastAsia="arial" w:hAnsi="arial" w:cs="arial"/>
          <w:color w:val="000000"/>
          <w:sz w:val="20"/>
          <w:lang w:val="en-US" w:eastAsia="en-US" w:bidi="ar-SA"/>
        </w:rPr>
        <w:t xml:space="preserve">, </w:t>
      </w:r>
      <w:hyperlink r:id="rId301" w:history="1">
        <w:r>
          <w:rPr>
            <w:rFonts w:ascii="arial" w:eastAsia="arial" w:hAnsi="arial" w:cs="arial"/>
            <w:i/>
            <w:color w:val="0077CC"/>
            <w:sz w:val="20"/>
            <w:u w:val="single"/>
            <w:shd w:val="clear" w:color="auto" w:fill="FFFFFF"/>
            <w:lang w:val="en-US" w:eastAsia="en-US" w:bidi="ar-SA"/>
          </w:rPr>
          <w:t>2008 BCSC 337</w:t>
        </w:r>
      </w:hyperlink>
      <w:r>
        <w:rPr>
          <w:rFonts w:ascii="arial" w:eastAsia="arial" w:hAnsi="arial" w:cs="arial"/>
          <w:color w:val="000000"/>
          <w:sz w:val="20"/>
          <w:lang w:val="en-US" w:eastAsia="en-US" w:bidi="ar-SA"/>
        </w:rPr>
        <w:t xml:space="preserve"> where the parties negotiated and first entered into an English contract and executed a Farsi contract less than a week later, as a supplement to the English contract, to help the defendant understand the scope of work set out in that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In the case at bar, Mr. Wang had, indisputably, really no understanding of English. Similar to </w:t>
      </w:r>
      <w:r>
        <w:rPr>
          <w:rFonts w:ascii="arial" w:eastAsia="arial" w:hAnsi="arial" w:cs="arial"/>
          <w:i/>
          <w:color w:val="000000"/>
          <w:sz w:val="20"/>
          <w:lang w:val="en-US" w:eastAsia="en-US" w:bidi="ar-SA"/>
        </w:rPr>
        <w:t>Novelty</w:t>
      </w:r>
      <w:r>
        <w:rPr>
          <w:rFonts w:ascii="arial" w:eastAsia="arial" w:hAnsi="arial" w:cs="arial"/>
          <w:color w:val="000000"/>
          <w:sz w:val="20"/>
          <w:lang w:val="en-US" w:eastAsia="en-US" w:bidi="ar-SA"/>
        </w:rPr>
        <w:t>, however, none of the terms were discussed and explained between the parties in English. Mr. Wang was the construction person. He necessarily discussed the terms and construction jargon of the Building Contract in Mandarin. Ms. Zheng acknowledged that Mr. Wang discussed the Mandarin terms of the Building Contract with both Ms. Zheng and Mr. Liu. All parties acknowledged that the Building Contract was displayed on a large screen in the Y Holdings boardroom on the date of its execution, and explained, clause by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 consider that the Mandarin version of the Building Contract best reflects the intention and understanding of the parties. The negotiations occurred in Mandarin. Some portions of the Mandarin text were not translated in English at all. For instance, Clause 4 of the Building Contract reflects the Mandarin text enumerating four items that are not included in the building cost. The English text immediately below the Mandarin text only enumerates the first three items. This was not a circumstance in which negotiations and discussion occurred in both languages. The parties exclusively discussed the Building Contract in Mandarin. I find the Mandarin version of the Building Contract governs this contractual dispute and decline to consider the English text for the purposes of resolving any ambiguity that may arise, contrary to Ms. Zheng's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evidence before me clearly indicates that the Mandarin text of the Building Contract was the focus of the parties' intentions and understanding. The English text was treated as an afterthought or formality. It was incomplete, went undiscussed, and was not relied on. I see no reason to consider the English text of the Building Contract where the parties themselves did not discuss or rely on it. For this reason, I rely on the translation of the Mandarin text of the Building Contract done by a translator certified and in good standing with the Society of Translators and Interpreters of British Columbia.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2. Was the Building Contract a fixed-price or cost-plus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this case, Y Holdings says it is a fixed-price contract and, therefore, Ms. Zheng is required to pay for the completion of each completed milestone as set out in the Building Contract. Ms. Zheng says the contract was a cost-plus contract and, therefore, Y Holdings and Mr. Wang were obliged to present receipts and other documentation to her to validate the costs incurred for construction. There is no express reference to cost-plus nor fixed-price terms in the Building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The legal context in this regard requires courts to consider the surrounding circumstances, or factual matrix, to determine the parties' actual intentions. In particular, Justice Rothstein, in </w:t>
      </w:r>
      <w:r>
        <w:rPr>
          <w:rFonts w:ascii="arial" w:eastAsia="arial" w:hAnsi="arial" w:cs="arial"/>
          <w:i/>
          <w:color w:val="000000"/>
          <w:sz w:val="20"/>
          <w:lang w:val="en-US" w:eastAsia="en-US" w:bidi="ar-SA"/>
        </w:rPr>
        <w:t>Sattva Capital Corp. v. Creston Moly Corp.</w:t>
      </w:r>
      <w:r>
        <w:rPr>
          <w:rFonts w:ascii="arial" w:eastAsia="arial" w:hAnsi="arial" w:cs="arial"/>
          <w:color w:val="000000"/>
          <w:sz w:val="20"/>
          <w:lang w:val="en-US" w:eastAsia="en-US" w:bidi="ar-SA"/>
        </w:rPr>
        <w:t xml:space="preserve">, </w:t>
      </w:r>
      <w:hyperlink r:id="rId302" w:history="1">
        <w:r>
          <w:rPr>
            <w:rFonts w:ascii="arial" w:eastAsia="arial" w:hAnsi="arial" w:cs="arial"/>
            <w:i/>
            <w:color w:val="0077CC"/>
            <w:sz w:val="20"/>
            <w:u w:val="single"/>
            <w:shd w:val="clear" w:color="auto" w:fill="FFFFFF"/>
            <w:lang w:val="en-US" w:eastAsia="en-US" w:bidi="ar-SA"/>
          </w:rPr>
          <w:t>2014 SCC 53</w:t>
        </w:r>
      </w:hyperlink>
      <w:r>
        <w:rPr>
          <w:rFonts w:ascii="arial" w:eastAsia="arial" w:hAnsi="arial" w:cs="arial"/>
          <w:color w:val="000000"/>
          <w:sz w:val="20"/>
          <w:lang w:val="en-US" w:eastAsia="en-US" w:bidi="ar-SA"/>
        </w:rPr>
        <w:t>, said this about evidence of the surrounding circumstances: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[57] While the surrounding circumstances will be considered in interpreting the terms of a contract, they must never be allowed to overwhelm the words of that agreement (</w:t>
      </w:r>
      <w:r>
        <w:rPr>
          <w:rFonts w:ascii="arial" w:eastAsia="arial" w:hAnsi="arial" w:cs="arial"/>
          <w:i/>
          <w:color w:val="000000"/>
          <w:sz w:val="20"/>
          <w:lang w:val="en-US" w:eastAsia="en-US" w:bidi="ar-SA"/>
        </w:rPr>
        <w:t>Hayes Forest Services</w:t>
      </w:r>
      <w:r>
        <w:rPr>
          <w:rFonts w:ascii="arial" w:eastAsia="arial" w:hAnsi="arial" w:cs="arial"/>
          <w:color w:val="000000"/>
          <w:sz w:val="20"/>
          <w:lang w:val="en-US" w:eastAsia="en-US" w:bidi="ar-SA"/>
        </w:rPr>
        <w:t>, at para. 14; and Hall, at p. 30). The goal of examining such evidence is to deepen a decision-maker's understanding of the mutual and objective intentions of the parties as expressed in the words of the contract. The interpretation of a written contractual provision must always be grounded in the text and read in light of the entire contract (Hall, at pp. 15 and 30-32). While the surrounding circumstances are relied upon in the interpretive process, courts cannot use them to deviate from the text such that the court effectively creates a new agreement (</w:t>
      </w:r>
      <w:r>
        <w:rPr>
          <w:rFonts w:ascii="arial" w:eastAsia="arial" w:hAnsi="arial" w:cs="arial"/>
          <w:i/>
          <w:color w:val="000000"/>
          <w:sz w:val="20"/>
          <w:lang w:val="en-US" w:eastAsia="en-US" w:bidi="ar-SA"/>
        </w:rPr>
        <w:t>Glaswegian Enterprises Inc. v. B.C. Tel Mobility Cellular Inc</w:t>
      </w:r>
      <w:r>
        <w:rPr>
          <w:rFonts w:ascii="arial" w:eastAsia="arial" w:hAnsi="arial" w:cs="arial"/>
          <w:color w:val="000000"/>
          <w:sz w:val="20"/>
          <w:lang w:val="en-US" w:eastAsia="en-US" w:bidi="ar-SA"/>
        </w:rPr>
        <w:t xml:space="preserve">. </w:t>
      </w:r>
      <w:hyperlink r:id="rId303" w:history="1">
        <w:r>
          <w:rPr>
            <w:rFonts w:ascii="arial" w:eastAsia="arial" w:hAnsi="arial" w:cs="arial"/>
            <w:i/>
            <w:color w:val="0077CC"/>
            <w:sz w:val="20"/>
            <w:u w:val="single"/>
            <w:shd w:val="clear" w:color="auto" w:fill="FFFFFF"/>
            <w:lang w:val="en-US" w:eastAsia="en-US" w:bidi="ar-SA"/>
          </w:rPr>
          <w:t>(1997), 101 B.C.A.C. 62</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[58] The nature of the evidence that can be relied upon under the rubric of "surrounding circumstances" will necessarily vary from case to case. It does, however, have its limits. It should consist only of objective evidence of the background facts at the time of the execution of the contract (</w:t>
      </w:r>
      <w:r>
        <w:rPr>
          <w:rFonts w:ascii="arial" w:eastAsia="arial" w:hAnsi="arial" w:cs="arial"/>
          <w:i/>
          <w:color w:val="000000"/>
          <w:sz w:val="20"/>
          <w:lang w:val="en-US" w:eastAsia="en-US" w:bidi="ar-SA"/>
        </w:rPr>
        <w:t>King</w:t>
      </w:r>
      <w:r>
        <w:rPr>
          <w:rFonts w:ascii="arial" w:eastAsia="arial" w:hAnsi="arial" w:cs="arial"/>
          <w:color w:val="000000"/>
          <w:sz w:val="20"/>
          <w:lang w:val="en-US" w:eastAsia="en-US" w:bidi="ar-SA"/>
        </w:rPr>
        <w:t>, at paras. 66 and 70), that is, knowledge that was or reasonably ought to have been within the knowledge of both parties at or before the date of contracting. Subject to these requirements and the parol evidence rule discussed below, this includes, in the words of Lord Hoffmann, "absolutely anything which would have affected the way in which the language of the document would have been understood by a reasonable man" (</w:t>
      </w:r>
      <w:r>
        <w:rPr>
          <w:rFonts w:ascii="arial" w:eastAsia="arial" w:hAnsi="arial" w:cs="arial"/>
          <w:i/>
          <w:color w:val="000000"/>
          <w:sz w:val="20"/>
          <w:lang w:val="en-US" w:eastAsia="en-US" w:bidi="ar-SA"/>
        </w:rPr>
        <w:t>Investors Compensation Scheme</w:t>
      </w:r>
      <w:r>
        <w:rPr>
          <w:rFonts w:ascii="arial" w:eastAsia="arial" w:hAnsi="arial" w:cs="arial"/>
          <w:color w:val="000000"/>
          <w:sz w:val="20"/>
          <w:lang w:val="en-US" w:eastAsia="en-US" w:bidi="ar-SA"/>
        </w:rPr>
        <w:t>, at p. 114). Whether something was or reasonably ought to have been within the common knowledge of the parties at the time of execution of the contract is a question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Jacobsen v. Bergman</w:t>
      </w:r>
      <w:r>
        <w:rPr>
          <w:rFonts w:ascii="arial" w:eastAsia="arial" w:hAnsi="arial" w:cs="arial"/>
          <w:color w:val="000000"/>
          <w:sz w:val="20"/>
          <w:lang w:val="en-US" w:eastAsia="en-US" w:bidi="ar-SA"/>
        </w:rPr>
        <w:t xml:space="preserve">, </w:t>
      </w:r>
      <w:hyperlink r:id="rId304" w:history="1">
        <w:r>
          <w:rPr>
            <w:rFonts w:ascii="arial" w:eastAsia="arial" w:hAnsi="arial" w:cs="arial"/>
            <w:i/>
            <w:color w:val="0077CC"/>
            <w:sz w:val="20"/>
            <w:u w:val="single"/>
            <w:shd w:val="clear" w:color="auto" w:fill="FFFFFF"/>
            <w:lang w:val="en-US" w:eastAsia="en-US" w:bidi="ar-SA"/>
          </w:rPr>
          <w:t>2002 BCCA 102</w:t>
        </w:r>
      </w:hyperlink>
      <w:r>
        <w:rPr>
          <w:rFonts w:ascii="arial" w:eastAsia="arial" w:hAnsi="arial" w:cs="arial"/>
          <w:color w:val="000000"/>
          <w:sz w:val="20"/>
          <w:lang w:val="en-US" w:eastAsia="en-US" w:bidi="ar-SA"/>
        </w:rPr>
        <w:t xml:space="preserve"> at paras.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The exercise is to determine the intent of the parties and the scope of their understanding by reading the contract as a whole and giving the words used their ordinary and grammatical meaning, consistent with the surrounding circumstances known to the parties at the time of contract formation: </w:t>
      </w:r>
      <w:r>
        <w:rPr>
          <w:rFonts w:ascii="arial" w:eastAsia="arial" w:hAnsi="arial" w:cs="arial"/>
          <w:i/>
          <w:color w:val="000000"/>
          <w:sz w:val="20"/>
          <w:lang w:val="en-US" w:eastAsia="en-US" w:bidi="ar-SA"/>
        </w:rPr>
        <w:t>Sattva</w:t>
      </w:r>
      <w:r>
        <w:rPr>
          <w:rFonts w:ascii="arial" w:eastAsia="arial" w:hAnsi="arial" w:cs="arial"/>
          <w:color w:val="000000"/>
          <w:sz w:val="20"/>
          <w:lang w:val="en-US" w:eastAsia="en-US" w:bidi="ar-SA"/>
        </w:rPr>
        <w:t xml:space="preserve"> at para.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The courts of this province have had numerous opportunities to consider the correct approach to determining whether a contract is fixed-price or cost-plus. Justice Dorgan, in </w:t>
      </w:r>
      <w:r>
        <w:rPr>
          <w:rFonts w:ascii="arial" w:eastAsia="arial" w:hAnsi="arial" w:cs="arial"/>
          <w:i/>
          <w:color w:val="000000"/>
          <w:sz w:val="20"/>
          <w:lang w:val="en-US" w:eastAsia="en-US" w:bidi="ar-SA"/>
        </w:rPr>
        <w:t>Strait Construction Ltd. v. Odar</w:t>
      </w:r>
      <w:r>
        <w:rPr>
          <w:rFonts w:ascii="arial" w:eastAsia="arial" w:hAnsi="arial" w:cs="arial"/>
          <w:color w:val="000000"/>
          <w:sz w:val="20"/>
          <w:lang w:val="en-US" w:eastAsia="en-US" w:bidi="ar-SA"/>
        </w:rPr>
        <w:t xml:space="preserve">, </w:t>
      </w:r>
      <w:hyperlink r:id="rId305" w:history="1">
        <w:r>
          <w:rPr>
            <w:rFonts w:ascii="arial" w:eastAsia="arial" w:hAnsi="arial" w:cs="arial"/>
            <w:i/>
            <w:color w:val="0077CC"/>
            <w:sz w:val="20"/>
            <w:u w:val="single"/>
            <w:shd w:val="clear" w:color="auto" w:fill="FFFFFF"/>
            <w:lang w:val="en-US" w:eastAsia="en-US" w:bidi="ar-SA"/>
          </w:rPr>
          <w:t>2006 BCSC 690</w:t>
        </w:r>
      </w:hyperlink>
      <w:r>
        <w:rPr>
          <w:rFonts w:ascii="arial" w:eastAsia="arial" w:hAnsi="arial" w:cs="arial"/>
          <w:color w:val="000000"/>
          <w:sz w:val="20"/>
          <w:lang w:val="en-US" w:eastAsia="en-US" w:bidi="ar-SA"/>
        </w:rPr>
        <w:t xml:space="preserve">, aff'd </w:t>
      </w:r>
      <w:hyperlink r:id="rId306" w:history="1">
        <w:r>
          <w:rPr>
            <w:rFonts w:ascii="arial" w:eastAsia="arial" w:hAnsi="arial" w:cs="arial"/>
            <w:i/>
            <w:color w:val="0077CC"/>
            <w:sz w:val="20"/>
            <w:u w:val="single"/>
            <w:shd w:val="clear" w:color="auto" w:fill="FFFFFF"/>
            <w:lang w:val="en-US" w:eastAsia="en-US" w:bidi="ar-SA"/>
          </w:rPr>
          <w:t>2007 BCCA 437</w:t>
        </w:r>
      </w:hyperlink>
      <w:r>
        <w:rPr>
          <w:rFonts w:ascii="arial" w:eastAsia="arial" w:hAnsi="arial" w:cs="arial"/>
          <w:color w:val="000000"/>
          <w:sz w:val="20"/>
          <w:lang w:val="en-US" w:eastAsia="en-US" w:bidi="ar-SA"/>
        </w:rPr>
        <w:t>, provided a non-exhaustive list of factors to consider in determining the nature of a building contract:</w:t>
      </w:r>
      <w:r>
        <w:rPr>
          <w:rFonts w:ascii="arial" w:eastAsia="arial" w:hAnsi="arial" w:cs="arial"/>
          <w:sz w:val="20"/>
          <w:lang w:val="en-US" w:eastAsia="en-US" w:bidi="ar-SA"/>
        </w:rPr>
        <w:cr/>
      </w:r>
    </w:p>
    <w:p>
      <w:pPr>
        <w:numPr>
          <w:numId w:val="2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agreement provide for a percentage of the project cost as a fee to the contractor?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w:t>
      </w:r>
      <w:r>
        <w:rPr>
          <w:rFonts w:ascii="arial" w:eastAsia="arial" w:hAnsi="arial" w:cs="arial"/>
          <w:i/>
          <w:color w:val="000000"/>
          <w:sz w:val="20"/>
          <w:lang w:val="en-US" w:eastAsia="en-US" w:bidi="ar-SA"/>
        </w:rPr>
        <w:t>Sawchuk v. James</w:t>
      </w:r>
      <w:r>
        <w:rPr>
          <w:rFonts w:ascii="arial" w:eastAsia="arial" w:hAnsi="arial" w:cs="arial"/>
          <w:color w:val="000000"/>
          <w:sz w:val="20"/>
          <w:lang w:val="en-US" w:eastAsia="en-US" w:bidi="ar-SA"/>
        </w:rPr>
        <w:t xml:space="preserve"> </w:t>
      </w:r>
      <w:hyperlink r:id="rId307" w:history="1">
        <w:r>
          <w:rPr>
            <w:rFonts w:ascii="arial" w:eastAsia="arial" w:hAnsi="arial" w:cs="arial"/>
            <w:i/>
            <w:color w:val="0077CC"/>
            <w:sz w:val="20"/>
            <w:u w:val="single"/>
            <w:shd w:val="clear" w:color="auto" w:fill="FFFFFF"/>
            <w:lang w:val="en-US" w:eastAsia="en-US" w:bidi="ar-SA"/>
          </w:rPr>
          <w:t>(1992), 5 C.L.R. (2d) 66</w:t>
        </w:r>
      </w:hyperlink>
      <w:r>
        <w:rPr>
          <w:rFonts w:ascii="arial" w:eastAsia="arial" w:hAnsi="arial" w:cs="arial"/>
          <w:color w:val="000000"/>
          <w:sz w:val="20"/>
          <w:lang w:val="en-US" w:eastAsia="en-US" w:bidi="ar-SA"/>
        </w:rPr>
        <w:t xml:space="preserve">, </w:t>
      </w:r>
      <w:hyperlink r:id="rId307" w:history="1">
        <w:r>
          <w:rPr>
            <w:rFonts w:ascii="arial" w:eastAsia="arial" w:hAnsi="arial" w:cs="arial"/>
            <w:i/>
            <w:color w:val="0077CC"/>
            <w:sz w:val="20"/>
            <w:u w:val="single"/>
            <w:shd w:val="clear" w:color="auto" w:fill="FFFFFF"/>
            <w:lang w:val="en-US" w:eastAsia="en-US" w:bidi="ar-SA"/>
          </w:rPr>
          <w:t>[1992] B.C.J. No. 2263</w:t>
        </w:r>
      </w:hyperlink>
      <w:r>
        <w:rPr>
          <w:rFonts w:ascii="arial" w:eastAsia="arial" w:hAnsi="arial" w:cs="arial"/>
          <w:color w:val="000000"/>
          <w:sz w:val="20"/>
          <w:lang w:val="en-US" w:eastAsia="en-US" w:bidi="ar-SA"/>
        </w:rPr>
        <w:t xml:space="preserve"> (S.C.) (QL).</w:t>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Was price of overriding importance for the owner and was that communicated to the contractor?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w:t>
      </w:r>
      <w:r>
        <w:rPr>
          <w:rFonts w:ascii="arial" w:eastAsia="arial" w:hAnsi="arial" w:cs="arial"/>
          <w:i/>
          <w:color w:val="000000"/>
          <w:sz w:val="20"/>
          <w:lang w:val="en-US" w:eastAsia="en-US" w:bidi="ar-SA"/>
        </w:rPr>
        <w:t>Hugh's Contracting Ltd. v. Reid</w:t>
      </w:r>
      <w:r>
        <w:rPr>
          <w:rFonts w:ascii="arial" w:eastAsia="arial" w:hAnsi="arial" w:cs="arial"/>
          <w:color w:val="000000"/>
          <w:sz w:val="20"/>
          <w:lang w:val="en-US" w:eastAsia="en-US" w:bidi="ar-SA"/>
        </w:rPr>
        <w:t xml:space="preserve">, </w:t>
      </w:r>
      <w:hyperlink r:id="rId308" w:history="1">
        <w:r>
          <w:rPr>
            <w:rFonts w:ascii="arial" w:eastAsia="arial" w:hAnsi="arial" w:cs="arial"/>
            <w:i/>
            <w:color w:val="0077CC"/>
            <w:sz w:val="20"/>
            <w:u w:val="single"/>
            <w:shd w:val="clear" w:color="auto" w:fill="FFFFFF"/>
            <w:lang w:val="en-US" w:eastAsia="en-US" w:bidi="ar-SA"/>
          </w:rPr>
          <w:t>[1998] B.C.J. No. 73</w:t>
        </w:r>
      </w:hyperlink>
      <w:r>
        <w:rPr>
          <w:rFonts w:ascii="arial" w:eastAsia="arial" w:hAnsi="arial" w:cs="arial"/>
          <w:color w:val="000000"/>
          <w:sz w:val="20"/>
          <w:lang w:val="en-US" w:eastAsia="en-US" w:bidi="ar-SA"/>
        </w:rPr>
        <w:t xml:space="preserve"> (S.C.) (QL); </w:t>
      </w:r>
      <w:r>
        <w:rPr>
          <w:rFonts w:ascii="arial" w:eastAsia="arial" w:hAnsi="arial" w:cs="arial"/>
          <w:i/>
          <w:color w:val="000000"/>
          <w:sz w:val="20"/>
          <w:lang w:val="en-US" w:eastAsia="en-US" w:bidi="ar-SA"/>
        </w:rPr>
        <w:t>Medallion Investments Inc. v. Close</w:t>
      </w:r>
      <w:r>
        <w:rPr>
          <w:rFonts w:ascii="arial" w:eastAsia="arial" w:hAnsi="arial" w:cs="arial"/>
          <w:color w:val="000000"/>
          <w:sz w:val="20"/>
          <w:lang w:val="en-US" w:eastAsia="en-US" w:bidi="ar-SA"/>
        </w:rPr>
        <w:t xml:space="preserve">, </w:t>
      </w:r>
      <w:hyperlink r:id="rId309" w:history="1">
        <w:r>
          <w:rPr>
            <w:rFonts w:ascii="arial" w:eastAsia="arial" w:hAnsi="arial" w:cs="arial"/>
            <w:i/>
            <w:color w:val="0077CC"/>
            <w:sz w:val="20"/>
            <w:u w:val="single"/>
            <w:shd w:val="clear" w:color="auto" w:fill="FFFFFF"/>
            <w:lang w:val="en-US" w:eastAsia="en-US" w:bidi="ar-SA"/>
          </w:rPr>
          <w:t>[1998] B.C.J. No. 1129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Cherry Homes Ltd. v. Perler</w:t>
      </w:r>
      <w:r>
        <w:rPr>
          <w:rFonts w:ascii="arial" w:eastAsia="arial" w:hAnsi="arial" w:cs="arial"/>
          <w:color w:val="000000"/>
          <w:sz w:val="20"/>
          <w:lang w:val="en-US" w:eastAsia="en-US" w:bidi="ar-SA"/>
        </w:rPr>
        <w:t xml:space="preserve"> </w:t>
      </w:r>
      <w:hyperlink r:id="rId310" w:history="1">
        <w:r>
          <w:rPr>
            <w:rFonts w:ascii="arial" w:eastAsia="arial" w:hAnsi="arial" w:cs="arial"/>
            <w:i/>
            <w:color w:val="0077CC"/>
            <w:sz w:val="20"/>
            <w:u w:val="single"/>
            <w:shd w:val="clear" w:color="auto" w:fill="FFFFFF"/>
            <w:lang w:val="en-US" w:eastAsia="en-US" w:bidi="ar-SA"/>
          </w:rPr>
          <w:t>(2004), 32 C.L.R. (3d) 8</w:t>
        </w:r>
      </w:hyperlink>
      <w:r>
        <w:rPr>
          <w:rFonts w:ascii="arial" w:eastAsia="arial" w:hAnsi="arial" w:cs="arial"/>
          <w:color w:val="000000"/>
          <w:sz w:val="20"/>
          <w:lang w:val="en-US" w:eastAsia="en-US" w:bidi="ar-SA"/>
        </w:rPr>
        <w:t xml:space="preserve">, </w:t>
      </w:r>
      <w:hyperlink r:id="rId310" w:history="1">
        <w:r>
          <w:rPr>
            <w:rFonts w:ascii="arial" w:eastAsia="arial" w:hAnsi="arial" w:cs="arial"/>
            <w:i/>
            <w:color w:val="0077CC"/>
            <w:sz w:val="20"/>
            <w:u w:val="single"/>
            <w:shd w:val="clear" w:color="auto" w:fill="FFFFFF"/>
            <w:lang w:val="en-US" w:eastAsia="en-US" w:bidi="ar-SA"/>
          </w:rPr>
          <w:t>2004 BCSC 28</w:t>
        </w:r>
      </w:hyperlink>
      <w:r>
        <w:rPr>
          <w:rFonts w:ascii="arial" w:eastAsia="arial" w:hAnsi="arial" w:cs="arial"/>
          <w:color w:val="000000"/>
          <w:sz w:val="20"/>
          <w:lang w:val="en-US" w:eastAsia="en-US" w:bidi="ar-SA"/>
        </w:rPr>
        <w:t>.</w:t>
      </w:r>
    </w:p>
    <w:p>
      <w:pPr>
        <w:numPr>
          <w:numId w:val="2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Was an estimate provided and did the owner rely on the estimate?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w:t>
      </w:r>
      <w:r>
        <w:rPr>
          <w:rFonts w:ascii="arial" w:eastAsia="arial" w:hAnsi="arial" w:cs="arial"/>
          <w:i/>
          <w:color w:val="000000"/>
          <w:sz w:val="20"/>
          <w:lang w:val="en-US" w:eastAsia="en-US" w:bidi="ar-SA"/>
        </w:rPr>
        <w:t>Greenhill Properties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1977) Ltd. v. Sandcastle RecreationCentre Ltd</w:t>
      </w:r>
      <w:r>
        <w:rPr>
          <w:rFonts w:ascii="arial" w:eastAsia="arial" w:hAnsi="arial" w:cs="arial"/>
          <w:color w:val="000000"/>
          <w:sz w:val="20"/>
          <w:lang w:val="en-US" w:eastAsia="en-US" w:bidi="ar-SA"/>
        </w:rPr>
        <w:t xml:space="preserve">. </w:t>
      </w:r>
      <w:hyperlink r:id="rId311" w:history="1">
        <w:r>
          <w:rPr>
            <w:rFonts w:ascii="arial" w:eastAsia="arial" w:hAnsi="arial" w:cs="arial"/>
            <w:i/>
            <w:color w:val="0077CC"/>
            <w:sz w:val="20"/>
            <w:u w:val="single"/>
            <w:shd w:val="clear" w:color="auto" w:fill="FFFFFF"/>
            <w:lang w:val="en-US" w:eastAsia="en-US" w:bidi="ar-SA"/>
          </w:rPr>
          <w:t>(1998), 39 C.L.R. (2d) 205</w:t>
        </w:r>
      </w:hyperlink>
      <w:r>
        <w:rPr>
          <w:rFonts w:ascii="arial" w:eastAsia="arial" w:hAnsi="arial" w:cs="arial"/>
          <w:color w:val="000000"/>
          <w:sz w:val="20"/>
          <w:lang w:val="en-US" w:eastAsia="en-US" w:bidi="ar-SA"/>
        </w:rPr>
        <w:t xml:space="preserve">, </w:t>
      </w:r>
      <w:hyperlink r:id="rId311" w:history="1">
        <w:r>
          <w:rPr>
            <w:rFonts w:ascii="arial" w:eastAsia="arial" w:hAnsi="arial" w:cs="arial"/>
            <w:i/>
            <w:color w:val="0077CC"/>
            <w:sz w:val="20"/>
            <w:u w:val="single"/>
            <w:shd w:val="clear" w:color="auto" w:fill="FFFFFF"/>
            <w:lang w:val="en-US" w:eastAsia="en-US" w:bidi="ar-SA"/>
          </w:rPr>
          <w:t>[1998] B.C.J. No. 1123</w:t>
        </w:r>
      </w:hyperlink>
      <w:r>
        <w:rPr>
          <w:rFonts w:ascii="arial" w:eastAsia="arial" w:hAnsi="arial" w:cs="arial"/>
          <w:color w:val="000000"/>
          <w:sz w:val="20"/>
          <w:lang w:val="en-US" w:eastAsia="en-US" w:bidi="ar-SA"/>
        </w:rPr>
        <w:t xml:space="preserve"> (S.C.) (QL).</w:t>
      </w:r>
    </w:p>
    <w:p>
      <w:pPr>
        <w:numPr>
          <w:numId w:val="2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owner require the contractor to design a project at a specified cost or seek assurances as to what the project would cost?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w:t>
      </w:r>
      <w:r>
        <w:rPr>
          <w:rFonts w:ascii="arial" w:eastAsia="arial" w:hAnsi="arial" w:cs="arial"/>
          <w:i/>
          <w:color w:val="000000"/>
          <w:sz w:val="20"/>
          <w:lang w:val="en-US" w:eastAsia="en-US" w:bidi="ar-SA"/>
        </w:rPr>
        <w:t>Greenhill Properties (1977) Ltd. v. Sandcastle Recreation Centre Ltd.</w:t>
      </w:r>
      <w:r>
        <w:rPr>
          <w:rFonts w:ascii="arial" w:eastAsia="arial" w:hAnsi="arial" w:cs="arial"/>
          <w:color w:val="000000"/>
          <w:sz w:val="20"/>
          <w:lang w:val="en-US" w:eastAsia="en-US" w:bidi="ar-SA"/>
        </w:rPr>
        <w:t>, supra.</w:t>
      </w:r>
    </w:p>
    <w:p>
      <w:pPr>
        <w:numPr>
          <w:numId w:val="2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contractor pay for the materials and labour and then bill the owner on a regular basis for the work done?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w:t>
      </w:r>
      <w:r>
        <w:rPr>
          <w:rFonts w:ascii="arial" w:eastAsia="arial" w:hAnsi="arial" w:cs="arial"/>
          <w:i/>
          <w:color w:val="000000"/>
          <w:sz w:val="20"/>
          <w:lang w:val="en-US" w:eastAsia="en-US" w:bidi="ar-SA"/>
        </w:rPr>
        <w:t>Sawchuk v. James, supra; Greenhill Properties</w:t>
      </w:r>
    </w:p>
    <w:p>
      <w:pPr>
        <w:spacing w:before="120" w:line="260" w:lineRule="atLeast"/>
        <w:jc w:val="center"/>
        <w:rPr>
          <w:rFonts w:ascii="arial" w:eastAsia="arial" w:hAnsi="arial" w:cs="arial"/>
          <w:sz w:val="20"/>
          <w:lang w:val="en-US" w:eastAsia="en-US" w:bidi="ar-SA"/>
        </w:rPr>
      </w:pPr>
      <w:r>
        <w:rPr>
          <w:rFonts w:ascii="arial" w:eastAsia="arial" w:hAnsi="arial" w:cs="arial"/>
          <w:i/>
          <w:color w:val="000000"/>
          <w:sz w:val="20"/>
          <w:lang w:val="en-US" w:eastAsia="en-US" w:bidi="ar-SA"/>
        </w:rPr>
        <w:t xml:space="preserve"> (1977) Ltd. v. Sandcastle Recreation Centre Ltd.</w:t>
      </w:r>
      <w:r>
        <w:rPr>
          <w:rFonts w:ascii="arial" w:eastAsia="arial" w:hAnsi="arial" w:cs="arial"/>
          <w:color w:val="000000"/>
          <w:sz w:val="20"/>
          <w:lang w:val="en-US" w:eastAsia="en-US" w:bidi="ar-SA"/>
        </w:rPr>
        <w: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supra</w:t>
      </w:r>
      <w:r>
        <w:rPr>
          <w:rFonts w:ascii="arial" w:eastAsia="arial" w:hAnsi="arial" w:cs="arial"/>
          <w:i/>
          <w:color w:val="000000"/>
          <w:sz w:val="20"/>
          <w:lang w:val="en-US" w:eastAsia="en-US" w:bidi="ar-SA"/>
        </w:rPr>
        <w:t>; Hugh's Contracting Ltd. v. Reid</w:t>
      </w:r>
      <w:r>
        <w:rPr>
          <w:rFonts w:ascii="arial" w:eastAsia="arial" w:hAnsi="arial" w:cs="arial"/>
          <w:color w:val="000000"/>
          <w:sz w:val="20"/>
          <w:lang w:val="en-US" w:eastAsia="en-US" w:bidi="ar-SA"/>
        </w:rPr>
        <w:t>, supra.</w:t>
      </w:r>
      <w:r>
        <w:rPr>
          <w:rFonts w:ascii="arial" w:eastAsia="arial" w:hAnsi="arial" w:cs="arial"/>
          <w:sz w:val="20"/>
          <w:lang w:val="en-US" w:eastAsia="en-US" w:bidi="ar-SA"/>
        </w:rPr>
        <w:cr/>
      </w:r>
    </w:p>
    <w:p>
      <w:pPr>
        <w:numPr>
          <w:numId w:val="3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contractor make it clear that it was not assuming any of the risk that the final price would exceed the estimate?</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See Sawchuk v. James</w:t>
      </w:r>
      <w:r>
        <w:rPr>
          <w:rFonts w:ascii="arial" w:eastAsia="arial" w:hAnsi="arial" w:cs="arial"/>
          <w:color w:val="000000"/>
          <w:sz w:val="20"/>
          <w:lang w:val="en-US" w:eastAsia="en-US" w:bidi="ar-SA"/>
        </w:rPr>
        <w:t>, supra.</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contractor provide the owner with information regarding rates for labour and equipment rental etc.?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w:t>
      </w:r>
      <w:r>
        <w:rPr>
          <w:rFonts w:ascii="arial" w:eastAsia="arial" w:hAnsi="arial" w:cs="arial"/>
          <w:i/>
          <w:color w:val="000000"/>
          <w:sz w:val="20"/>
          <w:lang w:val="en-US" w:eastAsia="en-US" w:bidi="ar-SA"/>
        </w:rPr>
        <w:t>Hugh's Contracting Ltd. v. Reid</w:t>
      </w:r>
      <w:r>
        <w:rPr>
          <w:rFonts w:ascii="arial" w:eastAsia="arial" w:hAnsi="arial" w:cs="arial"/>
          <w:color w:val="000000"/>
          <w:sz w:val="20"/>
          <w:lang w:val="en-US" w:eastAsia="en-US" w:bidi="ar-SA"/>
        </w:rPr>
        <w:t xml:space="preserve">, supra; </w:t>
      </w:r>
      <w:r>
        <w:rPr>
          <w:rFonts w:ascii="arial" w:eastAsia="arial" w:hAnsi="arial" w:cs="arial"/>
          <w:i/>
          <w:color w:val="000000"/>
          <w:sz w:val="20"/>
          <w:lang w:val="en-US" w:eastAsia="en-US" w:bidi="ar-SA"/>
        </w:rPr>
        <w:t>Greenhill Properties (1977) Ltd. v. Sandcastle Recreation Centre Ltd.</w:t>
      </w:r>
      <w:r>
        <w:rPr>
          <w:rFonts w:ascii="arial" w:eastAsia="arial" w:hAnsi="arial" w:cs="arial"/>
          <w:color w:val="000000"/>
          <w:sz w:val="20"/>
          <w:lang w:val="en-US" w:eastAsia="en-US" w:bidi="ar-SA"/>
        </w:rPr>
        <w:t>,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This list was also endorsed in </w:t>
      </w:r>
      <w:r>
        <w:rPr>
          <w:rFonts w:ascii="arial" w:eastAsia="arial" w:hAnsi="arial" w:cs="arial"/>
          <w:i/>
          <w:color w:val="000000"/>
          <w:sz w:val="20"/>
          <w:lang w:val="en-US" w:eastAsia="en-US" w:bidi="ar-SA"/>
        </w:rPr>
        <w:t>Kareway Homes Ltd. v. 37889 Yukon Inc.</w:t>
      </w:r>
      <w:r>
        <w:rPr>
          <w:rFonts w:ascii="arial" w:eastAsia="arial" w:hAnsi="arial" w:cs="arial"/>
          <w:color w:val="000000"/>
          <w:sz w:val="20"/>
          <w:lang w:val="en-US" w:eastAsia="en-US" w:bidi="ar-SA"/>
        </w:rPr>
        <w:t xml:space="preserve">, </w:t>
      </w:r>
      <w:hyperlink r:id="rId312" w:history="1">
        <w:r>
          <w:rPr>
            <w:rFonts w:ascii="arial" w:eastAsia="arial" w:hAnsi="arial" w:cs="arial"/>
            <w:i/>
            <w:color w:val="0077CC"/>
            <w:sz w:val="20"/>
            <w:u w:val="single"/>
            <w:shd w:val="clear" w:color="auto" w:fill="FFFFFF"/>
            <w:lang w:val="en-US" w:eastAsia="en-US" w:bidi="ar-SA"/>
          </w:rPr>
          <w:t>2013 YKCA 4</w:t>
        </w:r>
      </w:hyperlink>
      <w:r>
        <w:rPr>
          <w:rFonts w:ascii="arial" w:eastAsia="arial" w:hAnsi="arial" w:cs="arial"/>
          <w:color w:val="000000"/>
          <w:sz w:val="20"/>
          <w:lang w:val="en-US" w:eastAsia="en-US" w:bidi="ar-SA"/>
        </w:rPr>
        <w:t xml:space="preserve"> at paras. 25-28.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 consider that the facts of this case and the wording of the Building Contract indicate the intention of the parties was to enter into a fixed-price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Building Contract did not provide a percentage of the project cost as a fee to the contractor which would be more consistent with a cost-plus contract. Instead, as I will return to later in the assessment of damages, the contractor's fee was contemplated in the "Project Budget" scheduled to the Building Contract and was part of the final contract price, which was a fixed amount, to be paid to Y Holdings.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addition, Y Holdings paid for the materials and labour consistent with the terms of the Building Contract. The Project Budget contemplated the cost of building materials and labour throughout the construction process with the exception of some interior design and landscaping materials and labour, which were expressly omitted from the Project Budget, as those particular designs were incomplete.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Y Holdings did not bill Ms. Zheng on a regular basis for the materials and labour. It only billed Ms. Zheng in accordance with the achievement of the Milestones as set out in the Building Contract. Furthermore, Ms. Zheng did not ask for Y Holdings to account for the construction expenses until Milestone 4 and Y Holdings did not provide receipts to Ms. Zheng, apart from extra work or omitted work under the Building Contract, for those Milestones. This conduct is more consistent with an understanding by both parties that their relationship was governed by a fixed-price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 also conclude Y Holdings did assume some of the risk if the final price of the project exceeded the estimate. The Building Contract included Project Requirements (Clause 2), a detailed Project Budget appended to the Building Contract, and the following words as translated: "Matters not mentioned herein shall be addressed by both parties through discussion." I find that the parties discussed the provision of changes made to the project and of extra work requested by Ms. Zheng following the execution of the Building Contract. On this point, I refer to the defendant's admission in their Response to para. 8.b of the plaintiff's Notice of Civil Claim which provides:</w:t>
      </w:r>
      <w:r>
        <w:rPr>
          <w:rFonts w:ascii="arial" w:eastAsia="arial" w:hAnsi="arial" w:cs="arial"/>
          <w:sz w:val="20"/>
          <w:lang w:val="en-US" w:eastAsia="en-US" w:bidi="ar-SA"/>
        </w:rPr>
        <w:cr/>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addition to the terms noted above, the Building Agreement contained the following express or implied terms: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had the right to make changes to the Defined Scope of Work, however, the defendant would be responsible to pay the plaintiff for all costs associated with such changes, including any design, demolition, material, and building costs, and an amount for overhead and profit;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Taken together, however, I consider that Y Holdings would assume the risk or the construction costs in excess of the $753,410 plus GST building cost that were not the subject of changes made or of extra work requested by Ms. Zheng, or that were associated with the matters expressly omitted in the Building Contract due, in part, to incomplete interior design and landscaping plans.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Put another way, Y Holdings would assume the construction costs in excess of the Project Budget that arose during construction by virtue of the fact that their estimate was inaccurate. The assumption of some risk by the contractor is more consistent with a fixed price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Finally on this point, Ms. Zheng was not provided with information regarding rates for labour and other information consistent with a cost-plus contract. The Project Budget expressed labour for certain structures as a lump sum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There was little indication that price was of overriding importance to Ms. Zheng. There was no evidence before me that Ms. Zheng communicated such a concern to anyone at Y Holdings; that she sought assurances about the cost of the New House; or that she required Y Holdings to design the New House with a specified cost in mind.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Ms. Zheng submits that this was a cost-plus contract and the total cost of the construction was to be finally calculated after completion of the New House based on actual costs incurred. Interim payments were to be made in accordance with the Payment or Milestone Schedule (the "Schedule"). In particular, Ms. Zheng advances three arguments.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Ms. Zheng points to portions of the English version of the Building Contract. I decline to address this particular argument in light of my finding that the Mandarin text of the Building Contract, rather than the English text, accurately reflects the intentions and understanding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Ms. Zheng also submits that the inconsistent references to "contract price" and "construction costs" and the absence of "extra-work" provisions are consistent with the parties entering into a cost-plus contract. She refers to the wording of Clauses 3, 8, and 9 and the addendums to the Building Contract which provide:</w:t>
      </w:r>
      <w:r>
        <w:rPr>
          <w:rFonts w:ascii="arial" w:eastAsia="arial" w:hAnsi="arial" w:cs="arial"/>
          <w:sz w:val="20"/>
          <w:lang w:val="en-US" w:eastAsia="en-US" w:bidi="ar-SA"/>
        </w:rPr>
        <w:cr/>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Party A's Responsibility: Party A shall assume the </w:t>
      </w:r>
      <w:r>
        <w:rPr>
          <w:rFonts w:ascii="arial" w:eastAsia="arial" w:hAnsi="arial" w:cs="arial"/>
          <w:color w:val="000000"/>
          <w:sz w:val="20"/>
          <w:u w:val="single"/>
          <w:lang w:val="en-US" w:eastAsia="en-US" w:bidi="ar-SA"/>
        </w:rPr>
        <w:t>total project costs</w:t>
      </w:r>
      <w:r>
        <w:rPr>
          <w:rFonts w:ascii="arial" w:eastAsia="arial" w:hAnsi="arial" w:cs="arial"/>
          <w:color w:val="000000"/>
          <w:sz w:val="20"/>
          <w:lang w:val="en-US" w:eastAsia="en-US" w:bidi="ar-SA"/>
        </w:rPr>
        <w:t>...</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Miscellaneous:</w:t>
      </w:r>
    </w:p>
    <w:p>
      <w:pPr>
        <w:numPr>
          <w:numId w:val="3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color w:val="000000"/>
          <w:sz w:val="20"/>
          <w:u w:val="single"/>
          <w:lang w:val="en-US" w:eastAsia="en-US" w:bidi="ar-SA"/>
        </w:rPr>
        <w:t>contract price</w:t>
      </w:r>
      <w:r>
        <w:rPr>
          <w:rFonts w:ascii="arial" w:eastAsia="arial" w:hAnsi="arial" w:cs="arial"/>
          <w:color w:val="000000"/>
          <w:sz w:val="20"/>
          <w:lang w:val="en-US" w:eastAsia="en-US" w:bidi="ar-SA"/>
        </w:rPr>
        <w:t xml:space="preserve"> is based on the drawings and contractual requirements, while the </w:t>
      </w:r>
      <w:r>
        <w:rPr>
          <w:rFonts w:ascii="arial" w:eastAsia="arial" w:hAnsi="arial" w:cs="arial"/>
          <w:color w:val="000000"/>
          <w:sz w:val="20"/>
          <w:u w:val="single"/>
          <w:lang w:val="en-US" w:eastAsia="en-US" w:bidi="ar-SA"/>
        </w:rPr>
        <w:t>construction costs</w:t>
      </w:r>
      <w:r>
        <w:rPr>
          <w:rFonts w:ascii="arial" w:eastAsia="arial" w:hAnsi="arial" w:cs="arial"/>
          <w:color w:val="000000"/>
          <w:sz w:val="20"/>
          <w:lang w:val="en-US" w:eastAsia="en-US" w:bidi="ar-SA"/>
        </w:rPr>
        <w:t xml:space="preserve"> shall be subject to the actual expenses incurred...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Party A shall pay for the </w:t>
      </w:r>
      <w:r>
        <w:rPr>
          <w:rFonts w:ascii="arial" w:eastAsia="arial" w:hAnsi="arial" w:cs="arial"/>
          <w:color w:val="000000"/>
          <w:sz w:val="20"/>
          <w:u w:val="single"/>
          <w:lang w:val="en-US" w:eastAsia="en-US" w:bidi="ar-SA"/>
        </w:rPr>
        <w:t>construction costs</w:t>
      </w:r>
      <w:r>
        <w:rPr>
          <w:rFonts w:ascii="arial" w:eastAsia="arial" w:hAnsi="arial" w:cs="arial"/>
          <w:color w:val="000000"/>
          <w:sz w:val="20"/>
          <w:lang w:val="en-US" w:eastAsia="en-US" w:bidi="ar-SA"/>
        </w:rPr>
        <w:t xml:space="preserve"> as per agreed in the contract...</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Addendums:</w:t>
      </w:r>
    </w:p>
    <w:p>
      <w:pPr>
        <w:numPr>
          <w:numId w:val="3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Project Budget...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She argues that Clause 8(1) of the Building Contract is consistent with a cost-plus contract due to its reference to construction costs being subject to "the actual expenses incurred" while the "contract price" is based on the drawings and contractual requirements. There must, then, be a distinction between these terms. She says that the "contract price" is used only for the purposes of determining the interim payments to be made according to the Schedule while the construction costs are the actual costs incurred during the construction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Finally, Ms. Zheng submits that the Building Contract did not include extra work provisions, indicating the parties' intention to deal with any extra work as "an additional cost under the agreement". In the alternative, Ms. Zheng argues that any ambiguity in the Building Contract should be resolved in her favour consistent with the principle of </w:t>
      </w:r>
      <w:r>
        <w:rPr>
          <w:rFonts w:ascii="arial" w:eastAsia="arial" w:hAnsi="arial" w:cs="arial"/>
          <w:i/>
          <w:color w:val="000000"/>
          <w:sz w:val="20"/>
          <w:lang w:val="en-US" w:eastAsia="en-US" w:bidi="ar-SA"/>
        </w:rPr>
        <w:t>contra proferentem</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 am not persuaded by these arguments.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The Building Contract did not include a section for defined terms, but I disagree that the terms of the contract were so ambiguous that the principle of </w:t>
      </w:r>
      <w:r>
        <w:rPr>
          <w:rFonts w:ascii="arial" w:eastAsia="arial" w:hAnsi="arial" w:cs="arial"/>
          <w:i/>
          <w:color w:val="000000"/>
          <w:sz w:val="20"/>
          <w:lang w:val="en-US" w:eastAsia="en-US" w:bidi="ar-SA"/>
        </w:rPr>
        <w:t>contra proferentem</w:t>
      </w:r>
      <w:r>
        <w:rPr>
          <w:rFonts w:ascii="arial" w:eastAsia="arial" w:hAnsi="arial" w:cs="arial"/>
          <w:color w:val="000000"/>
          <w:sz w:val="20"/>
          <w:lang w:val="en-US" w:eastAsia="en-US" w:bidi="ar-SA"/>
        </w:rPr>
        <w:t xml:space="preserve"> is engaged. As the Supreme Court of Canada stated, this principle only applies "when all other rules of construction fail": </w:t>
      </w:r>
      <w:r>
        <w:rPr>
          <w:rFonts w:ascii="arial" w:eastAsia="arial" w:hAnsi="arial" w:cs="arial"/>
          <w:i/>
          <w:color w:val="000000"/>
          <w:sz w:val="20"/>
          <w:lang w:val="en-US" w:eastAsia="en-US" w:bidi="ar-SA"/>
        </w:rPr>
        <w:t>Canadian National Railway Co. v. Royal and Sun Alliance Insurance Co. of Canada</w:t>
      </w:r>
      <w:r>
        <w:rPr>
          <w:rFonts w:ascii="arial" w:eastAsia="arial" w:hAnsi="arial" w:cs="arial"/>
          <w:color w:val="000000"/>
          <w:sz w:val="20"/>
          <w:lang w:val="en-US" w:eastAsia="en-US" w:bidi="ar-SA"/>
        </w:rPr>
        <w:t xml:space="preserve">, </w:t>
      </w:r>
      <w:hyperlink r:id="rId313" w:history="1">
        <w:r>
          <w:rPr>
            <w:rFonts w:ascii="arial" w:eastAsia="arial" w:hAnsi="arial" w:cs="arial"/>
            <w:i/>
            <w:color w:val="0077CC"/>
            <w:sz w:val="20"/>
            <w:u w:val="single"/>
            <w:shd w:val="clear" w:color="auto" w:fill="FFFFFF"/>
            <w:lang w:val="en-US" w:eastAsia="en-US" w:bidi="ar-SA"/>
          </w:rPr>
          <w:t>2008 SCC 66</w:t>
        </w:r>
      </w:hyperlink>
      <w:r>
        <w:rPr>
          <w:rFonts w:ascii="arial" w:eastAsia="arial" w:hAnsi="arial" w:cs="arial"/>
          <w:color w:val="000000"/>
          <w:sz w:val="20"/>
          <w:lang w:val="en-US" w:eastAsia="en-US" w:bidi="ar-SA"/>
        </w:rPr>
        <w:t xml:space="preserve"> at para. 33 citing </w:t>
      </w:r>
      <w:r>
        <w:rPr>
          <w:rFonts w:ascii="arial" w:eastAsia="arial" w:hAnsi="arial" w:cs="arial"/>
          <w:i/>
          <w:color w:val="000000"/>
          <w:sz w:val="20"/>
          <w:lang w:val="en-US" w:eastAsia="en-US" w:bidi="ar-SA"/>
        </w:rPr>
        <w:t>Stevenson v. Reliance Petroleum Limited.</w:t>
      </w:r>
      <w:r>
        <w:rPr>
          <w:rFonts w:ascii="arial" w:eastAsia="arial" w:hAnsi="arial" w:cs="arial"/>
          <w:color w:val="000000"/>
          <w:sz w:val="20"/>
          <w:lang w:val="en-US" w:eastAsia="en-US" w:bidi="ar-SA"/>
        </w:rPr>
        <w:t xml:space="preserve">, </w:t>
      </w:r>
      <w:hyperlink r:id="rId314" w:history="1">
        <w:r>
          <w:rPr>
            <w:rFonts w:ascii="arial" w:eastAsia="arial" w:hAnsi="arial" w:cs="arial"/>
            <w:i/>
            <w:color w:val="0077CC"/>
            <w:sz w:val="20"/>
            <w:u w:val="single"/>
            <w:shd w:val="clear" w:color="auto" w:fill="FFFFFF"/>
            <w:lang w:val="en-US" w:eastAsia="en-US" w:bidi="ar-SA"/>
          </w:rPr>
          <w:t>[1956] S.C.R. 936</w:t>
        </w:r>
      </w:hyperlink>
      <w:r>
        <w:rPr>
          <w:rFonts w:ascii="arial" w:eastAsia="arial" w:hAnsi="arial" w:cs="arial"/>
          <w:color w:val="000000"/>
          <w:sz w:val="20"/>
          <w:lang w:val="en-US" w:eastAsia="en-US" w:bidi="ar-SA"/>
        </w:rPr>
        <w:t xml:space="preserve"> at 953. In this case, other rules of construction sufficiently resolve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I consider that Griffin J., as she then was, and her words in </w:t>
      </w:r>
      <w:r>
        <w:rPr>
          <w:rFonts w:ascii="arial" w:eastAsia="arial" w:hAnsi="arial" w:cs="arial"/>
          <w:i/>
          <w:color w:val="000000"/>
          <w:sz w:val="20"/>
          <w:lang w:val="en-US" w:eastAsia="en-US" w:bidi="ar-SA"/>
        </w:rPr>
        <w:t>Fu</w:t>
      </w:r>
      <w:r>
        <w:rPr>
          <w:rFonts w:ascii="arial" w:eastAsia="arial" w:hAnsi="arial" w:cs="arial"/>
          <w:color w:val="000000"/>
          <w:sz w:val="20"/>
          <w:lang w:val="en-US" w:eastAsia="en-US" w:bidi="ar-SA"/>
        </w:rPr>
        <w:t xml:space="preserve"> are also relevant to translators and their translation of documents. Again, word choice may be a translator's preference. I am also mindful of the fact that nuances in construction jargon may be lost on a translator who is not well versed in the terminology of the industry. I therefore approach the translation of the Building Contract with that in mind.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Building Contract refers to "total project costs" (Clause 3), "total building cost" (Clause 6), "contract price" (Clause 8(1)), and "construction cost" (Clause 8(1) and (3)). None of these terms are defined in the Building Contract nor the addendums. For reference, Clause 6 provides:</w:t>
      </w:r>
      <w:r>
        <w:rPr>
          <w:rFonts w:ascii="arial" w:eastAsia="arial" w:hAnsi="arial" w:cs="arial"/>
          <w:sz w:val="20"/>
          <w:lang w:val="en-US" w:eastAsia="en-US" w:bidi="ar-SA"/>
        </w:rPr>
        <w:cr/>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Building Cost: Based on friendly discussion, Party A and Party B agreed the total building cost is CAD753, 410 + GST.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Certainly, the interpretation of the Building Contract advanced by both parties each suffer from their own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In response to the inconsistency in the use of "construction cost" and "total project cost" and such other terms, Y Holdings sought to rely, in part, on the English version of the Building Contract. I did not find this argument at all compelling, as it undermined the submissions that I did accept, that the Mandarin version of the Building Contract represented the intention and understanding of the parties and was used to </w:t>
      </w:r>
      <w:r>
        <w:rPr>
          <w:rFonts w:ascii="arial" w:eastAsia="arial" w:hAnsi="arial" w:cs="arial"/>
          <w:i/>
          <w:color w:val="000000"/>
          <w:sz w:val="20"/>
          <w:lang w:val="en-US" w:eastAsia="en-US" w:bidi="ar-SA"/>
        </w:rPr>
        <w:t>generate</w:t>
      </w:r>
      <w:r>
        <w:rPr>
          <w:rFonts w:ascii="arial" w:eastAsia="arial" w:hAnsi="arial" w:cs="arial"/>
          <w:color w:val="000000"/>
          <w:sz w:val="20"/>
          <w:lang w:val="en-US" w:eastAsia="en-US" w:bidi="ar-SA"/>
        </w:rPr>
        <w:t xml:space="preserve"> the English version. For reasons I have earlier discussed, I do not rely on the English version. I note, however, that their submission highlights the fact that translated documents should be viewed with some caution.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Ms. Zheng's interpretation of "construction cost" deprives Clause 8(3) of meaning as it would repeat Ms. Zheng's obligation under Clause 3 to pay the "total project costs". The argument that there were no extra work provisions does not necessarily indicate the parties' intention to enter into a cost-plus arrangement. As I have stated, the Building Contract contemplates a mechanism for the parties to address unaddressed matters by virtue of the following term: "Matters not mentioned herein shall be addressed by both parties through discussion" (the "Discussion Term"). It is the plaintiff's burden, Y Holdings in this case, to establish the mechanism on which payment for additional work was to be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I do consider that the difference in terms used in the Building Contract can be reconciled. The Supreme Court has provided a helpful road map in the interpretation of a contract where there are apparent inconsistencies between different terms in </w:t>
      </w:r>
      <w:r>
        <w:rPr>
          <w:rFonts w:ascii="arial" w:eastAsia="arial" w:hAnsi="arial" w:cs="arial"/>
          <w:i/>
          <w:color w:val="000000"/>
          <w:sz w:val="20"/>
          <w:lang w:val="en-US" w:eastAsia="en-US" w:bidi="ar-SA"/>
        </w:rPr>
        <w:t>BG Checo International Ltd. v. British Columbia Hydro and Power Authority</w:t>
      </w:r>
      <w:r>
        <w:rPr>
          <w:rFonts w:ascii="arial" w:eastAsia="arial" w:hAnsi="arial" w:cs="arial"/>
          <w:color w:val="000000"/>
          <w:sz w:val="20"/>
          <w:lang w:val="en-US" w:eastAsia="en-US" w:bidi="ar-SA"/>
        </w:rPr>
        <w:t xml:space="preserve">, </w:t>
      </w:r>
      <w:hyperlink r:id="rId315" w:history="1">
        <w:r>
          <w:rPr>
            <w:rFonts w:ascii="arial" w:eastAsia="arial" w:hAnsi="arial" w:cs="arial"/>
            <w:i/>
            <w:color w:val="0077CC"/>
            <w:sz w:val="20"/>
            <w:u w:val="single"/>
            <w:shd w:val="clear" w:color="auto" w:fill="FFFFFF"/>
            <w:lang w:val="en-US" w:eastAsia="en-US" w:bidi="ar-SA"/>
          </w:rPr>
          <w:t>[1993] 1 S.C.R. 12</w:t>
        </w:r>
      </w:hyperlink>
      <w:r>
        <w:rPr>
          <w:rFonts w:ascii="arial" w:eastAsia="arial" w:hAnsi="arial" w:cs="arial"/>
          <w:color w:val="000000"/>
          <w:sz w:val="20"/>
          <w:lang w:val="en-US" w:eastAsia="en-US" w:bidi="ar-SA"/>
        </w:rPr>
        <w:t xml:space="preserve"> at 23-24: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Where there are apparent inconsistencies between different terms of a contract, the court should attempt to find an interpretation which can reasonably give meaning to each of the terms in question. Only if an interpretation giving reasonable consistency to the terms in question cannot be found will the court rule one clause or the other ineffective: </w:t>
      </w:r>
      <w:r>
        <w:rPr>
          <w:rFonts w:ascii="arial" w:eastAsia="arial" w:hAnsi="arial" w:cs="arial"/>
          <w:i/>
          <w:color w:val="000000"/>
          <w:sz w:val="20"/>
          <w:lang w:val="en-US" w:eastAsia="en-US" w:bidi="ar-SA"/>
        </w:rPr>
        <w:t>Chitty on Contracts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 526; Lewison,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 206; </w:t>
      </w:r>
      <w:r>
        <w:rPr>
          <w:rFonts w:ascii="arial" w:eastAsia="arial" w:hAnsi="arial" w:cs="arial"/>
          <w:i/>
          <w:color w:val="000000"/>
          <w:sz w:val="20"/>
          <w:lang w:val="en-US" w:eastAsia="en-US" w:bidi="ar-SA"/>
        </w:rPr>
        <w:t>Git v. Forbes</w:t>
      </w:r>
      <w:r>
        <w:rPr>
          <w:rFonts w:ascii="arial" w:eastAsia="arial" w:hAnsi="arial" w:cs="arial"/>
          <w:color w:val="000000"/>
          <w:sz w:val="20"/>
          <w:lang w:val="en-US" w:eastAsia="en-US" w:bidi="ar-SA"/>
        </w:rPr>
        <w:t xml:space="preserve"> </w:t>
      </w:r>
      <w:hyperlink r:id="rId316" w:history="1">
        <w:r>
          <w:rPr>
            <w:rFonts w:ascii="arial" w:eastAsia="arial" w:hAnsi="arial" w:cs="arial"/>
            <w:i/>
            <w:color w:val="0077CC"/>
            <w:sz w:val="20"/>
            <w:u w:val="single"/>
            <w:shd w:val="clear" w:color="auto" w:fill="FFFFFF"/>
            <w:lang w:val="en-US" w:eastAsia="en-US" w:bidi="ar-SA"/>
          </w:rPr>
          <w:t>(1921), 62 S.C.R. 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Duff J. (as he then was), dissenting, at p. 10, rev'd [1922] 1 A.C. 256; </w:t>
      </w:r>
      <w:r>
        <w:rPr>
          <w:rFonts w:ascii="arial" w:eastAsia="arial" w:hAnsi="arial" w:cs="arial"/>
          <w:i/>
          <w:color w:val="000000"/>
          <w:sz w:val="20"/>
          <w:lang w:val="en-US" w:eastAsia="en-US" w:bidi="ar-SA"/>
        </w:rPr>
        <w:t>Hassard v. Peace River Co-operative Seed Growers Association Ltd.</w:t>
      </w:r>
      <w:r>
        <w:rPr>
          <w:rFonts w:ascii="arial" w:eastAsia="arial" w:hAnsi="arial" w:cs="arial"/>
          <w:color w:val="000000"/>
          <w:sz w:val="20"/>
          <w:lang w:val="en-US" w:eastAsia="en-US" w:bidi="ar-SA"/>
        </w:rPr>
        <w:t xml:space="preserve">, </w:t>
      </w:r>
      <w:hyperlink r:id="rId317" w:history="1">
        <w:r>
          <w:rPr>
            <w:rFonts w:ascii="arial" w:eastAsia="arial" w:hAnsi="arial" w:cs="arial"/>
            <w:i/>
            <w:color w:val="0077CC"/>
            <w:sz w:val="20"/>
            <w:u w:val="single"/>
            <w:shd w:val="clear" w:color="auto" w:fill="FFFFFF"/>
            <w:lang w:val="en-US" w:eastAsia="en-US" w:bidi="ar-SA"/>
          </w:rPr>
          <w:t>[1954] 2 D.L.R. 50</w:t>
        </w:r>
      </w:hyperlink>
      <w:r>
        <w:rPr>
          <w:rFonts w:ascii="arial" w:eastAsia="arial" w:hAnsi="arial" w:cs="arial"/>
          <w:color w:val="000000"/>
          <w:sz w:val="20"/>
          <w:lang w:val="en-US" w:eastAsia="en-US" w:bidi="ar-SA"/>
        </w:rPr>
        <w:t xml:space="preserve"> (S.C.C.), at p. 54. In this process, the terms will, if reasonably possible, be reconciled by construing one term as a qualification of the other term: </w:t>
      </w:r>
      <w:r>
        <w:rPr>
          <w:rFonts w:ascii="arial" w:eastAsia="arial" w:hAnsi="arial" w:cs="arial"/>
          <w:i/>
          <w:color w:val="000000"/>
          <w:sz w:val="20"/>
          <w:lang w:val="en-US" w:eastAsia="en-US" w:bidi="ar-SA"/>
        </w:rPr>
        <w:t>Forbes v. Git</w:t>
      </w:r>
      <w:r>
        <w:rPr>
          <w:rFonts w:ascii="arial" w:eastAsia="arial" w:hAnsi="arial" w:cs="arial"/>
          <w:color w:val="000000"/>
          <w:sz w:val="20"/>
          <w:lang w:val="en-US" w:eastAsia="en-US" w:bidi="ar-SA"/>
        </w:rPr>
        <w:t xml:space="preserve">, [1922] 1 A.C. 256; </w:t>
      </w:r>
      <w:r>
        <w:rPr>
          <w:rFonts w:ascii="arial" w:eastAsia="arial" w:hAnsi="arial" w:cs="arial"/>
          <w:i/>
          <w:color w:val="000000"/>
          <w:sz w:val="20"/>
          <w:lang w:val="en-US" w:eastAsia="en-US" w:bidi="ar-SA"/>
        </w:rPr>
        <w:t>Cotter v. General Petroleums Ltd.</w:t>
      </w:r>
      <w:r>
        <w:rPr>
          <w:rFonts w:ascii="arial" w:eastAsia="arial" w:hAnsi="arial" w:cs="arial"/>
          <w:color w:val="000000"/>
          <w:sz w:val="20"/>
          <w:lang w:val="en-US" w:eastAsia="en-US" w:bidi="ar-SA"/>
        </w:rPr>
        <w:t xml:space="preserve">, </w:t>
      </w:r>
      <w:hyperlink r:id="rId318" w:history="1">
        <w:r>
          <w:rPr>
            <w:rFonts w:ascii="arial" w:eastAsia="arial" w:hAnsi="arial" w:cs="arial"/>
            <w:i/>
            <w:color w:val="0077CC"/>
            <w:sz w:val="20"/>
            <w:u w:val="single"/>
            <w:shd w:val="clear" w:color="auto" w:fill="FFFFFF"/>
            <w:lang w:val="en-US" w:eastAsia="en-US" w:bidi="ar-SA"/>
          </w:rPr>
          <w:t>[1951] S.C.R. 154</w:t>
        </w:r>
      </w:hyperlink>
      <w:r>
        <w:rPr>
          <w:rFonts w:ascii="arial" w:eastAsia="arial" w:hAnsi="arial" w:cs="arial"/>
          <w:color w:val="000000"/>
          <w:sz w:val="20"/>
          <w:lang w:val="en-US" w:eastAsia="en-US" w:bidi="ar-SA"/>
        </w:rPr>
        <w:t>. A frequent result of this kind of analysis will be that general terms of a contract will be seen to be qualified by specific terms -- or, to put it another way, where there is apparent conflict between a general term and a specific term, the terms may be reconciled by taking the parties to have intended the scope of the general term to not extend to the subject-matter of the specific 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I also consider the following statement in </w:t>
      </w:r>
      <w:r>
        <w:rPr>
          <w:rFonts w:ascii="arial" w:eastAsia="arial" w:hAnsi="arial" w:cs="arial"/>
          <w:i/>
          <w:color w:val="000000"/>
          <w:sz w:val="20"/>
          <w:lang w:val="en-US" w:eastAsia="en-US" w:bidi="ar-SA"/>
        </w:rPr>
        <w:t>Neely v. MacDonald</w:t>
      </w:r>
      <w:r>
        <w:rPr>
          <w:rFonts w:ascii="arial" w:eastAsia="arial" w:hAnsi="arial" w:cs="arial"/>
          <w:color w:val="000000"/>
          <w:sz w:val="20"/>
          <w:lang w:val="en-US" w:eastAsia="en-US" w:bidi="ar-SA"/>
        </w:rPr>
        <w:t xml:space="preserve">, </w:t>
      </w:r>
      <w:hyperlink r:id="rId319" w:history="1">
        <w:r>
          <w:rPr>
            <w:rFonts w:ascii="arial" w:eastAsia="arial" w:hAnsi="arial" w:cs="arial"/>
            <w:i/>
            <w:color w:val="0077CC"/>
            <w:sz w:val="20"/>
            <w:u w:val="single"/>
            <w:shd w:val="clear" w:color="auto" w:fill="FFFFFF"/>
            <w:lang w:val="en-US" w:eastAsia="en-US" w:bidi="ar-SA"/>
          </w:rPr>
          <w:t>2014 ONCA 874</w:t>
        </w:r>
      </w:hyperlink>
      <w:r>
        <w:rPr>
          <w:rFonts w:ascii="arial" w:eastAsia="arial" w:hAnsi="arial" w:cs="arial"/>
          <w:color w:val="000000"/>
          <w:sz w:val="20"/>
          <w:lang w:val="en-US" w:eastAsia="en-US" w:bidi="ar-SA"/>
        </w:rPr>
        <w:t xml:space="preserve"> to be instructive as it pertains to the use of headings in contractual interpretation: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 The headings contained in a contract are part of the language chosen by the parties and can properly be considered in interpreting the provisions that follow, provided the wording of the contract is not inconsistent with such an interpretation: </w:t>
      </w:r>
      <w:r>
        <w:rPr>
          <w:rFonts w:ascii="arial" w:eastAsia="arial" w:hAnsi="arial" w:cs="arial"/>
          <w:i/>
          <w:color w:val="000000"/>
          <w:sz w:val="20"/>
          <w:lang w:val="en-US" w:eastAsia="en-US" w:bidi="ar-SA"/>
        </w:rPr>
        <w:t>Cathcart Inspection Services Ltd. v. Purolator Courier Ltd</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 xml:space="preserve"> </w:t>
      </w:r>
      <w:hyperlink r:id="rId320" w:history="1">
        <w:r>
          <w:rPr>
            <w:rFonts w:ascii="arial" w:eastAsia="arial" w:hAnsi="arial" w:cs="arial"/>
            <w:i/>
            <w:color w:val="0077CC"/>
            <w:sz w:val="20"/>
            <w:u w:val="single"/>
            <w:shd w:val="clear" w:color="auto" w:fill="FFFFFF"/>
            <w:lang w:val="en-US" w:eastAsia="en-US" w:bidi="ar-SA"/>
          </w:rPr>
          <w:t>(1981), 34 O.R. (2d) 187</w:t>
        </w:r>
      </w:hyperlink>
      <w:r>
        <w:rPr>
          <w:rFonts w:ascii="arial" w:eastAsia="arial" w:hAnsi="arial" w:cs="arial"/>
          <w:color w:val="000000"/>
          <w:sz w:val="20"/>
          <w:lang w:val="en-US" w:eastAsia="en-US" w:bidi="ar-SA"/>
        </w:rPr>
        <w:t xml:space="preserve"> (S.C.), at para. 29, aff'd </w:t>
      </w:r>
      <w:r>
        <w:rPr>
          <w:rFonts w:ascii="arial" w:eastAsia="arial" w:hAnsi="arial" w:cs="arial"/>
          <w:color w:val="000000"/>
          <w:sz w:val="20"/>
          <w:u w:val="single"/>
          <w:lang w:val="en-US" w:eastAsia="en-US" w:bidi="ar-SA"/>
        </w:rPr>
        <w:t xml:space="preserve"> </w:t>
      </w:r>
      <w:hyperlink r:id="rId321" w:history="1">
        <w:r>
          <w:rPr>
            <w:rFonts w:ascii="arial" w:eastAsia="arial" w:hAnsi="arial" w:cs="arial"/>
            <w:i/>
            <w:color w:val="0077CC"/>
            <w:sz w:val="20"/>
            <w:u w:val="single"/>
            <w:shd w:val="clear" w:color="auto" w:fill="FFFFFF"/>
            <w:lang w:val="en-US" w:eastAsia="en-US" w:bidi="ar-SA"/>
          </w:rPr>
          <w:t>39 O.R. (2d) 656</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Toronto (City) v. Toronto Railway</w:t>
      </w:r>
      <w:r>
        <w:rPr>
          <w:rFonts w:ascii="arial" w:eastAsia="arial" w:hAnsi="arial" w:cs="arial"/>
          <w:color w:val="000000"/>
          <w:sz w:val="20"/>
          <w:lang w:val="en-US" w:eastAsia="en-US" w:bidi="ar-SA"/>
        </w:rPr>
        <w:t>, [1907] A.C. 315 (P.C.). Failure to read an agreement in accordance with its headings may lead a court to misconstrue the contractual provisions (</w:t>
      </w:r>
      <w:r>
        <w:rPr>
          <w:rFonts w:ascii="arial" w:eastAsia="arial" w:hAnsi="arial" w:cs="arial"/>
          <w:i/>
          <w:color w:val="000000"/>
          <w:sz w:val="20"/>
          <w:lang w:val="en-US" w:eastAsia="en-US" w:bidi="ar-SA"/>
        </w:rPr>
        <w:t>Solway v. Lloyd's Underwriters</w:t>
      </w:r>
      <w:r>
        <w:rPr>
          <w:rFonts w:ascii="arial" w:eastAsia="arial" w:hAnsi="arial" w:cs="arial"/>
          <w:color w:val="000000"/>
          <w:sz w:val="20"/>
          <w:lang w:val="en-US" w:eastAsia="en-US" w:bidi="ar-SA"/>
        </w:rPr>
        <w:t xml:space="preserve"> </w:t>
      </w:r>
      <w:hyperlink r:id="rId322" w:history="1">
        <w:r>
          <w:rPr>
            <w:rFonts w:ascii="arial" w:eastAsia="arial" w:hAnsi="arial" w:cs="arial"/>
            <w:i/>
            <w:color w:val="0077CC"/>
            <w:sz w:val="20"/>
            <w:u w:val="single"/>
            <w:shd w:val="clear" w:color="auto" w:fill="FFFFFF"/>
            <w:lang w:val="en-US" w:eastAsia="en-US" w:bidi="ar-SA"/>
          </w:rPr>
          <w:t>(2006), 80 O.R. (3d) 401</w:t>
        </w:r>
      </w:hyperlink>
      <w:r>
        <w:rPr>
          <w:rFonts w:ascii="arial" w:eastAsia="arial" w:hAnsi="arial" w:cs="arial"/>
          <w:color w:val="000000"/>
          <w:sz w:val="20"/>
          <w:lang w:val="en-US" w:eastAsia="en-US" w:bidi="ar-SA"/>
        </w:rPr>
        <w:t xml:space="preserve"> (C.A.), at para. 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"total building cost" in Clause 6 refers to the cost of all items for labour and materials provided for under the Project Budget. It seems clear that items expressly omitted from the Project Budget and additional work not contemplated in the Project Budget are not included in the "total building cost".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Similarly, the "contract price" contemplated in Clause 8(1) is expressly qualified and distinguished by the rest of the language used in that term. It reads: "The contract price is based on the drawings and contractual requirements, while the construction cost shall be subject to the actual expenses incurred." The "contract price", on my reading, is equivalent to the "total building cost" - it was the price of the contract as discussed by the parties at the time the Project Budget was made and agreed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I agree that the "construction cost" referred to in Clause 8(1) and 8(3) must differ from the definition of "contract price" due to the mention of both in Clause 8(1) in different contexts. The contract must be read as a whole to reconcile these different terms and to eliminate inconsistencies or to prevent an absurdity: Geoff R. Hall, </w:t>
      </w:r>
      <w:r>
        <w:rPr>
          <w:rFonts w:ascii="arial" w:eastAsia="arial" w:hAnsi="arial" w:cs="arial"/>
          <w:i/>
          <w:color w:val="000000"/>
          <w:sz w:val="20"/>
          <w:lang w:val="en-US" w:eastAsia="en-US" w:bidi="ar-SA"/>
        </w:rPr>
        <w:t>Canadian Contractual Interpretation Law</w:t>
      </w:r>
      <w:r>
        <w:rPr>
          <w:rFonts w:ascii="arial" w:eastAsia="arial" w:hAnsi="arial" w:cs="arial"/>
          <w:color w:val="000000"/>
          <w:sz w:val="20"/>
          <w:lang w:val="en-US" w:eastAsia="en-US" w:bidi="ar-SA"/>
        </w:rPr>
        <w:t>, 3rd ed. (Markham: LexisNexis Canada, 2016) at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heading of Clause 8 is titled "Miscellaneous". To give "construction cost" meaning within the Building Contract, I find that the term was meant to refer to the items or expenses that were expressly omitted in the Building Contract or for which no amount was allocated under the Project Budget but that both parties intended to be included in the contractor's scope of work, such as landscaping costs and asbestos removal. Such expenses are to be subject to the actual expenses incurred.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 also note that Y Holdings would provide invoices of those "construction costs" to Ms. Zheng over WeChat, such as the asbestos and drywall removal invoice in Exhibit "7" at Tab "30" at trial, but not for all of the labour and material expenses contemplated in the Project Budget. In fact, the only invoices from Y Holdings tendered at trial were for milestone payments and for extra work or changes requested by Ms. Zheng.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On my reading of the Building Contract, Clause 3 broadly discusses Ms. Zheng's obligation as the owner of the property subject to construction. This is apparent by the heading of the clause titled "Party A's Responsibility". I find that the "total project costs" in this clause refers to Ms. Zheng's responsibility broadly as well. I conclude that "total project costs" is a general term that includes the "total building cost" or "contract price" in the Building Contract and the "construction cost". Any changes or extra work requested by Ms. Zheng would be subsumed under "total project costs" if the parties discussed and agreed upon such work as contemplated in the Building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 consider that this interpretation of those terms of the Building Contract reflect the intention of the parties from a reading of the Building Contract as a whole. On the date of execution of the Building Contract, it was common knowledge to both parties that there was work, labour, and materials within the scope of the contract that had not been finalized and therefore could not be allocated within the Project Budget. The parties addressed this work and the responsibilities associated with such work by, among other things, incorporating the Discussion Term. There was no evidence before me that the parties discussed labour rates to be used to calculate a cost-plus project. Instead, the parties relied on the lump sum labour figures provided in the Project Budget.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The intention and understanding of the parties of the Building Contract can be determined by the way it was interpreted and applied while the construction of the New House was in progress: </w:t>
      </w:r>
      <w:r>
        <w:rPr>
          <w:rFonts w:ascii="arial" w:eastAsia="arial" w:hAnsi="arial" w:cs="arial"/>
          <w:i/>
          <w:color w:val="000000"/>
          <w:sz w:val="20"/>
          <w:lang w:val="en-US" w:eastAsia="en-US" w:bidi="ar-SA"/>
        </w:rPr>
        <w:t>Uniprix inc. v. Gestion Gosselin et Bérubé inc.</w:t>
      </w:r>
      <w:r>
        <w:rPr>
          <w:rFonts w:ascii="arial" w:eastAsia="arial" w:hAnsi="arial" w:cs="arial"/>
          <w:color w:val="000000"/>
          <w:sz w:val="20"/>
          <w:lang w:val="en-US" w:eastAsia="en-US" w:bidi="ar-SA"/>
        </w:rPr>
        <w:t xml:space="preserve">, </w:t>
      </w:r>
      <w:hyperlink r:id="rId323" w:history="1">
        <w:r>
          <w:rPr>
            <w:rFonts w:ascii="arial" w:eastAsia="arial" w:hAnsi="arial" w:cs="arial"/>
            <w:i/>
            <w:color w:val="0077CC"/>
            <w:sz w:val="20"/>
            <w:u w:val="single"/>
            <w:shd w:val="clear" w:color="auto" w:fill="FFFFFF"/>
            <w:lang w:val="en-US" w:eastAsia="en-US" w:bidi="ar-SA"/>
          </w:rPr>
          <w:t>2017 SCC 43</w:t>
        </w:r>
      </w:hyperlink>
      <w:r>
        <w:rPr>
          <w:rFonts w:ascii="arial" w:eastAsia="arial" w:hAnsi="arial" w:cs="arial"/>
          <w:color w:val="000000"/>
          <w:sz w:val="20"/>
          <w:lang w:val="en-US" w:eastAsia="en-US" w:bidi="ar-SA"/>
        </w:rPr>
        <w:t xml:space="preserve"> at para. 14. Ms. Zheng did not request invoices from Y Holdings until Milestone 4 and Y Holdings did not provide such invoices for those Milestones, yet invoices for work not contemplated in the Project Budget were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 find that the parties intended to enter into a fixed-price contract on the wording of the Building Contract with additional work and work expressly omitted from the Building Contract to be paid to Y Holdings based on the actual costs incurred with supporting documentation to be provided as evidence of such costs.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3. What did the parties agree on in relation to Milestones 3 and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schedule is set out in Clause 7 of the Building Contact. I find, at the outset, that the parties intended for the Milestones to be completed and thereafter paid for consecutively. The Schedule provides that Ms. Zheng shall pay to Y Holdings the following based on the completion of each milestone: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Milestone 1</w:t>
      </w:r>
      <w:r>
        <w:rPr>
          <w:rFonts w:ascii="arial" w:eastAsia="arial" w:hAnsi="arial" w:cs="arial"/>
          <w:color w:val="000000"/>
          <w:sz w:val="20"/>
          <w:lang w:val="en-US" w:eastAsia="en-US" w:bidi="ar-SA"/>
        </w:rPr>
        <w:t>: 6% on the date of signing the contract;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Milestone 2</w:t>
      </w:r>
      <w:r>
        <w:rPr>
          <w:rFonts w:ascii="arial" w:eastAsia="arial" w:hAnsi="arial" w:cs="arial"/>
          <w:color w:val="000000"/>
          <w:sz w:val="20"/>
          <w:lang w:val="en-US" w:eastAsia="en-US" w:bidi="ar-SA"/>
        </w:rPr>
        <w:t>: 20% when the building permit is obtained;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Milestone 3</w:t>
      </w:r>
      <w:r>
        <w:rPr>
          <w:rFonts w:ascii="arial" w:eastAsia="arial" w:hAnsi="arial" w:cs="arial"/>
          <w:color w:val="000000"/>
          <w:sz w:val="20"/>
          <w:lang w:val="en-US" w:eastAsia="en-US" w:bidi="ar-SA"/>
        </w:rPr>
        <w:t>: 20% when the main structure of the house is completed;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Milestone 4</w:t>
      </w:r>
      <w:r>
        <w:rPr>
          <w:rFonts w:ascii="arial" w:eastAsia="arial" w:hAnsi="arial" w:cs="arial"/>
          <w:color w:val="000000"/>
          <w:sz w:val="20"/>
          <w:lang w:val="en-US" w:eastAsia="en-US" w:bidi="ar-SA"/>
        </w:rPr>
        <w:t>: 20% when the water, electricity, air-conditioning, monitoring system, television, computer and built-in central vacuum system pass the city inspection;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Milestone 5</w:t>
      </w:r>
      <w:r>
        <w:rPr>
          <w:rFonts w:ascii="arial" w:eastAsia="arial" w:hAnsi="arial" w:cs="arial"/>
          <w:color w:val="000000"/>
          <w:sz w:val="20"/>
          <w:lang w:val="en-US" w:eastAsia="en-US" w:bidi="ar-SA"/>
        </w:rPr>
        <w:t>: 20% when the drywall and insulation work are completed;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Milestone 6</w:t>
      </w:r>
      <w:r>
        <w:rPr>
          <w:rFonts w:ascii="arial" w:eastAsia="arial" w:hAnsi="arial" w:cs="arial"/>
          <w:color w:val="000000"/>
          <w:sz w:val="20"/>
          <w:lang w:val="en-US" w:eastAsia="en-US" w:bidi="ar-SA"/>
        </w:rPr>
        <w:t>: 13% when marble flooring, cabinets,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bathrooms and counter tops are built and completed; and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Milestone 7</w:t>
      </w:r>
      <w:r>
        <w:rPr>
          <w:rFonts w:ascii="arial" w:eastAsia="arial" w:hAnsi="arial" w:cs="arial"/>
          <w:color w:val="000000"/>
          <w:sz w:val="20"/>
          <w:lang w:val="en-US" w:eastAsia="en-US" w:bidi="ar-SA"/>
        </w:rPr>
        <w:t>: the remaining balance should be paid within 30 days after passing the final inspection by the municipal government.</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Milestone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 agree with the defendant and their point that Milestone 3 is poorly defined. I consider, however, that the intention of the parties can be ascertained by considering the four corners of the Building Contract and the surrounding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Y Holdings takes the position that Milestone 3 requires the framing of the main structure, or the second level, be completed and for the structure to be ready for roof truss. In Mr. Wang's testimony, he said he explained to both Ms. Zheng and Mr. Liu the work to be completed for each milestone in the Schedule, including the aforementioned work for Milestone 3. The plain meaning of "main structure", the plaintiff submits, refers to the structure that is "chief in size or importance" and therefore required Y Holdings to complete the primary portion of the structure to complete Milestone 3. The plaintiff relies on a similar interpretation of the "main structure of the house" in </w:t>
      </w:r>
      <w:r>
        <w:rPr>
          <w:rFonts w:ascii="arial" w:eastAsia="arial" w:hAnsi="arial" w:cs="arial"/>
          <w:i/>
          <w:color w:val="000000"/>
          <w:sz w:val="20"/>
          <w:lang w:val="en-US" w:eastAsia="en-US" w:bidi="ar-SA"/>
        </w:rPr>
        <w:t>Cool Framing and Renovation Ltd. v. Metro City Developments Ltd.</w:t>
      </w:r>
      <w:r>
        <w:rPr>
          <w:rFonts w:ascii="arial" w:eastAsia="arial" w:hAnsi="arial" w:cs="arial"/>
          <w:color w:val="000000"/>
          <w:sz w:val="20"/>
          <w:lang w:val="en-US" w:eastAsia="en-US" w:bidi="ar-SA"/>
        </w:rPr>
        <w:t xml:space="preserve">, </w:t>
      </w:r>
      <w:hyperlink r:id="rId324" w:history="1">
        <w:r>
          <w:rPr>
            <w:rFonts w:ascii="arial" w:eastAsia="arial" w:hAnsi="arial" w:cs="arial"/>
            <w:i/>
            <w:color w:val="0077CC"/>
            <w:sz w:val="20"/>
            <w:u w:val="single"/>
            <w:shd w:val="clear" w:color="auto" w:fill="FFFFFF"/>
            <w:lang w:val="en-US" w:eastAsia="en-US" w:bidi="ar-SA"/>
          </w:rPr>
          <w:t>2010 BCSC 606</w:t>
        </w:r>
      </w:hyperlink>
      <w:r>
        <w:rPr>
          <w:rFonts w:ascii="arial" w:eastAsia="arial" w:hAnsi="arial" w:cs="arial"/>
          <w:color w:val="000000"/>
          <w:sz w:val="20"/>
          <w:lang w:val="en-US" w:eastAsia="en-US" w:bidi="ar-SA"/>
        </w:rPr>
        <w:t xml:space="preserve"> at paras. 62-63. The plaintiff further submits the wording of Milestone 3 does not expressly require that all structural elements of the New House be complete or pass the City inspections.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cornerstone of Ms. Zheng's argument is that Milestone 3 required the construction of the New House to pass the municipal framing and sheathing inspections. I do not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Schedule makes reference to the passing of "inspections" in Milestones 4 and 7. I agree with the plaintiff that this is evidence that the parties turned their minds to the applicability of municipal inspections while negotiating the Schedule. Milestone 3, however, makes no mention of an inspection. I consider that such an omission in Milestone 3 reflects the understanding and intention of the parties on the execution of the Building Contract that the passing of the aforementioned inspections were not required at Milestone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Also, I consider that the interpretation of Milestone 3 is informed by the "consecutive" nature of the Schedule and by the City's inspection guide tendered as Exhibit "9" at Tab "208". Based on the description of the work to be completed for Milestone 4, including "electricity" and passing the City inspection, I consider that this milestone is somewhat equivalent, as the plaintiff submits, to the City's frame inspection. For ease of reference, the City's guide says the following about the frame inspection: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Frame Inspection</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Rough plumbing, gas B-vent and electrical wiring must be inspected and approved before requesting this inspection</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framework and sheathing to be complete and approved before the application of insulation or exterior cladding.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For this reason, I consider that the completion of the framing inspection was not required under Milestone 3 based on the plain reading of the description of the work to be completed for the Milestones.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It follows that I am not convinced that Milestone 3 required all of the framing and sheathing to be completed and for it to have passed the City inspection for Y Holdings to be entitled to the corresponding payment. Rather, I am satisfied by the evidence of Y Holdings and consider that Milestone 3 required Y Holdings to complete only the framing of the main structure, or the second level, of the New House.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Milestone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parties also disagree on the interpretation of Milestone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plaintiff submits that payment for Milestone 4 is triggered upon the completion and City inspection approval of the "rough-in" for the plumbing and electrical systems of the New House. This, the plaintiff argues, is consistent with the actual inspection framework in place at the City, as well as with the consecutive completion of milestones required by the Schedule and based on the understanding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The defendant submits that Milestone 4 required the construction to pass the final City inspection of the items listed in Milestone 4 while the "final inspection" in Milestone 7 refers to the final building inspection. In the alternative, the defendant submits the Building Contract is ambiguous and such ambiguities should be resolved pursuant to the </w:t>
      </w:r>
      <w:r>
        <w:rPr>
          <w:rFonts w:ascii="arial" w:eastAsia="arial" w:hAnsi="arial" w:cs="arial"/>
          <w:i/>
          <w:color w:val="000000"/>
          <w:sz w:val="20"/>
          <w:lang w:val="en-US" w:eastAsia="en-US" w:bidi="ar-SA"/>
        </w:rPr>
        <w:t>contra proferentem</w:t>
      </w:r>
      <w:r>
        <w:rPr>
          <w:rFonts w:ascii="arial" w:eastAsia="arial" w:hAnsi="arial" w:cs="arial"/>
          <w:color w:val="000000"/>
          <w:sz w:val="20"/>
          <w:lang w:val="en-US" w:eastAsia="en-US" w:bidi="ar-SA"/>
        </w:rPr>
        <w:t xml:space="preserve"> principle.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City inspection guide booklet figures prominently in both parties' submissions on this interpretation issue. I have reproduced the City inspection guide in full from the "sheathing inspection" until the "final building inspection".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Sheathing inspection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sheathing inspection may be requested prior to frame inspection if covering of the exterior sheathing is desired.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Frame Inspection</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Rough plumbing, gas B-vent and electrical wiring must be inspected and approved before requesting this inspection</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framework and sheathing to be complete and approved before the application of insulation or exterior cladding.</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Insulation &amp; Vapour Barrier Inspection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thermal insulation and vapour barrier are complete and before the application of wallboard or panelling.</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Retaining Wall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the retaining wall is completed, continuous membrane has been installed, and ready for backfill. (Note: concrete retaining walls also require a form inspection. Drainage pipe to be looked at by the Plumbing Inspector.)</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Final Building Inspection</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Final inspection must first be approved on plumbing, gas, electrical, oil and propane installations before requesting the Final Building Inspection</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Documentation required for final inspection approval may include:</w:t>
      </w:r>
    </w:p>
    <w:p>
      <w:pPr>
        <w:numPr>
          <w:numId w:val="4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form letter certifying that the heating system complies with Section 9.34 - B.C.B.C.</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completed trades list form</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Schedule 'C' Letters of Assurance, from professionals involved and Insurance Confirmation, Schedule 'E'</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insulation data sheet to be posted on site</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All construction to be complete and approved before occupying any portion of the building</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Ms. Zheng and Mr. Liu testified that the term "rough-in" was never used and therefore never explained by Mr. Wang prior to executing the Building Contract. They denied that Mr. Wang had taken them to five or six work sites to explain the meaning of "rough-in", as was alleged by Mr. Wang. Ms. Zheng points to subcontracts between Mr. Wang and other subcontractors where the "rough-in" term was used and submits that the omission of the term in the Building Contract is evidence that the parties did not intend the interpretation of Milestone 4 advanced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Instead, Ms. Zheng argues that the inspection in Milestone 4 refers to the final inspection of the listed items (i.e. water, electricity, air-conditioning, monitoring system, television, computer and built-in central vacuum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It is unclear, at least to me, what is meant by the "final inspection" of the listed items. I am informed, however, by the definition of "final plumbing" contained in the City's inspection guide which states, among other things, that "all plumbing fixtures are installed and operating in final condition". It is clear that the completion of final plumbing was not contemplated or intended by the parties at Milestone 4 of the Schedule when viewed in light of the other milestones and on the understanding that all milestones were to be completed in consecutive order. It seems to me that aspects of both Milestones 5 and 6 would have had to be completed before Milestone 4 could be completed on the defendant's interpretation.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plaintiff submits that the defendant's interpretation, i.e. that Milestone 4 requires the final city inspection of all the listed items, should be rejected because it would effectively make Milestone 4 impossible to achieve.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In particular, Y Holdings takes the position that the City does not do specific inspections for some of the listed items, such as computers and television. Instead, Y Holdings submits that the listed items fall within the scope of specific inspections that the City does do, namely inspections for plumbing and gas. The rough-in for electrical wiring is the foundation for the operation of the security monitoring system, television, computer and central vacuum system and the plumbing is the foundation for the water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 consider, then, that the interpretation advanced by Y Holdings does not deprive the words in Milestone 4 of meaning. It also reflects the intentions of the parties upon a review of the four corners of the Building Contract. In addition, I conclude the City's inspection guide forms part of the factual circumstances that was, or reasonably ought to have been, within the party's knowledge at the time of execution of the Building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As such, I conclude the interpretation of Milestone 4 required Y Holdings to complete the "rough-in" for plumbing and electrical and the air-conditioning system.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Who breached the Building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Both parties take the position that the other breached the Building Contract, thereby entitling them to accept the breach and to terminate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Only a breach that deprives the other contracting party of the whole or substantially the whole of the benefit which the parties intended should be conferred and obtained under the contract gives rise to an election. Justice Bennett in </w:t>
      </w:r>
      <w:r>
        <w:rPr>
          <w:rFonts w:ascii="arial" w:eastAsia="arial" w:hAnsi="arial" w:cs="arial"/>
          <w:i/>
          <w:color w:val="000000"/>
          <w:sz w:val="20"/>
          <w:lang w:val="en-US" w:eastAsia="en-US" w:bidi="ar-SA"/>
        </w:rPr>
        <w:t>Williams v. Ron Will Management &amp; Construction Ltd.</w:t>
      </w:r>
      <w:r>
        <w:rPr>
          <w:rFonts w:ascii="arial" w:eastAsia="arial" w:hAnsi="arial" w:cs="arial"/>
          <w:color w:val="000000"/>
          <w:sz w:val="20"/>
          <w:lang w:val="en-US" w:eastAsia="en-US" w:bidi="ar-SA"/>
        </w:rPr>
        <w:t xml:space="preserve">, </w:t>
      </w:r>
      <w:hyperlink r:id="rId325" w:history="1">
        <w:r>
          <w:rPr>
            <w:rFonts w:ascii="arial" w:eastAsia="arial" w:hAnsi="arial" w:cs="arial"/>
            <w:i/>
            <w:color w:val="0077CC"/>
            <w:sz w:val="20"/>
            <w:u w:val="single"/>
            <w:shd w:val="clear" w:color="auto" w:fill="FFFFFF"/>
            <w:lang w:val="en-US" w:eastAsia="en-US" w:bidi="ar-SA"/>
          </w:rPr>
          <w:t>2009 BCCA 543</w:t>
        </w:r>
      </w:hyperlink>
      <w:r>
        <w:rPr>
          <w:rFonts w:ascii="arial" w:eastAsia="arial" w:hAnsi="arial" w:cs="arial"/>
          <w:color w:val="000000"/>
          <w:sz w:val="20"/>
          <w:lang w:val="en-US" w:eastAsia="en-US" w:bidi="ar-SA"/>
        </w:rPr>
        <w:t xml:space="preserve"> explained at paras. 14 and 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There was no dispute at trial or on appeal as to the proper legal test to be applied in determining whether there has been a fundamental breach of a contract. The trial judge recited passages from this Court's decision in </w:t>
      </w:r>
      <w:r>
        <w:rPr>
          <w:rFonts w:ascii="arial" w:eastAsia="arial" w:hAnsi="arial" w:cs="arial"/>
          <w:i/>
          <w:color w:val="000000"/>
          <w:sz w:val="20"/>
          <w:lang w:val="en-US" w:eastAsia="en-US" w:bidi="ar-SA"/>
        </w:rPr>
        <w:t>Lau v. 1755 Holdings Ltd</w:t>
      </w:r>
      <w:r>
        <w:rPr>
          <w:rFonts w:ascii="arial" w:eastAsia="arial" w:hAnsi="arial" w:cs="arial"/>
          <w:color w:val="000000"/>
          <w:sz w:val="20"/>
          <w:lang w:val="en-US" w:eastAsia="en-US" w:bidi="ar-SA"/>
        </w:rPr>
        <w:t xml:space="preserve">. </w:t>
      </w:r>
      <w:hyperlink r:id="rId326" w:history="1">
        <w:r>
          <w:rPr>
            <w:rFonts w:ascii="arial" w:eastAsia="arial" w:hAnsi="arial" w:cs="arial"/>
            <w:i/>
            <w:color w:val="0077CC"/>
            <w:sz w:val="20"/>
            <w:u w:val="single"/>
            <w:shd w:val="clear" w:color="auto" w:fill="FFFFFF"/>
            <w:lang w:val="en-US" w:eastAsia="en-US" w:bidi="ar-SA"/>
          </w:rPr>
          <w:t>(1996), 83 B.C.A.C. 198</w:t>
        </w:r>
      </w:hyperlink>
      <w:r>
        <w:rPr>
          <w:rFonts w:ascii="arial" w:eastAsia="arial" w:hAnsi="arial" w:cs="arial"/>
          <w:color w:val="000000"/>
          <w:sz w:val="20"/>
          <w:lang w:val="en-US" w:eastAsia="en-US" w:bidi="ar-SA"/>
        </w:rPr>
        <w:t xml:space="preserve"> (B.C. C.A.), which in turn referred to the seminal decision in </w:t>
      </w:r>
      <w:r>
        <w:rPr>
          <w:rFonts w:ascii="arial" w:eastAsia="arial" w:hAnsi="arial" w:cs="arial"/>
          <w:i/>
          <w:color w:val="000000"/>
          <w:sz w:val="20"/>
          <w:lang w:val="en-US" w:eastAsia="en-US" w:bidi="ar-SA"/>
        </w:rPr>
        <w:t>Syncrude Canada Ltd. v. Hunter Engineering Co.</w:t>
      </w:r>
      <w:r>
        <w:rPr>
          <w:rFonts w:ascii="arial" w:eastAsia="arial" w:hAnsi="arial" w:cs="arial"/>
          <w:color w:val="000000"/>
          <w:sz w:val="20"/>
          <w:lang w:val="en-US" w:eastAsia="en-US" w:bidi="ar-SA"/>
        </w:rPr>
        <w:t xml:space="preserve">, </w:t>
      </w:r>
      <w:hyperlink r:id="rId327" w:history="1">
        <w:r>
          <w:rPr>
            <w:rFonts w:ascii="arial" w:eastAsia="arial" w:hAnsi="arial" w:cs="arial"/>
            <w:i/>
            <w:color w:val="0077CC"/>
            <w:sz w:val="20"/>
            <w:u w:val="single"/>
            <w:shd w:val="clear" w:color="auto" w:fill="FFFFFF"/>
            <w:lang w:val="en-US" w:eastAsia="en-US" w:bidi="ar-SA"/>
          </w:rPr>
          <w:t>[1989] 1 S.C.R. 426</w:t>
        </w:r>
      </w:hyperlink>
      <w:r>
        <w:rPr>
          <w:rFonts w:ascii="arial" w:eastAsia="arial" w:hAnsi="arial" w:cs="arial"/>
          <w:color w:val="000000"/>
          <w:sz w:val="20"/>
          <w:lang w:val="en-US" w:eastAsia="en-US" w:bidi="ar-SA"/>
        </w:rPr>
        <w:t xml:space="preserve"> (S.C.C.), in which Madam Justice Wilson held: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[137] The formulation that I prefer is that given by Lord Diplock in </w:t>
      </w:r>
      <w:r>
        <w:rPr>
          <w:rFonts w:ascii="arial" w:eastAsia="arial" w:hAnsi="arial" w:cs="arial"/>
          <w:i/>
          <w:color w:val="000000"/>
          <w:sz w:val="20"/>
          <w:lang w:val="en-US" w:eastAsia="en-US" w:bidi="ar-SA"/>
        </w:rPr>
        <w:t>Photo Production Ltd. v. Securicor Transport Ltd.</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[1980] A.C. 827</w:t>
      </w:r>
      <w:r>
        <w:rPr>
          <w:rFonts w:ascii="arial" w:eastAsia="arial" w:hAnsi="arial" w:cs="arial"/>
          <w:color w:val="000000"/>
          <w:sz w:val="20"/>
          <w:lang w:val="en-US" w:eastAsia="en-US" w:bidi="ar-SA"/>
        </w:rPr>
        <w:t xml:space="preserve"> (H.L.), at p. 849. </w:t>
      </w:r>
      <w:r>
        <w:rPr>
          <w:rFonts w:ascii="arial" w:eastAsia="arial" w:hAnsi="arial" w:cs="arial"/>
          <w:color w:val="000000"/>
          <w:sz w:val="20"/>
          <w:u w:val="single"/>
          <w:lang w:val="en-US" w:eastAsia="en-US" w:bidi="ar-SA"/>
        </w:rPr>
        <w:t>A fundamental breach occurs "Where the event resulting from the failure by one party to perform a primary obligation has the effect of depriving the other party of substantially the whole benefit which it was the intention of the parties that he should obtain from the contract</w:t>
      </w:r>
      <w:r>
        <w:rPr>
          <w:rFonts w:ascii="arial" w:eastAsia="arial" w:hAnsi="arial" w:cs="arial"/>
          <w:color w:val="000000"/>
          <w:sz w:val="20"/>
          <w:lang w:val="en-US" w:eastAsia="en-US" w:bidi="ar-SA"/>
        </w:rPr>
        <w:t xml:space="preserve">" (emphasis added). This is a restrictive definition and rightly so, I believe. As Lord Diplock points out, the usual remedy for breach of a "primary" contractual obligation (the thing bargained for) is a concomitant "secondary" obligation to pay damages. The other primary obligations of both parties yet unperformed remain in place. </w:t>
      </w:r>
      <w:r>
        <w:rPr>
          <w:rFonts w:ascii="arial" w:eastAsia="arial" w:hAnsi="arial" w:cs="arial"/>
          <w:color w:val="000000"/>
          <w:sz w:val="20"/>
          <w:u w:val="single"/>
          <w:lang w:val="en-US" w:eastAsia="en-US" w:bidi="ar-SA"/>
        </w:rPr>
        <w:t>Fundamental breach represents an exception to this rule for it gives to the innocent party an additional remedy, an election to "put an end to all primary obligations of both parties remaining unperformed</w:t>
      </w:r>
      <w:r>
        <w:rPr>
          <w:rFonts w:ascii="arial" w:eastAsia="arial" w:hAnsi="arial" w:cs="arial"/>
          <w:color w:val="000000"/>
          <w:sz w:val="20"/>
          <w:lang w:val="en-US" w:eastAsia="en-US" w:bidi="ar-SA"/>
        </w:rPr>
        <w:t xml:space="preserve">" (p. 849). </w:t>
      </w:r>
      <w:r>
        <w:rPr>
          <w:rFonts w:ascii="arial" w:eastAsia="arial" w:hAnsi="arial" w:cs="arial"/>
          <w:color w:val="000000"/>
          <w:sz w:val="20"/>
          <w:u w:val="single"/>
          <w:lang w:val="en-US" w:eastAsia="en-US" w:bidi="ar-SA"/>
        </w:rPr>
        <w:t>It seems to me that this exceptional remedy should be available only in circumstances where the foundation of the contract has been undermined, where the very thing bargained for has not been provided</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The parties agree that the question of whether there has been a fundamental breach is a question of mixed fact and law. However, as alluded to by G.L. Fridman, Q.C., </w:t>
      </w:r>
      <w:r>
        <w:rPr>
          <w:rFonts w:ascii="arial" w:eastAsia="arial" w:hAnsi="arial" w:cs="arial"/>
          <w:i/>
          <w:color w:val="000000"/>
          <w:sz w:val="20"/>
          <w:lang w:val="en-US" w:eastAsia="en-US" w:bidi="ar-SA"/>
        </w:rPr>
        <w:t>The Law of Contract in Canada</w:t>
      </w:r>
      <w:r>
        <w:rPr>
          <w:rFonts w:ascii="arial" w:eastAsia="arial" w:hAnsi="arial" w:cs="arial"/>
          <w:color w:val="000000"/>
          <w:sz w:val="20"/>
          <w:lang w:val="en-US" w:eastAsia="en-US" w:bidi="ar-SA"/>
        </w:rPr>
        <w:t>, 5th ed., Carswell, the question is heavily fact dependent: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every instance, it is a question of fact whether the breach complained of by the innocent party amounts to a fundamental breach. That question, in turn, depends upon: the terms of the contract; the intended benefit to the innocent party; the purpose of the contract; the material consequences of the breach; and, perhaps, though this has never been discussed in the cases, the extent to which the loss incurred by the innocent party can be remedied adequately by an award of damages. One point is clear. Whether a breach is fundamental does not appear to depend upon any express terms of the contract. The determination of a fundamental breach is a teleological question not one that involves construction of the contract in the narrow, literal sense. </w:t>
      </w:r>
      <w:r>
        <w:rPr>
          <w:rFonts w:ascii="arial" w:eastAsia="arial" w:hAnsi="arial" w:cs="arial"/>
          <w:color w:val="000000"/>
          <w:sz w:val="20"/>
          <w:u w:val="single"/>
          <w:lang w:val="en-US" w:eastAsia="en-US" w:bidi="ar-SA"/>
        </w:rPr>
        <w:t>The concept of fundamental breach seems to transcend the normal issues of contractual interpretation. It involves investigation of the underlying nature and purpose of the contract into which the parties have entered, and the respective benefits designed to be obtained or ensured by the agreement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Y Holdings takes the position that Ms. Zheng breached the contract when she refused, and continued to refuse, to make the payment associated with Milestone 4 despite several requests for her to do so. They rely on </w:t>
      </w:r>
      <w:r>
        <w:rPr>
          <w:rFonts w:ascii="arial" w:eastAsia="arial" w:hAnsi="arial" w:cs="arial"/>
          <w:i/>
          <w:color w:val="000000"/>
          <w:sz w:val="20"/>
          <w:lang w:val="en-US" w:eastAsia="en-US" w:bidi="ar-SA"/>
        </w:rPr>
        <w:t>Homewood Development Inc. v. 2010999 Ontario Inc.</w:t>
      </w:r>
      <w:r>
        <w:rPr>
          <w:rFonts w:ascii="arial" w:eastAsia="arial" w:hAnsi="arial" w:cs="arial"/>
          <w:color w:val="000000"/>
          <w:sz w:val="20"/>
          <w:lang w:val="en-US" w:eastAsia="en-US" w:bidi="ar-SA"/>
        </w:rPr>
        <w:t xml:space="preserve">, </w:t>
      </w:r>
      <w:hyperlink r:id="rId328" w:history="1">
        <w:r>
          <w:rPr>
            <w:rFonts w:ascii="arial" w:eastAsia="arial" w:hAnsi="arial" w:cs="arial"/>
            <w:i/>
            <w:color w:val="0077CC"/>
            <w:sz w:val="20"/>
            <w:u w:val="single"/>
            <w:shd w:val="clear" w:color="auto" w:fill="FFFFFF"/>
            <w:lang w:val="en-US" w:eastAsia="en-US" w:bidi="ar-SA"/>
          </w:rPr>
          <w:t>2013 ONSC 4441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Homewood</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Western Homes &amp; Management Ltd. v. Yusuf</w:t>
      </w:r>
      <w:r>
        <w:rPr>
          <w:rFonts w:ascii="arial" w:eastAsia="arial" w:hAnsi="arial" w:cs="arial"/>
          <w:color w:val="000000"/>
          <w:sz w:val="20"/>
          <w:lang w:val="en-US" w:eastAsia="en-US" w:bidi="ar-SA"/>
        </w:rPr>
        <w:t xml:space="preserve">, </w:t>
      </w:r>
      <w:hyperlink r:id="rId329" w:history="1">
        <w:r>
          <w:rPr>
            <w:rFonts w:ascii="arial" w:eastAsia="arial" w:hAnsi="arial" w:cs="arial"/>
            <w:i/>
            <w:color w:val="0077CC"/>
            <w:sz w:val="20"/>
            <w:u w:val="single"/>
            <w:shd w:val="clear" w:color="auto" w:fill="FFFFFF"/>
            <w:lang w:val="en-US" w:eastAsia="en-US" w:bidi="ar-SA"/>
          </w:rPr>
          <w:t>2009 BCSC 1136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Western Homes Trial</w:t>
      </w:r>
      <w:r>
        <w:rPr>
          <w:rFonts w:ascii="arial" w:eastAsia="arial" w:hAnsi="arial" w:cs="arial"/>
          <w:color w:val="000000"/>
          <w:sz w:val="20"/>
          <w:lang w:val="en-US" w:eastAsia="en-US" w:bidi="ar-SA"/>
        </w:rPr>
        <w:t xml:space="preserve">] appeal allowed in part at </w:t>
      </w:r>
      <w:r>
        <w:rPr>
          <w:rFonts w:ascii="arial" w:eastAsia="arial" w:hAnsi="arial" w:cs="arial"/>
          <w:i/>
          <w:color w:val="000000"/>
          <w:sz w:val="20"/>
          <w:lang w:val="en-US" w:eastAsia="en-US" w:bidi="ar-SA"/>
        </w:rPr>
        <w:t>Western Homes &amp; Management Ltd. v. Yusuf</w:t>
      </w:r>
      <w:r>
        <w:rPr>
          <w:rFonts w:ascii="arial" w:eastAsia="arial" w:hAnsi="arial" w:cs="arial"/>
          <w:color w:val="000000"/>
          <w:sz w:val="20"/>
          <w:lang w:val="en-US" w:eastAsia="en-US" w:bidi="ar-SA"/>
        </w:rPr>
        <w:t xml:space="preserve">, </w:t>
      </w:r>
      <w:hyperlink r:id="rId330" w:history="1">
        <w:r>
          <w:rPr>
            <w:rFonts w:ascii="arial" w:eastAsia="arial" w:hAnsi="arial" w:cs="arial"/>
            <w:i/>
            <w:color w:val="0077CC"/>
            <w:sz w:val="20"/>
            <w:u w:val="single"/>
            <w:shd w:val="clear" w:color="auto" w:fill="FFFFFF"/>
            <w:lang w:val="en-US" w:eastAsia="en-US" w:bidi="ar-SA"/>
          </w:rPr>
          <w:t>2011 BCCA 92</w:t>
        </w:r>
      </w:hyperlink>
      <w:r>
        <w:rPr>
          <w:rFonts w:ascii="arial" w:eastAsia="arial" w:hAnsi="arial" w:cs="arial"/>
          <w:color w:val="000000"/>
          <w:sz w:val="20"/>
          <w:lang w:val="en-US" w:eastAsia="en-US" w:bidi="ar-SA"/>
        </w:rPr>
        <w:t xml:space="preserve"> where the trial judge concluded that a failure to make payments in the context of a residential construction dispute constituted a breach of term going to the heart of the contract. Y Holdings therefore submits that they accepted Ms. Zheng's fundamental breach and elected to terminate the Building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Conversely, Ms. Zheng takes the position that Y Holdings was in ongoing breach of contract and breach of honest performance of the contract. She submits that Y Holdings failed to complete, or substantially complete, Milestones 3 and 4 and, despite this failure, improperly requested she pay for the amounts associated with these milestones. When she refused to make the payment for Milestone 4, Ms. Zheng submits that Y Holdings abandoned the construction of the New House, thereby depriving her of the whole benefit of the Building Contract to which the parties had agreed. Ms. Zheng relies on several decisions including </w:t>
      </w:r>
      <w:r>
        <w:rPr>
          <w:rFonts w:ascii="arial" w:eastAsia="arial" w:hAnsi="arial" w:cs="arial"/>
          <w:i/>
          <w:color w:val="000000"/>
          <w:sz w:val="20"/>
          <w:lang w:val="en-US" w:eastAsia="en-US" w:bidi="ar-SA"/>
        </w:rPr>
        <w:t>Corazzin v. Dunovan</w:t>
      </w:r>
      <w:r>
        <w:rPr>
          <w:rFonts w:ascii="arial" w:eastAsia="arial" w:hAnsi="arial" w:cs="arial"/>
          <w:color w:val="000000"/>
          <w:sz w:val="20"/>
          <w:lang w:val="en-US" w:eastAsia="en-US" w:bidi="ar-SA"/>
        </w:rPr>
        <w:t xml:space="preserve">, </w:t>
      </w:r>
      <w:hyperlink r:id="rId331" w:history="1">
        <w:r>
          <w:rPr>
            <w:rFonts w:ascii="arial" w:eastAsia="arial" w:hAnsi="arial" w:cs="arial"/>
            <w:i/>
            <w:color w:val="0077CC"/>
            <w:sz w:val="20"/>
            <w:u w:val="single"/>
            <w:shd w:val="clear" w:color="auto" w:fill="FFFFFF"/>
            <w:lang w:val="en-US" w:eastAsia="en-US" w:bidi="ar-SA"/>
          </w:rPr>
          <w:t>[1993] B.C.J. No. 1115</w:t>
        </w:r>
      </w:hyperlink>
      <w:r>
        <w:rPr>
          <w:rFonts w:ascii="arial" w:eastAsia="arial" w:hAnsi="arial" w:cs="arial"/>
          <w:color w:val="000000"/>
          <w:sz w:val="20"/>
          <w:lang w:val="en-US" w:eastAsia="en-US" w:bidi="ar-SA"/>
        </w:rPr>
        <w:t xml:space="preserve"> (S.C.) and </w:t>
      </w:r>
      <w:r>
        <w:rPr>
          <w:rFonts w:ascii="arial" w:eastAsia="arial" w:hAnsi="arial" w:cs="arial"/>
          <w:i/>
          <w:color w:val="000000"/>
          <w:sz w:val="20"/>
          <w:lang w:val="en-US" w:eastAsia="en-US" w:bidi="ar-SA"/>
        </w:rPr>
        <w:t>D &amp; M Steel Ltd. v. 51 Construction Ltd.</w:t>
      </w:r>
      <w:r>
        <w:rPr>
          <w:rFonts w:ascii="arial" w:eastAsia="arial" w:hAnsi="arial" w:cs="arial"/>
          <w:color w:val="000000"/>
          <w:sz w:val="20"/>
          <w:lang w:val="en-US" w:eastAsia="en-US" w:bidi="ar-SA"/>
        </w:rPr>
        <w:t xml:space="preserve">, </w:t>
      </w:r>
      <w:hyperlink r:id="rId332" w:history="1">
        <w:r>
          <w:rPr>
            <w:rFonts w:ascii="arial" w:eastAsia="arial" w:hAnsi="arial" w:cs="arial"/>
            <w:i/>
            <w:color w:val="0077CC"/>
            <w:sz w:val="20"/>
            <w:u w:val="single"/>
            <w:shd w:val="clear" w:color="auto" w:fill="FFFFFF"/>
            <w:lang w:val="en-US" w:eastAsia="en-US" w:bidi="ar-SA"/>
          </w:rPr>
          <w:t>2016 ONSC 1335</w:t>
        </w:r>
      </w:hyperlink>
      <w:r>
        <w:rPr>
          <w:rFonts w:ascii="arial" w:eastAsia="arial" w:hAnsi="arial" w:cs="arial"/>
          <w:color w:val="000000"/>
          <w:sz w:val="20"/>
          <w:lang w:val="en-US" w:eastAsia="en-US" w:bidi="ar-SA"/>
        </w:rPr>
        <w:t xml:space="preserve"> in support of her submission that such an abandonment entitled her to terminate the Building Contract.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1. Did Y Holdings complete Milestones 3 and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 have concluded that Milestone 3 required Y Holdings to complete the framing of the main structure, or second level, of the New House and that Milestone 4 required Y Holdings to complete the "rough-in" for plumbing and electrical and the air-conditioning system to be entitled to the corresponding milestone payments.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On the whole of the evidence, I conclude that Y Holdings completed and was entitled to the payment associated with Milestone 3. By the end of August 2016, when Y Holdings requested payment for Milestone 3, Y Holdings had completed the framing of the second level and was ready to receive roof truss. By the time the Building Contract was terminated, the framing </w:t>
      </w:r>
      <w:r>
        <w:rPr>
          <w:rFonts w:ascii="arial" w:eastAsia="arial" w:hAnsi="arial" w:cs="arial"/>
          <w:color w:val="000000"/>
          <w:sz w:val="20"/>
          <w:u w:val="single"/>
          <w:lang w:val="en-US" w:eastAsia="en-US" w:bidi="ar-SA"/>
        </w:rPr>
        <w:t>and</w:t>
      </w:r>
      <w:r>
        <w:rPr>
          <w:rFonts w:ascii="arial" w:eastAsia="arial" w:hAnsi="arial" w:cs="arial"/>
          <w:color w:val="000000"/>
          <w:sz w:val="20"/>
          <w:lang w:val="en-US" w:eastAsia="en-US" w:bidi="ar-SA"/>
        </w:rPr>
        <w:t xml:space="preserve"> the roof was essentially or almost completed.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In my view Ms. Zheng did not seriously challenge the completion of Milestone 3, choosing instead to focus her submissions on a breach of Milestone 4 and the subsequent work and conduct of Y Holdings.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In the context of the completion of Milestone 4, it is to be noted the conversation that precipitated the allegation of breach of contract occurred between Mr. Chan and Ms. Zheng over WeChat in October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Mr. Chan testified that Ms. Zheng had informed him that she would be out of town from October 26 to November 7. Mr. Chan, in response, told Ms. Zheng that Y Holdings would complete Milestone 4 imminently and requested that Ms. Zheng "prepare" the payment for that Milestone. He denied representing to Ms. Zheng that Y Holdings had completed Milestone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At trial, Mr. Wang, Mr. Chan, and Ms. Feifei Ren testified that Ms. Zheng was invoiced early, on October 25, 2016, prior to the completion of Milestone 4. Mr. Wang and Mr. Chan said this was done in order to give Ms. Zheng time to prepare the payment for that milestone, particularly in light of the fact the first two milestone payments had not "gone through".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Ms. Zheng submitted that the early invoice indicated interest would accrue at 2% monthly on the invoiced amount and, presumably, that this early invoicing prior to the completion of Milestone 4 was to the detriment of Ms. Zheng financially. She also points out that the problem with the first two payments were as a result of Y Holdings' failure to properly endorse the cheques. This point was undisputed.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 do not understand Ms. Zheng's argument to be that Y Holdings' request for payment for Milestone 4 before that milestone was complete constituted a breach of contract sufficient to give rise to repudiation and termination of the Building Contract. If it is, I am not persuaded by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 allegation is not only that Y Holdings did not complete Milestone 4, but that Y Holdings employees abandoned the job site in December 2016, refusing to continue work until they were paid for a milestone which they had not yet completed.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 first question, then, is whether Y Holdings completed Milestone 4 and, if it did, when.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Y Holdings submits that Milestone 4 was completed on November 21, 2016. In particular, Y Holdings submits that the rough-in for electrical wiring was completed on November 18, 2016 and that rough-in for plumbing and gas were completed on November 21, 2016. The inspection for the latter was passed on that same date. Y Holdings submits that there is no formal electrical inspection by the City. Ms. Zheng did not dispute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Inspection for the air-conditioning system was not completed. Y Holdings argues that Ms. Zheng directed the removal and relocation of the air-conditioning system and this should not bar payment for this milestone.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Ms. Zheng argued that Milestone 4 was ambiguous and such ambiguities should be resolved </w:t>
      </w:r>
      <w:r>
        <w:rPr>
          <w:rFonts w:ascii="arial" w:eastAsia="arial" w:hAnsi="arial" w:cs="arial"/>
          <w:i/>
          <w:color w:val="000000"/>
          <w:sz w:val="20"/>
          <w:lang w:val="en-US" w:eastAsia="en-US" w:bidi="ar-SA"/>
        </w:rPr>
        <w:t>contra proferentem</w:t>
      </w:r>
      <w:r>
        <w:rPr>
          <w:rFonts w:ascii="arial" w:eastAsia="arial" w:hAnsi="arial" w:cs="arial"/>
          <w:color w:val="000000"/>
          <w:sz w:val="20"/>
          <w:lang w:val="en-US" w:eastAsia="en-US" w:bidi="ar-SA"/>
        </w:rPr>
        <w:t>. She advanced several alleged ambiguities in support. I consider there is little merit to these points. For example, Ms. Zheng argued that Mr. Wang's conduct evinced a belief that the sheathing inspection had to be passed before Milestone 4 was achieved, which inspection failed on November 29, 2016. The wording of Milestone 4 does not specifically require the sheathing inspection to be completed. On this point, however, Ms. Zheng relies on testimony from Mr. Wang, in cross-examination, where he allegedly requested the sheathing inspection, despite knowing that it would fail, in order to be paid for Milestone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xml:space="preserve">  She appears to argue (1) that the sheathing inspection had to be passed to complete Milestone 4 (and it had failed) or (2) that Mr. Wang's conduct or belief that the sheathing inspection was to be completed under Milestone 4, despite the absence of express wording, indicated ambiguity in the Building Contract that should be resolved </w:t>
      </w:r>
      <w:r>
        <w:rPr>
          <w:rFonts w:ascii="arial" w:eastAsia="arial" w:hAnsi="arial" w:cs="arial"/>
          <w:i/>
          <w:color w:val="000000"/>
          <w:sz w:val="20"/>
          <w:lang w:val="en-US" w:eastAsia="en-US" w:bidi="ar-SA"/>
        </w:rPr>
        <w:t>contra proferentem</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xml:space="preserve">  Again I respectfully disagree. If the parties did in fact require the passing of the sheathing inspection to achieve Milestone 4, then Mr. Wang would know that requesting such an inspection, </w:t>
      </w:r>
      <w:r>
        <w:rPr>
          <w:rFonts w:ascii="arial" w:eastAsia="arial" w:hAnsi="arial" w:cs="arial"/>
          <w:i/>
          <w:color w:val="000000"/>
          <w:sz w:val="20"/>
          <w:lang w:val="en-US" w:eastAsia="en-US" w:bidi="ar-SA"/>
        </w:rPr>
        <w:t>knowing it would fail</w:t>
      </w:r>
      <w:r>
        <w:rPr>
          <w:rFonts w:ascii="arial" w:eastAsia="arial" w:hAnsi="arial" w:cs="arial"/>
          <w:color w:val="000000"/>
          <w:sz w:val="20"/>
          <w:lang w:val="en-US" w:eastAsia="en-US" w:bidi="ar-SA"/>
        </w:rPr>
        <w:t xml:space="preserve">, would not entitle him to the payment of Milestone 4 in any event. Further, Ms. Zheng's argument requires the Court to imply a term that the sheathing inspection must be completed. I do not consider Mr. Wang's conduct to evince an intention or understanding of the parties to include the passing of the sheathing inspection for completion of Milestone 4 nor do I consider that there is a foundation for implying such a term in this case: </w:t>
      </w:r>
      <w:r>
        <w:rPr>
          <w:rFonts w:ascii="arial" w:eastAsia="arial" w:hAnsi="arial" w:cs="arial"/>
          <w:i/>
          <w:color w:val="000000"/>
          <w:sz w:val="20"/>
          <w:lang w:val="en-US" w:eastAsia="en-US" w:bidi="ar-SA"/>
        </w:rPr>
        <w:t>Zeitler v. Zeitler (Estate)</w:t>
      </w:r>
      <w:r>
        <w:rPr>
          <w:rFonts w:ascii="arial" w:eastAsia="arial" w:hAnsi="arial" w:cs="arial"/>
          <w:color w:val="000000"/>
          <w:sz w:val="20"/>
          <w:lang w:val="en-US" w:eastAsia="en-US" w:bidi="ar-SA"/>
        </w:rPr>
        <w:t xml:space="preserve">, </w:t>
      </w:r>
      <w:hyperlink r:id="rId333" w:history="1">
        <w:r>
          <w:rPr>
            <w:rFonts w:ascii="arial" w:eastAsia="arial" w:hAnsi="arial" w:cs="arial"/>
            <w:i/>
            <w:color w:val="0077CC"/>
            <w:sz w:val="20"/>
            <w:u w:val="single"/>
            <w:shd w:val="clear" w:color="auto" w:fill="FFFFFF"/>
            <w:lang w:val="en-US" w:eastAsia="en-US" w:bidi="ar-SA"/>
          </w:rPr>
          <w:t>2010 BCCA 216</w:t>
        </w:r>
      </w:hyperlink>
      <w:r>
        <w:rPr>
          <w:rFonts w:ascii="arial" w:eastAsia="arial" w:hAnsi="arial" w:cs="arial"/>
          <w:color w:val="000000"/>
          <w:sz w:val="20"/>
          <w:lang w:val="en-US" w:eastAsia="en-US" w:bidi="ar-SA"/>
        </w:rPr>
        <w:t xml:space="preserve"> at paras. 25-30.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Once again, Ms. Zheng raised the arguments regarding the references to the "total building cost", "contract price" and "construction costs". For the reasons I have already discussed, I am not swayed by this submission. Nor am I swayed by Ms. Zheng's related submissions about the ambiguity of the Schedule and the payment to be made at Milestone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Importantly, Ms. Zheng requested two further inspections, in November 2016. Both inspections confirmed that rough-in was completed and done correctly. There were no defects identified. In February 2017, Ms. Zheng contacted Mr. Melnychuk, a plumbing and gas inspector from the City who had completed the original plumbing and gas inspection of November 21, 2016, and requested that he return to re-inspect the work. Specifically, she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are in the legal process, due to the inspection report (indicated the plumbing work has passed), it might cause us potential loss of minimum $300,000 plus a huge amount of legal expense...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understand maybe some details you did not notice during your inspection, it is truly understandable. I would like to invite you to come back to the job site to take second look, and issue a more accurate inspection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Melnychuk agreed to re-inspect the premises the next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Ms. Zheng's email to her counsel indicated that the inspector had re-inspected the site and did not change his original inspection report. In a further email from Ms. Zheng to Mr. Stregger, she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concern is that in the contract indicates I need to pay Yongfeng another 20% after passing city's inspection of electrical, plumbing, central vacuum, computer and monitoring system, I never received the plumbing inspection report before, until Yongfeng provided it, it shows the plumbing work has passed. Based on your evaluation and other potential alternative builders' inspection, the job was incomplete, all other companies said the inspection should not has passed, in your expert opinion, at current stage, should inspection report be issued as "pass"? which report the court will rely 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yesterday's re-inspection, the inspector denied all those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This is evidence in my view that the plumbing inspection had passed. Moreover, it suggests that Ms. Zheng knew that the inspection had passed, and that the passing of such inspection would hamper the argument she sought to advance in this action, namely that Y Holdings had not completed Milestone 4 and was not entitled to the 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For those reasons, I consider that rough-in for electrical wiring and plumbing were completed in accordance with Milestone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 do not, however, accede to Y Holdings' argument that Ms. Zheng's direction to remove the air conditioning system is a complete answer to the issues related to Milestone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The air-conditioning unit installed by Y Holdings was, oddly in my view, installed in a closet of one of the intended bedrooms. It was entirely reasonable for Ms. Zheng to direct the removal and re-installation of the air-conditioning unit elsewhere in the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Furthermore, the Building Contract clearly contemplates the completion of the air-conditioning system. It was open to Y Holdings to request Ms. Zheng's consent to complete the air-conditioning system outside the terms of the Building Contract. It is unclear to me, and the parties did not make submissions on this point, that Y Holdings could commence the listed items under Milestone 5 without having completed the installation of the air-conditioning system. Regardless, I consider that Y Holdings did not complete this aspect of Milestone 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2. Who was in breach of the Building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The crux of Y Holdings' termination argument is that Ms. Zheng refused to make the payment for Milestone 4 and for other extra work costs. According to Y Holdings, such refusal prevented them from continuing with the timely construction and completion of the New House as they did not have the requisite funds to purchase materials and pay for labour. Furthermore, such consistent refusal to pay for Milestone 4 was a breach of contract that substantially deprived them of the benefit and objective of the Building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xml:space="preserve">  Y Holdings relies on several decisions in support of this argument, including </w:t>
      </w:r>
      <w:r>
        <w:rPr>
          <w:rFonts w:ascii="arial" w:eastAsia="arial" w:hAnsi="arial" w:cs="arial"/>
          <w:i/>
          <w:color w:val="000000"/>
          <w:sz w:val="20"/>
          <w:lang w:val="en-US" w:eastAsia="en-US" w:bidi="ar-SA"/>
        </w:rPr>
        <w:t>Homewood</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Western Homes Trial</w:t>
      </w:r>
      <w:r>
        <w:rPr>
          <w:rFonts w:ascii="arial" w:eastAsia="arial" w:hAnsi="arial" w:cs="arial"/>
          <w:color w:val="000000"/>
          <w:sz w:val="20"/>
          <w:lang w:val="en-US" w:eastAsia="en-US" w:bidi="ar-SA"/>
        </w:rPr>
        <w:t xml:space="preserve">. Counsel for Ms. Zheng argued in their submissions that </w:t>
      </w:r>
      <w:r>
        <w:rPr>
          <w:rFonts w:ascii="arial" w:eastAsia="arial" w:hAnsi="arial" w:cs="arial"/>
          <w:i/>
          <w:color w:val="000000"/>
          <w:sz w:val="20"/>
          <w:lang w:val="en-US" w:eastAsia="en-US" w:bidi="ar-SA"/>
        </w:rPr>
        <w:t>Homewood</w:t>
      </w:r>
      <w:r>
        <w:rPr>
          <w:rFonts w:ascii="arial" w:eastAsia="arial" w:hAnsi="arial" w:cs="arial"/>
          <w:color w:val="000000"/>
          <w:sz w:val="20"/>
          <w:lang w:val="en-US" w:eastAsia="en-US" w:bidi="ar-SA"/>
        </w:rPr>
        <w:t xml:space="preserve"> was distinguishable because (1) that case involved design and structural changes that made it impossible to complete the project sequentially as originally contemplated, (2) the milestone payments were specific amounts payable upon completion, and (3) the milestone construction was substantially complete in that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xml:space="preserve">  I do not think </w:t>
      </w:r>
      <w:r>
        <w:rPr>
          <w:rFonts w:ascii="arial" w:eastAsia="arial" w:hAnsi="arial" w:cs="arial"/>
          <w:i/>
          <w:color w:val="000000"/>
          <w:sz w:val="20"/>
          <w:lang w:val="en-US" w:eastAsia="en-US" w:bidi="ar-SA"/>
        </w:rPr>
        <w:t>Homewood</w:t>
      </w:r>
      <w:r>
        <w:rPr>
          <w:rFonts w:ascii="arial" w:eastAsia="arial" w:hAnsi="arial" w:cs="arial"/>
          <w:color w:val="000000"/>
          <w:sz w:val="20"/>
          <w:lang w:val="en-US" w:eastAsia="en-US" w:bidi="ar-SA"/>
        </w:rPr>
        <w:t xml:space="preserve"> is significantly distinguishable. Although the Building Contract contemplated percentages of the "total building cost" to be payable upon the completion of each milestone, this was easily calculable using the contract price and the corresponding percentage of each milestone agreed upon by the parties. Indeed, the first three milestone figures were determined by, and consistent with, this method of calculation. Ms. Zheng paid these amounts without question or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xml:space="preserve">  Furthermore, I have found that Y Holdings did not complete Milestone 4 on November 21, 2016; however, I am satisfied that Y Holdings </w:t>
      </w:r>
      <w:r>
        <w:rPr>
          <w:rFonts w:ascii="arial" w:eastAsia="arial" w:hAnsi="arial" w:cs="arial"/>
          <w:i/>
          <w:color w:val="000000"/>
          <w:sz w:val="20"/>
          <w:lang w:val="en-US" w:eastAsia="en-US" w:bidi="ar-SA"/>
        </w:rPr>
        <w:t>substantially</w:t>
      </w:r>
      <w:r>
        <w:rPr>
          <w:rFonts w:ascii="arial" w:eastAsia="arial" w:hAnsi="arial" w:cs="arial"/>
          <w:color w:val="000000"/>
          <w:sz w:val="20"/>
          <w:lang w:val="en-US" w:eastAsia="en-US" w:bidi="ar-SA"/>
        </w:rPr>
        <w:t xml:space="preserve"> completed Milestone 4 which was sufficient for them to demand its corresponding payment. As in </w:t>
      </w:r>
      <w:r>
        <w:rPr>
          <w:rFonts w:ascii="arial" w:eastAsia="arial" w:hAnsi="arial" w:cs="arial"/>
          <w:i/>
          <w:color w:val="000000"/>
          <w:sz w:val="20"/>
          <w:lang w:val="en-US" w:eastAsia="en-US" w:bidi="ar-SA"/>
        </w:rPr>
        <w:t>Homewood</w:t>
      </w:r>
      <w:r>
        <w:rPr>
          <w:rFonts w:ascii="arial" w:eastAsia="arial" w:hAnsi="arial" w:cs="arial"/>
          <w:color w:val="000000"/>
          <w:sz w:val="20"/>
          <w:lang w:val="en-US" w:eastAsia="en-US" w:bidi="ar-SA"/>
        </w:rPr>
        <w:t xml:space="preserve">, the Building Contract, on these facts, clearly contemplated installment payments to be made with each milestone based on the progress of the construction and did not require the performance of the entire contract as a condition precedent to payment: paras. 73-75. Y Holdings was therefore entitled to request payment for Milestone 4. I am not persuaded the facts in </w:t>
      </w:r>
      <w:r>
        <w:rPr>
          <w:rFonts w:ascii="arial" w:eastAsia="arial" w:hAnsi="arial" w:cs="arial"/>
          <w:i/>
          <w:color w:val="000000"/>
          <w:sz w:val="20"/>
          <w:lang w:val="en-US" w:eastAsia="en-US" w:bidi="ar-SA"/>
        </w:rPr>
        <w:t>Homewood</w:t>
      </w:r>
      <w:r>
        <w:rPr>
          <w:rFonts w:ascii="arial" w:eastAsia="arial" w:hAnsi="arial" w:cs="arial"/>
          <w:color w:val="000000"/>
          <w:sz w:val="20"/>
          <w:lang w:val="en-US" w:eastAsia="en-US" w:bidi="ar-SA"/>
        </w:rPr>
        <w:t xml:space="preserve"> undermine the application of the principles of that case in these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Ms. Zheng argued that Y Holdings abandoned the work site and such abandonment was a repudiation of the Building Contract that substantially deprived her of the benefit of the Building Contract and gave rise to an election to terminate. However, I am satisfied that it was Ms. Zheng who breached the Building Contract when she refused to make the payment for Milestone 4 upon its substantial completion.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I consider the evidence, to this point, demonstrates a willingness by Y Holdings to continue the construction work for the New House for weeks despite non-payment by Ms. Zheng. I am not persuaded that Y Holdings would have completed the erection of the temporary fence and improve some structures had it intended to abandon work until payment of Milestone 4 was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Circumstances changed, however, when the exchange of letters between Ms. Zheng and Y Holdings began. On December 16, 2016, Ms. Zheng put Y Holdings on notice of default, requesting correction of the deficiencies she provided and "recommencement of full construction operations". On December 19, 2016, Y Holdings responded with a demand for payment of Milestone 4 and threatened legal action should she refuse. On December 23, 2016, counsel for Ms. Zheng terminated the Building Contract in writing to Y Holdings, alleging cause by virtue of Y Holdings' refusal to recommence construction work on the New House and to rectify deficiencies as requested. Y Holdings responded by letter in January 2017, providing Ms. Zheng an opportunity to reconsider her refusal to pay for Milestone 4. She did not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It is clear, from the documentary evidence adduced at trial and the testimony of Ms. Ren and Ms. Zheng, that Y Holdings did, in fact, stop substantial construction work on the New House by mid-December 2016 and made clear that they would not resume construction until Milestone 4 was paid. However, I find that Y Holdings was entitled to do so. I find that Ms. Zheng's consistent refusal to pay Y Holdings for Milestone 4 constituted a breach of contract and that Y Holdings was thereafter entitled to treat the Building Contract as at an 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In light of the various findings and conclusions I have made, Y Holdings is entitled to the payment of Milestone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Based on my finding on the breach of contract matter, it is clear that Ms. Zheng's counterclaim for extended rent payments, due to the delay in the construction of the New House following termination, cannot succeed. I dismiss that claim accordingly.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Did Y Holdings and Mr. Wang improperly file a builder's lien against Ms. Zheng's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On or about January 11, 2017, Y Holdings registered a builder's lien in the amount of $174,308 against the title of Ms. Zheng's Richmond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xml:space="preserve">  In her counterclaim, Ms. Zheng argued that this builder's lien was improperly filed, primarily because it failed to comply with "the manner, form and time limits prescribed by" the </w:t>
      </w:r>
      <w:r>
        <w:rPr>
          <w:rFonts w:ascii="arial" w:eastAsia="arial" w:hAnsi="arial" w:cs="arial"/>
          <w:i/>
          <w:color w:val="000000"/>
          <w:sz w:val="20"/>
          <w:lang w:val="en-US" w:eastAsia="en-US" w:bidi="ar-SA"/>
        </w:rPr>
        <w:t>Builders Lien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1997, c. 45</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BLA</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581582 B.C. Ltd. v. Habib</w:t>
      </w:r>
      <w:r>
        <w:rPr>
          <w:rFonts w:ascii="arial" w:eastAsia="arial" w:hAnsi="arial" w:cs="arial"/>
          <w:color w:val="000000"/>
          <w:sz w:val="20"/>
          <w:lang w:val="en-US" w:eastAsia="en-US" w:bidi="ar-SA"/>
        </w:rPr>
        <w:t xml:space="preserve">, </w:t>
      </w:r>
      <w:hyperlink r:id="rId334" w:history="1">
        <w:r>
          <w:rPr>
            <w:rFonts w:ascii="arial" w:eastAsia="arial" w:hAnsi="arial" w:cs="arial"/>
            <w:i/>
            <w:color w:val="0077CC"/>
            <w:sz w:val="20"/>
            <w:u w:val="single"/>
            <w:shd w:val="clear" w:color="auto" w:fill="FFFFFF"/>
            <w:lang w:val="en-US" w:eastAsia="en-US" w:bidi="ar-SA"/>
          </w:rPr>
          <w:t>2013 BCSC 378</w:t>
        </w:r>
      </w:hyperlink>
      <w:r>
        <w:rPr>
          <w:rFonts w:ascii="arial" w:eastAsia="arial" w:hAnsi="arial" w:cs="arial"/>
          <w:color w:val="000000"/>
          <w:sz w:val="20"/>
          <w:lang w:val="en-US" w:eastAsia="en-US" w:bidi="ar-SA"/>
        </w:rPr>
        <w:t xml:space="preserve"> at para. 8, Justice Rogers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settled law in this province that a builders lien claimant must strictly comply with the requirements of the </w:t>
      </w:r>
      <w:r>
        <w:rPr>
          <w:rFonts w:ascii="arial" w:eastAsia="arial" w:hAnsi="arial" w:cs="arial"/>
          <w:i/>
          <w:color w:val="000000"/>
          <w:sz w:val="20"/>
          <w:lang w:val="en-US" w:eastAsia="en-US" w:bidi="ar-SA"/>
        </w:rPr>
        <w:t>Builders Lien Act</w:t>
      </w:r>
      <w:r>
        <w:rPr>
          <w:rFonts w:ascii="arial" w:eastAsia="arial" w:hAnsi="arial" w:cs="arial"/>
          <w:color w:val="000000"/>
          <w:sz w:val="20"/>
          <w:lang w:val="en-US" w:eastAsia="en-US" w:bidi="ar-SA"/>
        </w:rPr>
        <w:t xml:space="preserve">: see </w:t>
      </w:r>
      <w:r>
        <w:rPr>
          <w:rFonts w:ascii="arial" w:eastAsia="arial" w:hAnsi="arial" w:cs="arial"/>
          <w:i/>
          <w:color w:val="000000"/>
          <w:sz w:val="20"/>
          <w:lang w:val="en-US" w:eastAsia="en-US" w:bidi="ar-SA"/>
        </w:rPr>
        <w:t>Nita Lake Lodge Corp. v. Conpact Systems (2004) Ltd.</w:t>
      </w:r>
      <w:r>
        <w:rPr>
          <w:rFonts w:ascii="arial" w:eastAsia="arial" w:hAnsi="arial" w:cs="arial"/>
          <w:color w:val="000000"/>
          <w:sz w:val="20"/>
          <w:lang w:val="en-US" w:eastAsia="en-US" w:bidi="ar-SA"/>
        </w:rPr>
        <w:t xml:space="preserve">, </w:t>
      </w:r>
      <w:hyperlink r:id="rId335" w:history="1">
        <w:r>
          <w:rPr>
            <w:rFonts w:ascii="arial" w:eastAsia="arial" w:hAnsi="arial" w:cs="arial"/>
            <w:i/>
            <w:color w:val="0077CC"/>
            <w:sz w:val="20"/>
            <w:u w:val="single"/>
            <w:shd w:val="clear" w:color="auto" w:fill="FFFFFF"/>
            <w:lang w:val="en-US" w:eastAsia="en-US" w:bidi="ar-SA"/>
          </w:rPr>
          <w:t>2006 BCSC 885</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Framing Aces Inc. v. 0733961 B.C. Ltd.</w:t>
      </w:r>
      <w:r>
        <w:rPr>
          <w:rFonts w:ascii="arial" w:eastAsia="arial" w:hAnsi="arial" w:cs="arial"/>
          <w:color w:val="000000"/>
          <w:sz w:val="20"/>
          <w:lang w:val="en-US" w:eastAsia="en-US" w:bidi="ar-SA"/>
        </w:rPr>
        <w:t xml:space="preserve">, </w:t>
      </w:r>
      <w:hyperlink r:id="rId336" w:history="1">
        <w:r>
          <w:rPr>
            <w:rFonts w:ascii="arial" w:eastAsia="arial" w:hAnsi="arial" w:cs="arial"/>
            <w:i/>
            <w:color w:val="0077CC"/>
            <w:sz w:val="20"/>
            <w:u w:val="single"/>
            <w:shd w:val="clear" w:color="auto" w:fill="FFFFFF"/>
            <w:lang w:val="en-US" w:eastAsia="en-US" w:bidi="ar-SA"/>
          </w:rPr>
          <w:t>2009 BCSC 389</w:t>
        </w:r>
      </w:hyperlink>
      <w:r>
        <w:rPr>
          <w:rFonts w:ascii="arial" w:eastAsia="arial" w:hAnsi="arial" w:cs="arial"/>
          <w:color w:val="000000"/>
          <w:sz w:val="20"/>
          <w:lang w:val="en-US" w:eastAsia="en-US" w:bidi="ar-SA"/>
        </w:rPr>
        <w:t xml:space="preserve">. It is equally well settled law that a non-legal entity has no capacity to file a builder's lien: see </w:t>
      </w:r>
      <w:r>
        <w:rPr>
          <w:rFonts w:ascii="arial" w:eastAsia="arial" w:hAnsi="arial" w:cs="arial"/>
          <w:i/>
          <w:color w:val="000000"/>
          <w:sz w:val="20"/>
          <w:lang w:val="en-US" w:eastAsia="en-US" w:bidi="ar-SA"/>
        </w:rPr>
        <w:t>Framing Aces Inc.</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Canbar West Projects Ltd. v. Sure Shot Sandblasting &amp; Painting Ltd.</w:t>
      </w:r>
      <w:r>
        <w:rPr>
          <w:rFonts w:ascii="arial" w:eastAsia="arial" w:hAnsi="arial" w:cs="arial"/>
          <w:color w:val="000000"/>
          <w:sz w:val="20"/>
          <w:lang w:val="en-US" w:eastAsia="en-US" w:bidi="ar-SA"/>
        </w:rPr>
        <w:t xml:space="preserve">, </w:t>
      </w:r>
      <w:hyperlink r:id="rId337" w:history="1">
        <w:r>
          <w:rPr>
            <w:rFonts w:ascii="arial" w:eastAsia="arial" w:hAnsi="arial" w:cs="arial"/>
            <w:i/>
            <w:color w:val="0077CC"/>
            <w:sz w:val="20"/>
            <w:u w:val="single"/>
            <w:shd w:val="clear" w:color="auto" w:fill="FFFFFF"/>
            <w:lang w:val="en-US" w:eastAsia="en-US" w:bidi="ar-SA"/>
          </w:rPr>
          <w:t>2010 ABQB 372</w:t>
        </w:r>
      </w:hyperlink>
      <w:r>
        <w:rPr>
          <w:rFonts w:ascii="arial" w:eastAsia="arial" w:hAnsi="arial" w:cs="arial"/>
          <w:color w:val="000000"/>
          <w:sz w:val="20"/>
          <w:lang w:val="en-US" w:eastAsia="en-US" w:bidi="ar-SA"/>
        </w:rPr>
        <w:t>. Put another way - entities that do not have legal personhood cannot obtain builder's liens, and only a legally recognized person, such as, for example, a human being, a corporation, or a society, may apply for a builder's lien...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xml:space="preserve">  Counsel for Ms. Zheng advances three instances of non-compliance on Y Holdings' claim of lien. First, the claim of lien identified Y Holdings as the party making the claim rather than a "natural person acting as the agent of the plaintiff". They rely on the BC Builders Lien Practice Manual which states that a "corporate claimant can only claim by an agent". Second, the signature of the person signing the claim of lien was illegible. Finally, the claimant's address for service erroneously identified the address of the New House, that being Ms. Zheng's Richmond address. Ms. Zheng therefore alleges that the lien must be extinguished per s. 22 of the </w:t>
      </w:r>
      <w:r>
        <w:rPr>
          <w:rFonts w:ascii="arial" w:eastAsia="arial" w:hAnsi="arial" w:cs="arial"/>
          <w:i/>
          <w:color w:val="000000"/>
          <w:sz w:val="20"/>
          <w:lang w:val="en-US" w:eastAsia="en-US" w:bidi="ar-SA"/>
        </w:rPr>
        <w:t>BLA</w:t>
      </w:r>
      <w:r>
        <w:rPr>
          <w:rFonts w:ascii="arial" w:eastAsia="arial" w:hAnsi="arial" w:cs="arial"/>
          <w:color w:val="000000"/>
          <w:sz w:val="20"/>
          <w:lang w:val="en-US" w:eastAsia="en-US" w:bidi="ar-SA"/>
        </w:rPr>
        <w:t xml:space="preserve"> for its failure to comply with the filing requirements. She further claims costs and damages against the lien claimant under s. 19 of the </w:t>
      </w:r>
      <w:r>
        <w:rPr>
          <w:rFonts w:ascii="arial" w:eastAsia="arial" w:hAnsi="arial" w:cs="arial"/>
          <w:i/>
          <w:color w:val="000000"/>
          <w:sz w:val="20"/>
          <w:lang w:val="en-US" w:eastAsia="en-US" w:bidi="ar-SA"/>
        </w:rPr>
        <w:t>BLA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Mr. Wang argues that, if this Court should find that he or Y Holdings is entitled to some payment following the termination of the Building Contract, then Y Holdings would be entitled to the lien against Ms. Zheng's property. In response to Ms. Zheng's allegations, it is argued that such deficiencies are not consequential as there is ultimately no prejudice suffered by Ms. Zheng.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The objective behind strict compliance with the manner and form prescribed by the </w:t>
      </w:r>
      <w:r>
        <w:rPr>
          <w:rFonts w:ascii="arial" w:eastAsia="arial" w:hAnsi="arial" w:cs="arial"/>
          <w:i/>
          <w:color w:val="000000"/>
          <w:sz w:val="20"/>
          <w:lang w:val="en-US" w:eastAsia="en-US" w:bidi="ar-SA"/>
        </w:rPr>
        <w:t>BLA</w:t>
      </w:r>
      <w:r>
        <w:rPr>
          <w:rFonts w:ascii="arial" w:eastAsia="arial" w:hAnsi="arial" w:cs="arial"/>
          <w:color w:val="000000"/>
          <w:sz w:val="20"/>
          <w:lang w:val="en-US" w:eastAsia="en-US" w:bidi="ar-SA"/>
        </w:rPr>
        <w:t xml:space="preserve"> and its regulations is to provide certainty in relation to rights and obligations arising in the construction industry and security in relation to the performance of a contract: </w:t>
      </w:r>
      <w:r>
        <w:rPr>
          <w:rFonts w:ascii="arial" w:eastAsia="arial" w:hAnsi="arial" w:cs="arial"/>
          <w:i/>
          <w:color w:val="000000"/>
          <w:sz w:val="20"/>
          <w:lang w:val="en-US" w:eastAsia="en-US" w:bidi="ar-SA"/>
        </w:rPr>
        <w:t>Nita Lake Lodge Corp. v. Conpact Systems (2004) Ltd.</w:t>
      </w:r>
      <w:r>
        <w:rPr>
          <w:rFonts w:ascii="arial" w:eastAsia="arial" w:hAnsi="arial" w:cs="arial"/>
          <w:color w:val="000000"/>
          <w:sz w:val="20"/>
          <w:lang w:val="en-US" w:eastAsia="en-US" w:bidi="ar-SA"/>
        </w:rPr>
        <w:t xml:space="preserve">, </w:t>
      </w:r>
      <w:hyperlink r:id="rId335" w:history="1">
        <w:r>
          <w:rPr>
            <w:rFonts w:ascii="arial" w:eastAsia="arial" w:hAnsi="arial" w:cs="arial"/>
            <w:i/>
            <w:color w:val="0077CC"/>
            <w:sz w:val="20"/>
            <w:u w:val="single"/>
            <w:shd w:val="clear" w:color="auto" w:fill="FFFFFF"/>
            <w:lang w:val="en-US" w:eastAsia="en-US" w:bidi="ar-SA"/>
          </w:rPr>
          <w:t>2006 BCSC 885</w:t>
        </w:r>
      </w:hyperlink>
      <w:r>
        <w:rPr>
          <w:rFonts w:ascii="arial" w:eastAsia="arial" w:hAnsi="arial" w:cs="arial"/>
          <w:color w:val="000000"/>
          <w:sz w:val="20"/>
          <w:lang w:val="en-US" w:eastAsia="en-US" w:bidi="ar-SA"/>
        </w:rPr>
        <w:t xml:space="preserve"> at para.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xml:space="preserve">  I agree that Ms. Zheng's allegations advocate for strict adherence to formality. In </w:t>
      </w:r>
      <w:r>
        <w:rPr>
          <w:rFonts w:ascii="arial" w:eastAsia="arial" w:hAnsi="arial" w:cs="arial"/>
          <w:i/>
          <w:color w:val="000000"/>
          <w:sz w:val="20"/>
          <w:lang w:val="en-US" w:eastAsia="en-US" w:bidi="ar-SA"/>
        </w:rPr>
        <w:t>Nita Lake Lodge</w:t>
      </w:r>
      <w:r>
        <w:rPr>
          <w:rFonts w:ascii="arial" w:eastAsia="arial" w:hAnsi="arial" w:cs="arial"/>
          <w:color w:val="000000"/>
          <w:sz w:val="20"/>
          <w:lang w:val="en-US" w:eastAsia="en-US" w:bidi="ar-SA"/>
        </w:rPr>
        <w:t xml:space="preserve">, Justice Pitfield explained that the "lien is a creature of statute, and the court has no discretion to depart from the statutory requirements": para. 9. This, in part, explains why a strict interpretation of the </w:t>
      </w:r>
      <w:r>
        <w:rPr>
          <w:rFonts w:ascii="arial" w:eastAsia="arial" w:hAnsi="arial" w:cs="arial"/>
          <w:i/>
          <w:color w:val="000000"/>
          <w:sz w:val="20"/>
          <w:lang w:val="en-US" w:eastAsia="en-US" w:bidi="ar-SA"/>
        </w:rPr>
        <w:t>BLA</w:t>
      </w:r>
      <w:r>
        <w:rPr>
          <w:rFonts w:ascii="arial" w:eastAsia="arial" w:hAnsi="arial" w:cs="arial"/>
          <w:color w:val="000000"/>
          <w:sz w:val="20"/>
          <w:lang w:val="en-US" w:eastAsia="en-US" w:bidi="ar-SA"/>
        </w:rPr>
        <w:t xml:space="preserve"> has been endorsed by our courts.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xml:space="preserve">  However, s. 28(1) of the </w:t>
      </w:r>
      <w:r>
        <w:rPr>
          <w:rFonts w:ascii="arial" w:eastAsia="arial" w:hAnsi="arial" w:cs="arial"/>
          <w:i/>
          <w:color w:val="000000"/>
          <w:sz w:val="20"/>
          <w:lang w:val="en-US" w:eastAsia="en-US" w:bidi="ar-SA"/>
        </w:rPr>
        <w:t>Interpretation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238</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 form is prescribed under an enactment, deviations from it not affecting the substance or calculated to mislead, do not invalidate the form 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xml:space="preserve">  Justice Rogers, in </w:t>
      </w:r>
      <w:r>
        <w:rPr>
          <w:rFonts w:ascii="arial" w:eastAsia="arial" w:hAnsi="arial" w:cs="arial"/>
          <w:i/>
          <w:color w:val="000000"/>
          <w:sz w:val="20"/>
          <w:lang w:val="en-US" w:eastAsia="en-US" w:bidi="ar-SA"/>
        </w:rPr>
        <w:t>Habib</w:t>
      </w:r>
      <w:r>
        <w:rPr>
          <w:rFonts w:ascii="arial" w:eastAsia="arial" w:hAnsi="arial" w:cs="arial"/>
          <w:color w:val="000000"/>
          <w:sz w:val="20"/>
          <w:lang w:val="en-US" w:eastAsia="en-US" w:bidi="ar-SA"/>
        </w:rPr>
        <w:t xml:space="preserve">, explained that a "deviation from the lien form would involve something like inadvertently putting the date money comes due in the space allotted for sum claimed and putting the sum claimed in the where the date ought to be. It is not a deviation from the prescribed form to describe the lien claimant as something other than the actual claimant": para. 10. In that case, the incorrect lien claimant was on the claim of lien; Rogers J. found that this was not a deviation contemplated by s. 28 of the </w:t>
      </w:r>
      <w:r>
        <w:rPr>
          <w:rFonts w:ascii="arial" w:eastAsia="arial" w:hAnsi="arial" w:cs="arial"/>
          <w:i/>
          <w:color w:val="000000"/>
          <w:sz w:val="20"/>
          <w:lang w:val="en-US" w:eastAsia="en-US" w:bidi="ar-SA"/>
        </w:rPr>
        <w:t>Interpretation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I do not consider that there is any merit to the second error alleged by Ms. Zheng, namely that the signature of the claimant is illegible.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Although Ms. Zheng raises the argument that the lien claimant was Y Holdings rather than a natural person, I consider that I do not have to determine this based on my finding on Ms. Zheng's third argument. Ms. Zheng alleges that the claimant's address for service erroneously identified Ms. Zheng's Richmond address. It is undisputed that this was the incorrect address for service for the lien claimant. Y Holdings argues that there was no prejudice to Ms. Zheng from this error, rather it was Y Holdings that was exposed to risk if Ms. Zheng served notice to the wrong address.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xml:space="preserve">  I consider, however, that this was not a deviation within the meaning of the </w:t>
      </w:r>
      <w:r>
        <w:rPr>
          <w:rFonts w:ascii="arial" w:eastAsia="arial" w:hAnsi="arial" w:cs="arial"/>
          <w:i/>
          <w:color w:val="000000"/>
          <w:sz w:val="20"/>
          <w:lang w:val="en-US" w:eastAsia="en-US" w:bidi="ar-SA"/>
        </w:rPr>
        <w:t>Interpretation Act</w:t>
      </w:r>
      <w:r>
        <w:rPr>
          <w:rFonts w:ascii="arial" w:eastAsia="arial" w:hAnsi="arial" w:cs="arial"/>
          <w:color w:val="000000"/>
          <w:sz w:val="20"/>
          <w:lang w:val="en-US" w:eastAsia="en-US" w:bidi="ar-SA"/>
        </w:rPr>
        <w:t xml:space="preserve"> that would permit me to overlook the error. It is settled law that strict compliance with the </w:t>
      </w:r>
      <w:r>
        <w:rPr>
          <w:rFonts w:ascii="arial" w:eastAsia="arial" w:hAnsi="arial" w:cs="arial"/>
          <w:i/>
          <w:color w:val="000000"/>
          <w:sz w:val="20"/>
          <w:lang w:val="en-US" w:eastAsia="en-US" w:bidi="ar-SA"/>
        </w:rPr>
        <w:t>BLA</w:t>
      </w:r>
      <w:r>
        <w:rPr>
          <w:rFonts w:ascii="arial" w:eastAsia="arial" w:hAnsi="arial" w:cs="arial"/>
          <w:color w:val="000000"/>
          <w:sz w:val="20"/>
          <w:lang w:val="en-US" w:eastAsia="en-US" w:bidi="ar-SA"/>
        </w:rPr>
        <w:t xml:space="preserve"> is required. This is evident in light of the amendments to the legislation and is consistent with its stated purposes. Due to this failure to comply with the </w:t>
      </w:r>
      <w:r>
        <w:rPr>
          <w:rFonts w:ascii="arial" w:eastAsia="arial" w:hAnsi="arial" w:cs="arial"/>
          <w:i/>
          <w:color w:val="000000"/>
          <w:sz w:val="20"/>
          <w:lang w:val="en-US" w:eastAsia="en-US" w:bidi="ar-SA"/>
        </w:rPr>
        <w:t>BLA</w:t>
      </w:r>
      <w:r>
        <w:rPr>
          <w:rFonts w:ascii="arial" w:eastAsia="arial" w:hAnsi="arial" w:cs="arial"/>
          <w:color w:val="000000"/>
          <w:sz w:val="20"/>
          <w:lang w:val="en-US" w:eastAsia="en-US" w:bidi="ar-SA"/>
        </w:rPr>
        <w:t xml:space="preserve"> requirements, I order the lien extinguished pursuant to s. 22 of the </w:t>
      </w:r>
      <w:r>
        <w:rPr>
          <w:rFonts w:ascii="arial" w:eastAsia="arial" w:hAnsi="arial" w:cs="arial"/>
          <w:i/>
          <w:color w:val="000000"/>
          <w:sz w:val="20"/>
          <w:lang w:val="en-US" w:eastAsia="en-US" w:bidi="ar-SA"/>
        </w:rPr>
        <w:t>BLA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xml:space="preserve">  Ms. Zheng seeks both costs and damages pursuant to s. 19 of the </w:t>
      </w:r>
      <w:r>
        <w:rPr>
          <w:rFonts w:ascii="arial" w:eastAsia="arial" w:hAnsi="arial" w:cs="arial"/>
          <w:i/>
          <w:color w:val="000000"/>
          <w:sz w:val="20"/>
          <w:lang w:val="en-US" w:eastAsia="en-US" w:bidi="ar-SA"/>
        </w:rPr>
        <w:t>BLA</w:t>
      </w:r>
      <w:r>
        <w:rPr>
          <w:rFonts w:ascii="arial" w:eastAsia="arial" w:hAnsi="arial" w:cs="arial"/>
          <w:color w:val="000000"/>
          <w:sz w:val="20"/>
          <w:lang w:val="en-US" w:eastAsia="en-US" w:bidi="ar-SA"/>
        </w:rPr>
        <w:t>. Ms. Zheng did not provide evidence in relation to this damage claim and I am therefore unable to make determinations on damages or costs. I make no such award.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Did Y Holdings and Mr. Wang trespass on the property and convert construction materials paid for by Ms. Zheng?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In her counterclaim, Ms. Zheng argued that Y Holdings and Mr. Wang had trespassed onto her property and taken construction materials from the site that she had allegedly paid for. She argued that Y Holdings and Mr. Wang wrongfully converted those materials to their own use and refused to return them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Ms. Zheng argues that Y Holdings removed "some trusses, roof tiles, cement, concrete, and nails" as well as the window handles. These were allegedly all materials paid for by Ms. Zheng. Due to limited documentary evidence or records, the estimation of such material could not be determined with any certainty, although Mr. Stregger estimated the cost of replacing the window handles to be approximately $856.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xml:space="preserve">  The applicable law of trespass was canvassed by this Court in </w:t>
      </w:r>
      <w:r>
        <w:rPr>
          <w:rFonts w:ascii="arial" w:eastAsia="arial" w:hAnsi="arial" w:cs="arial"/>
          <w:i/>
          <w:color w:val="000000"/>
          <w:sz w:val="20"/>
          <w:lang w:val="en-US" w:eastAsia="en-US" w:bidi="ar-SA"/>
        </w:rPr>
        <w:t>City of Burnaby v. Thandi</w:t>
      </w:r>
      <w:r>
        <w:rPr>
          <w:rFonts w:ascii="arial" w:eastAsia="arial" w:hAnsi="arial" w:cs="arial"/>
          <w:color w:val="000000"/>
          <w:sz w:val="20"/>
          <w:lang w:val="en-US" w:eastAsia="en-US" w:bidi="ar-SA"/>
        </w:rPr>
        <w:t xml:space="preserve"> et al, </w:t>
      </w:r>
      <w:hyperlink r:id="rId338" w:history="1">
        <w:r>
          <w:rPr>
            <w:rFonts w:ascii="arial" w:eastAsia="arial" w:hAnsi="arial" w:cs="arial"/>
            <w:i/>
            <w:color w:val="0077CC"/>
            <w:sz w:val="20"/>
            <w:u w:val="single"/>
            <w:shd w:val="clear" w:color="auto" w:fill="FFFFFF"/>
            <w:lang w:val="en-US" w:eastAsia="en-US" w:bidi="ar-SA"/>
          </w:rPr>
          <w:t>2005 BCSC 1478</w:t>
        </w:r>
      </w:hyperlink>
      <w:r>
        <w:rPr>
          <w:rFonts w:ascii="arial" w:eastAsia="arial" w:hAnsi="arial" w:cs="arial"/>
          <w:color w:val="000000"/>
          <w:sz w:val="20"/>
          <w:lang w:val="en-US" w:eastAsia="en-US" w:bidi="ar-SA"/>
        </w:rPr>
        <w:t xml:space="preserve"> at paras. 113-114: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[113] Trespass to land is defined in G.H.L. Fridman, </w:t>
      </w:r>
      <w:r>
        <w:rPr>
          <w:rFonts w:ascii="arial" w:eastAsia="arial" w:hAnsi="arial" w:cs="arial"/>
          <w:i/>
          <w:color w:val="000000"/>
          <w:sz w:val="20"/>
          <w:lang w:val="en-US" w:eastAsia="en-US" w:bidi="ar-SA"/>
        </w:rPr>
        <w:t>The Law of Torts in Canada</w:t>
      </w:r>
      <w:r>
        <w:rPr>
          <w:rFonts w:ascii="arial" w:eastAsia="arial" w:hAnsi="arial" w:cs="arial"/>
          <w:color w:val="000000"/>
          <w:sz w:val="20"/>
          <w:lang w:val="en-US" w:eastAsia="en-US" w:bidi="ar-SA"/>
        </w:rPr>
        <w:t>, 2d ed., (Toronto: Carswell, 2002), at p 37-38: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Trespass to land consists of entering upon the land of another without lawful justification, or placing, throwing or erecting some material object thereon without the legal right to do so. Such interference must be direct rather than consequential. To constitute trespass the defendant must in some direct way interfere with the land possessed by the plaintiff. The requirement of directness differentiates trespass from nuisance, which is committed when the defendant makes a use of his land indirectly affects the land of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[114] Trespass to land is not limited to a single act, but can be a continuous act. Repeated acts of trespass will give rise to a continuing cause of action: See Fridman,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 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xml:space="preserve">  It is also trespass if a defendant does not leave the lands after being put on notice by the occupier that entry is prohibited: </w:t>
      </w:r>
      <w:r>
        <w:rPr>
          <w:rFonts w:ascii="arial" w:eastAsia="arial" w:hAnsi="arial" w:cs="arial"/>
          <w:i/>
          <w:color w:val="000000"/>
          <w:sz w:val="20"/>
          <w:lang w:val="en-US" w:eastAsia="en-US" w:bidi="ar-SA"/>
        </w:rPr>
        <w:t>Marine Harvest Canada Inc. v. Morton</w:t>
      </w:r>
      <w:r>
        <w:rPr>
          <w:rFonts w:ascii="arial" w:eastAsia="arial" w:hAnsi="arial" w:cs="arial"/>
          <w:color w:val="000000"/>
          <w:sz w:val="20"/>
          <w:lang w:val="en-US" w:eastAsia="en-US" w:bidi="ar-SA"/>
        </w:rPr>
        <w:t xml:space="preserve">, </w:t>
      </w:r>
      <w:hyperlink r:id="rId339" w:history="1">
        <w:r>
          <w:rPr>
            <w:rFonts w:ascii="arial" w:eastAsia="arial" w:hAnsi="arial" w:cs="arial"/>
            <w:i/>
            <w:color w:val="0077CC"/>
            <w:sz w:val="20"/>
            <w:u w:val="single"/>
            <w:shd w:val="clear" w:color="auto" w:fill="FFFFFF"/>
            <w:lang w:val="en-US" w:eastAsia="en-US" w:bidi="ar-SA"/>
          </w:rPr>
          <w:t>2017 BCSC 2383</w:t>
        </w:r>
      </w:hyperlink>
      <w:r>
        <w:rPr>
          <w:rFonts w:ascii="arial" w:eastAsia="arial" w:hAnsi="arial" w:cs="arial"/>
          <w:color w:val="000000"/>
          <w:sz w:val="20"/>
          <w:lang w:val="en-US" w:eastAsia="en-US" w:bidi="ar-SA"/>
        </w:rPr>
        <w:t xml:space="preserve"> at para. 55. Trespass is actionable without proof of damage: </w:t>
      </w:r>
      <w:r>
        <w:rPr>
          <w:rFonts w:ascii="arial" w:eastAsia="arial" w:hAnsi="arial" w:cs="arial"/>
          <w:i/>
          <w:color w:val="000000"/>
          <w:sz w:val="20"/>
          <w:lang w:val="en-US" w:eastAsia="en-US" w:bidi="ar-SA"/>
        </w:rPr>
        <w:t>Gibson v. Sun</w:t>
      </w:r>
      <w:r>
        <w:rPr>
          <w:rFonts w:ascii="arial" w:eastAsia="arial" w:hAnsi="arial" w:cs="arial"/>
          <w:color w:val="000000"/>
          <w:sz w:val="20"/>
          <w:lang w:val="en-US" w:eastAsia="en-US" w:bidi="ar-SA"/>
        </w:rPr>
        <w:t xml:space="preserve">, </w:t>
      </w:r>
      <w:hyperlink r:id="rId340" w:history="1">
        <w:r>
          <w:rPr>
            <w:rFonts w:ascii="arial" w:eastAsia="arial" w:hAnsi="arial" w:cs="arial"/>
            <w:i/>
            <w:color w:val="0077CC"/>
            <w:sz w:val="20"/>
            <w:u w:val="single"/>
            <w:shd w:val="clear" w:color="auto" w:fill="FFFFFF"/>
            <w:lang w:val="en-US" w:eastAsia="en-US" w:bidi="ar-SA"/>
          </w:rPr>
          <w:t>2018 BCSC 1277</w:t>
        </w:r>
      </w:hyperlink>
      <w:r>
        <w:rPr>
          <w:rFonts w:ascii="arial" w:eastAsia="arial" w:hAnsi="arial" w:cs="arial"/>
          <w:color w:val="000000"/>
          <w:sz w:val="20"/>
          <w:lang w:val="en-US" w:eastAsia="en-US" w:bidi="ar-SA"/>
        </w:rPr>
        <w:t xml:space="preserve"> at para. 109.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xml:space="preserve">  The tort of conversion involves a wrongful taking or exercise of dominion over goods that is inconsistent with the owner's right of possession: </w:t>
      </w:r>
      <w:r>
        <w:rPr>
          <w:rFonts w:ascii="arial" w:eastAsia="arial" w:hAnsi="arial" w:cs="arial"/>
          <w:i/>
          <w:color w:val="000000"/>
          <w:sz w:val="20"/>
          <w:lang w:val="en-US" w:eastAsia="en-US" w:bidi="ar-SA"/>
        </w:rPr>
        <w:t>Boma Manufacturing Ltd. v. Canadian Imperial Bank of Commerce</w:t>
      </w:r>
      <w:r>
        <w:rPr>
          <w:rFonts w:ascii="arial" w:eastAsia="arial" w:hAnsi="arial" w:cs="arial"/>
          <w:color w:val="000000"/>
          <w:sz w:val="20"/>
          <w:lang w:val="en-US" w:eastAsia="en-US" w:bidi="ar-SA"/>
        </w:rPr>
        <w:t xml:space="preserve">, </w:t>
      </w:r>
      <w:hyperlink r:id="rId341" w:history="1">
        <w:r>
          <w:rPr>
            <w:rFonts w:ascii="arial" w:eastAsia="arial" w:hAnsi="arial" w:cs="arial"/>
            <w:i/>
            <w:color w:val="0077CC"/>
            <w:sz w:val="20"/>
            <w:u w:val="single"/>
            <w:shd w:val="clear" w:color="auto" w:fill="FFFFFF"/>
            <w:lang w:val="en-US" w:eastAsia="en-US" w:bidi="ar-SA"/>
          </w:rPr>
          <w:t>[1996] 3 S.C.R. 727</w:t>
        </w:r>
      </w:hyperlink>
      <w:r>
        <w:rPr>
          <w:rFonts w:ascii="arial" w:eastAsia="arial" w:hAnsi="arial" w:cs="arial"/>
          <w:color w:val="000000"/>
          <w:sz w:val="20"/>
          <w:lang w:val="en-US" w:eastAsia="en-US" w:bidi="ar-SA"/>
        </w:rPr>
        <w:t xml:space="preserve"> para. 31; </w:t>
      </w:r>
      <w:r>
        <w:rPr>
          <w:rFonts w:ascii="arial" w:eastAsia="arial" w:hAnsi="arial" w:cs="arial"/>
          <w:i/>
          <w:color w:val="000000"/>
          <w:sz w:val="20"/>
          <w:lang w:val="en-US" w:eastAsia="en-US" w:bidi="ar-SA"/>
        </w:rPr>
        <w:t>R.F. Fry &amp; Associates (Pacific) Ltd. v. Reimer</w:t>
      </w:r>
      <w:r>
        <w:rPr>
          <w:rFonts w:ascii="arial" w:eastAsia="arial" w:hAnsi="arial" w:cs="arial"/>
          <w:color w:val="000000"/>
          <w:sz w:val="20"/>
          <w:lang w:val="en-US" w:eastAsia="en-US" w:bidi="ar-SA"/>
        </w:rPr>
        <w:t xml:space="preserve"> </w:t>
      </w:r>
      <w:hyperlink r:id="rId342" w:history="1">
        <w:r>
          <w:rPr>
            <w:rFonts w:ascii="arial" w:eastAsia="arial" w:hAnsi="arial" w:cs="arial"/>
            <w:i/>
            <w:color w:val="0077CC"/>
            <w:sz w:val="20"/>
            <w:u w:val="single"/>
            <w:shd w:val="clear" w:color="auto" w:fill="FFFFFF"/>
            <w:lang w:val="en-US" w:eastAsia="en-US" w:bidi="ar-SA"/>
          </w:rPr>
          <w:t>(1993), 83 B.C.L.R. (2d) 199</w:t>
        </w:r>
      </w:hyperlink>
      <w:r>
        <w:rPr>
          <w:rFonts w:ascii="arial" w:eastAsia="arial" w:hAnsi="arial" w:cs="arial"/>
          <w:color w:val="000000"/>
          <w:sz w:val="20"/>
          <w:lang w:val="en-US" w:eastAsia="en-US" w:bidi="ar-SA"/>
        </w:rPr>
        <w:t xml:space="preserve"> (C.A.) at para.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xml:space="preserve">  The elements of the tort of conversion are summarized by the court in </w:t>
      </w:r>
      <w:r>
        <w:rPr>
          <w:rFonts w:ascii="arial" w:eastAsia="arial" w:hAnsi="arial" w:cs="arial"/>
          <w:i/>
          <w:color w:val="000000"/>
          <w:sz w:val="20"/>
          <w:lang w:val="en-US" w:eastAsia="en-US" w:bidi="ar-SA"/>
        </w:rPr>
        <w:t>Ast v. Mikolas</w:t>
      </w:r>
      <w:r>
        <w:rPr>
          <w:rFonts w:ascii="arial" w:eastAsia="arial" w:hAnsi="arial" w:cs="arial"/>
          <w:color w:val="000000"/>
          <w:sz w:val="20"/>
          <w:lang w:val="en-US" w:eastAsia="en-US" w:bidi="ar-SA"/>
        </w:rPr>
        <w:t xml:space="preserve">, </w:t>
      </w:r>
      <w:hyperlink r:id="rId343" w:history="1">
        <w:r>
          <w:rPr>
            <w:rFonts w:ascii="arial" w:eastAsia="arial" w:hAnsi="arial" w:cs="arial"/>
            <w:i/>
            <w:color w:val="0077CC"/>
            <w:sz w:val="20"/>
            <w:u w:val="single"/>
            <w:shd w:val="clear" w:color="auto" w:fill="FFFFFF"/>
            <w:lang w:val="en-US" w:eastAsia="en-US" w:bidi="ar-SA"/>
          </w:rPr>
          <w:t>2010 BCSC 127</w:t>
        </w:r>
      </w:hyperlink>
      <w:r>
        <w:rPr>
          <w:rFonts w:ascii="arial" w:eastAsia="arial" w:hAnsi="arial" w:cs="arial"/>
          <w:color w:val="000000"/>
          <w:sz w:val="20"/>
          <w:lang w:val="en-US" w:eastAsia="en-US" w:bidi="ar-SA"/>
        </w:rPr>
        <w:t xml:space="preserve"> at para. 126:</w:t>
      </w:r>
      <w:r>
        <w:rPr>
          <w:rFonts w:ascii="arial" w:eastAsia="arial" w:hAnsi="arial" w:cs="arial"/>
          <w:sz w:val="20"/>
          <w:lang w:val="en-US" w:eastAsia="en-US" w:bidi="ar-SA"/>
        </w:rPr>
        <w:cr/>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wrongful act by the defendant involving the goods of the plaintiff,</w:t>
      </w:r>
    </w:p>
    <w:p>
      <w:pPr>
        <w:numPr>
          <w:numId w:val="4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 must consist of handling, disposing, or destroying the goods, and</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actions must have either the effect or intention of interfering with, or denying, the plaintiff's right or title to the goods.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Besides Ms. Zheng's bald assertion, there was no evidence that Y Holdings committed the tort of trespass or wrongfully converted the aforementioned construction material for their own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As the plaintiff on this counterclaim, Ms. Zheng bears the burden of establishing the requisite elements of both trespass and conversion on a balance of probabilities. I find the evidence falls short of doing so. I therefore dismiss the claims of trespass and conversion against Y Holdings and Mr. Wang.</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 Should the corporate veil be pierced such that</w: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liability for any wrongdoing of the Yongfeng Group of</w: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companies attaches to Y Holdings and Mr. Wang?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It was only during final submissions that counsel for Ms. Zheng raised the issue of piercing the corporate veil and seeking to impose liability on Y Holdings and Mr. Wang for the conduct of the other corporate parties involved in the Yongfeng Group. In particular, this argument was raised to render Y Holdings and Mr. Wang liable for any damages to Ms. Zheng arising from errors and delay in the design of the New House and the subsequent approval by the City of the drawings. There was, however, no pleading to ground such a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xml:space="preserve">  Ms. Zheng submits that courts have looked past the separate legal personality of individual corporations, if failing to do so would yield a result which is "flagrantly opposed to justice": </w:t>
      </w:r>
      <w:r>
        <w:rPr>
          <w:rFonts w:ascii="arial" w:eastAsia="arial" w:hAnsi="arial" w:cs="arial"/>
          <w:i/>
          <w:color w:val="000000"/>
          <w:sz w:val="20"/>
          <w:lang w:val="en-US" w:eastAsia="en-US" w:bidi="ar-SA"/>
        </w:rPr>
        <w:t>Kosmopoulos v. Constitution Insurance Co. of Canada</w:t>
      </w:r>
      <w:r>
        <w:rPr>
          <w:rFonts w:ascii="arial" w:eastAsia="arial" w:hAnsi="arial" w:cs="arial"/>
          <w:color w:val="000000"/>
          <w:sz w:val="20"/>
          <w:lang w:val="en-US" w:eastAsia="en-US" w:bidi="ar-SA"/>
        </w:rPr>
        <w:t xml:space="preserve">, </w:t>
      </w:r>
      <w:hyperlink r:id="rId344" w:history="1">
        <w:r>
          <w:rPr>
            <w:rFonts w:ascii="arial" w:eastAsia="arial" w:hAnsi="arial" w:cs="arial"/>
            <w:i/>
            <w:color w:val="0077CC"/>
            <w:sz w:val="20"/>
            <w:u w:val="single"/>
            <w:shd w:val="clear" w:color="auto" w:fill="FFFFFF"/>
            <w:lang w:val="en-US" w:eastAsia="en-US" w:bidi="ar-SA"/>
          </w:rPr>
          <w:t>[1987] 1 S.C.R. 2</w:t>
        </w:r>
      </w:hyperlink>
      <w:r>
        <w:rPr>
          <w:rFonts w:ascii="arial" w:eastAsia="arial" w:hAnsi="arial" w:cs="arial"/>
          <w:color w:val="000000"/>
          <w:sz w:val="20"/>
          <w:lang w:val="en-US" w:eastAsia="en-US" w:bidi="ar-SA"/>
        </w:rPr>
        <w:t xml:space="preserve"> at 10. Ms. Zheng submits that the other corporate entities within the Yongfeng Group are mere agents of Y Holdings and Mr. Wang such that the use of incorporation for these separate legal entities should be considered a sham.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Ms. Zheng argues that this Court may look beyond the separate legal personality of these corporations particularly when "the organization and operations of related companies reflect the intention and reality that they function as a group which constitutes a single common enterprise". She points to evidence of overlap among the management personnel and ownership of the Yongfeng Group companies; that some of the employees worked for more than one Yongfeng Group company; and that the operations of the Yongfeng Group companies "were carried out without distinction between the companies". She argued that Mr. Wang was the controlling mind of all of the Yongfeng Group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I consider, however, that Ms. Zheng's purported claim must be dismissed for several reasons. First, the claim and the relief sought was not specifically and adequately pleaded and therefore Y Holdings and Mr. Wang were not given adequate notice to prepare their evidence or submissions. As I said, this argument was raised after evidence had concluded and the parties were in the midst of their final submissions. There was no application to amend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Rodaro v. Royal Bank of Canada</w:t>
      </w:r>
      <w:r>
        <w:rPr>
          <w:rFonts w:ascii="arial" w:eastAsia="arial" w:hAnsi="arial" w:cs="arial"/>
          <w:color w:val="000000"/>
          <w:sz w:val="20"/>
          <w:lang w:val="en-US" w:eastAsia="en-US" w:bidi="ar-SA"/>
        </w:rPr>
        <w:t xml:space="preserve">, </w:t>
      </w:r>
      <w:hyperlink r:id="rId345" w:history="1">
        <w:r>
          <w:rPr>
            <w:rFonts w:ascii="arial" w:eastAsia="arial" w:hAnsi="arial" w:cs="arial"/>
            <w:i/>
            <w:color w:val="0077CC"/>
            <w:sz w:val="20"/>
            <w:u w:val="single"/>
            <w:shd w:val="clear" w:color="auto" w:fill="FFFFFF"/>
            <w:lang w:val="en-US" w:eastAsia="en-US" w:bidi="ar-SA"/>
          </w:rPr>
          <w:t>[2002] O.J. No. 1365</w:t>
        </w:r>
      </w:hyperlink>
      <w:r>
        <w:rPr>
          <w:rFonts w:ascii="arial" w:eastAsia="arial" w:hAnsi="arial" w:cs="arial"/>
          <w:color w:val="000000"/>
          <w:sz w:val="20"/>
          <w:lang w:val="en-US" w:eastAsia="en-US" w:bidi="ar-SA"/>
        </w:rPr>
        <w:t xml:space="preserve"> (C.A.), Justice Doherty said this:</w:t>
      </w:r>
      <w:r>
        <w:rPr>
          <w:rFonts w:ascii="arial" w:eastAsia="arial" w:hAnsi="arial" w:cs="arial"/>
          <w:sz w:val="20"/>
          <w:lang w:val="en-US" w:eastAsia="en-US" w:bidi="ar-SA"/>
        </w:rPr>
        <w:cr/>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fundamental to the litigation process that lawsuits be decided within the boundaries of the pleadings. As Labrosse J.A. said in </w:t>
      </w:r>
      <w:r>
        <w:rPr>
          <w:rFonts w:ascii="arial" w:eastAsia="arial" w:hAnsi="arial" w:cs="arial"/>
          <w:i/>
          <w:color w:val="000000"/>
          <w:sz w:val="20"/>
          <w:lang w:val="en-US" w:eastAsia="en-US" w:bidi="ar-SA"/>
        </w:rPr>
        <w:t>460635 Ontario Ltd. v. 1002953 Ontario Inc.</w:t>
      </w:r>
      <w:r>
        <w:rPr>
          <w:rFonts w:ascii="arial" w:eastAsia="arial" w:hAnsi="arial" w:cs="arial"/>
          <w:color w:val="000000"/>
          <w:sz w:val="20"/>
          <w:lang w:val="en-US" w:eastAsia="en-US" w:bidi="ar-SA"/>
        </w:rPr>
        <w:t xml:space="preserve">, </w:t>
      </w:r>
      <w:hyperlink r:id="rId346" w:history="1">
        <w:r>
          <w:rPr>
            <w:rFonts w:ascii="arial" w:eastAsia="arial" w:hAnsi="arial" w:cs="arial"/>
            <w:i/>
            <w:color w:val="0077CC"/>
            <w:sz w:val="20"/>
            <w:u w:val="single"/>
            <w:shd w:val="clear" w:color="auto" w:fill="FFFFFF"/>
            <w:lang w:val="en-US" w:eastAsia="en-US" w:bidi="ar-SA"/>
          </w:rPr>
          <w:t>[1999] O.J. No. 4071</w:t>
        </w:r>
      </w:hyperlink>
      <w:r>
        <w:rPr>
          <w:rFonts w:ascii="arial" w:eastAsia="arial" w:hAnsi="arial" w:cs="arial"/>
          <w:color w:val="000000"/>
          <w:sz w:val="20"/>
          <w:lang w:val="en-US" w:eastAsia="en-US" w:bidi="ar-SA"/>
        </w:rPr>
        <w:t xml:space="preserve"> (Ont. C.A.) at para. 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The parties to a legal suit are entitled to have a resolution of their differences on the basis of the issues joined in the pleadings. A finding of liability and resulting damages against the defendant on a basis that was not pleaded in the statement of claim cannot stand. It deprives the defendant of the opportunity to address that issue in the evidence at trial. ...</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stepping outside of the pleadings and the case as developed by the parties to find liability, Spence J. denied RBC and Barbican the right to know the case they had to meet and the right to a fair opportunity to meet that case. The injection of a novel theory of liability into the case via the reasons for judgment was fundamentally unfair to RBC and Barbican.</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addition to fairness concerns which standing alone would warrant appellate intervention, the introduction of a new theory of liability in the reasons for judgment also raises concerns about the reliability of that theory. We rely on the adversarial process to get at the truth. That process assumes that the truth best emerges after a full and vigorous competition amongst the various opposing parties. A theory of liability that emerges for the first time in the reasons for judgment is never tested in the crucible of the adversarial process. We simply do not know how Spence J.'s lost opportunity theory would have held up had it been subject to the rigours of the adversarial process. We do know, however, that all arguments that were in fact advanced by Mr. Rodaro and were therefore subject to the adversarial process were found wanting by Spence J.</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Spence J. erred in finding liability on a theory never pleaded and with respect to which battle was never joined at trial. This error alone requires reversal. However, I am also satisfied that the lost opportunity analysis could not succeed on this evidence.</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Given that Mr. Rodaro did not plead or argue the lost opportunity approach adopted by Spence J., it is not surprising that he led no evidence in support of that approach...</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However, where, as here, the lost opportunity identified by Spence J. was never identified by Mr. Rodaro at any stage in the proceedings, and was not touched on at all in the evidence, I think Spence J.'s findings that the opportunity existed and was lost as a result of the improper disclosure of confidential information amount to speculation and not inference.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Holmes v. Hatch</w:t>
      </w:r>
      <w:r>
        <w:rPr>
          <w:rFonts w:ascii="arial" w:eastAsia="arial" w:hAnsi="arial" w:cs="arial"/>
          <w:color w:val="000000"/>
          <w:sz w:val="20"/>
          <w:lang w:val="en-US" w:eastAsia="en-US" w:bidi="ar-SA"/>
        </w:rPr>
        <w:t xml:space="preserve">, </w:t>
      </w:r>
      <w:hyperlink r:id="rId347" w:history="1">
        <w:r>
          <w:rPr>
            <w:rFonts w:ascii="arial" w:eastAsia="arial" w:hAnsi="arial" w:cs="arial"/>
            <w:i/>
            <w:color w:val="0077CC"/>
            <w:sz w:val="20"/>
            <w:u w:val="single"/>
            <w:shd w:val="clear" w:color="auto" w:fill="FFFFFF"/>
            <w:lang w:val="en-US" w:eastAsia="en-US" w:bidi="ar-SA"/>
          </w:rPr>
          <w:t>2017 ONCA 880</w:t>
        </w:r>
      </w:hyperlink>
      <w:r>
        <w:rPr>
          <w:rFonts w:ascii="arial" w:eastAsia="arial" w:hAnsi="arial" w:cs="arial"/>
          <w:color w:val="000000"/>
          <w:sz w:val="20"/>
          <w:lang w:val="en-US" w:eastAsia="en-US" w:bidi="ar-SA"/>
        </w:rPr>
        <w:t xml:space="preserve"> at paras. 6-9 and </w:t>
      </w:r>
      <w:r>
        <w:rPr>
          <w:rFonts w:ascii="arial" w:eastAsia="arial" w:hAnsi="arial" w:cs="arial"/>
          <w:i/>
          <w:color w:val="000000"/>
          <w:sz w:val="20"/>
          <w:lang w:val="en-US" w:eastAsia="en-US" w:bidi="ar-SA"/>
        </w:rPr>
        <w:t>A-C-H International Inc. v. Royal Bank</w:t>
      </w:r>
      <w:r>
        <w:rPr>
          <w:rFonts w:ascii="arial" w:eastAsia="arial" w:hAnsi="arial" w:cs="arial"/>
          <w:color w:val="000000"/>
          <w:sz w:val="20"/>
          <w:lang w:val="en-US" w:eastAsia="en-US" w:bidi="ar-SA"/>
        </w:rPr>
        <w:t xml:space="preserve"> </w:t>
      </w:r>
      <w:hyperlink r:id="rId348" w:history="1">
        <w:r>
          <w:rPr>
            <w:rFonts w:ascii="arial" w:eastAsia="arial" w:hAnsi="arial" w:cs="arial"/>
            <w:i/>
            <w:color w:val="0077CC"/>
            <w:sz w:val="20"/>
            <w:u w:val="single"/>
            <w:shd w:val="clear" w:color="auto" w:fill="FFFFFF"/>
            <w:lang w:val="en-US" w:eastAsia="en-US" w:bidi="ar-SA"/>
          </w:rPr>
          <w:t>(2005), 254 D.L.R. (4th) 327</w:t>
        </w:r>
      </w:hyperlink>
      <w:r>
        <w:rPr>
          <w:rFonts w:ascii="arial" w:eastAsia="arial" w:hAnsi="arial" w:cs="arial"/>
          <w:color w:val="000000"/>
          <w:sz w:val="20"/>
          <w:lang w:val="en-US" w:eastAsia="en-US" w:bidi="ar-SA"/>
        </w:rPr>
        <w:t xml:space="preserve"> (Ont. C.A.) at paras. 15-18.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xml:space="preserve">  Certain features of </w:t>
      </w:r>
      <w:r>
        <w:rPr>
          <w:rFonts w:ascii="arial" w:eastAsia="arial" w:hAnsi="arial" w:cs="arial"/>
          <w:i/>
          <w:color w:val="000000"/>
          <w:sz w:val="20"/>
          <w:lang w:val="en-US" w:eastAsia="en-US" w:bidi="ar-SA"/>
        </w:rPr>
        <w:t>Rodaro</w:t>
      </w:r>
      <w:r>
        <w:rPr>
          <w:rFonts w:ascii="arial" w:eastAsia="arial" w:hAnsi="arial" w:cs="arial"/>
          <w:color w:val="000000"/>
          <w:sz w:val="20"/>
          <w:lang w:val="en-US" w:eastAsia="en-US" w:bidi="ar-SA"/>
        </w:rPr>
        <w:t xml:space="preserve"> are distinguishable, namely the fact that the court in </w:t>
      </w:r>
      <w:r>
        <w:rPr>
          <w:rFonts w:ascii="arial" w:eastAsia="arial" w:hAnsi="arial" w:cs="arial"/>
          <w:i/>
          <w:color w:val="000000"/>
          <w:sz w:val="20"/>
          <w:lang w:val="en-US" w:eastAsia="en-US" w:bidi="ar-SA"/>
        </w:rPr>
        <w:t>Rodaro</w:t>
      </w:r>
      <w:r>
        <w:rPr>
          <w:rFonts w:ascii="arial" w:eastAsia="arial" w:hAnsi="arial" w:cs="arial"/>
          <w:color w:val="000000"/>
          <w:sz w:val="20"/>
          <w:lang w:val="en-US" w:eastAsia="en-US" w:bidi="ar-SA"/>
        </w:rPr>
        <w:t xml:space="preserve">, on its own initiative, determined the issue on a legal theory that was never addressed or raised by the parties at trial. However, I see no reason why, as a matter of principle, </w:t>
      </w:r>
      <w:r>
        <w:rPr>
          <w:rFonts w:ascii="arial" w:eastAsia="arial" w:hAnsi="arial" w:cs="arial"/>
          <w:i/>
          <w:color w:val="000000"/>
          <w:sz w:val="20"/>
          <w:lang w:val="en-US" w:eastAsia="en-US" w:bidi="ar-SA"/>
        </w:rPr>
        <w:t>Rodaro</w:t>
      </w:r>
      <w:r>
        <w:rPr>
          <w:rFonts w:ascii="arial" w:eastAsia="arial" w:hAnsi="arial" w:cs="arial"/>
          <w:color w:val="000000"/>
          <w:sz w:val="20"/>
          <w:lang w:val="en-US" w:eastAsia="en-US" w:bidi="ar-SA"/>
        </w:rPr>
        <w:t xml:space="preserve"> cannot be applied to the matter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xml:space="preserve">  Many of the same concerns identified by Doherty J.A., are issues that also arise in this matter. Although I gave the parties an opportunity to make submissions on this issue very late in the day, no notice was given to Y Holdings or Mr. Wang that such an argument was to be made by Ms. Zheng at trial and no opportunity was given to tender evidence directly on this issue. Together, Y Holdings and Mr. Wang stand to suffer significant prejudice if Ms. Zheng is permitted to argue new legal theories and seek new forms of relief at such a late stage in the litigation: </w:t>
      </w:r>
      <w:r>
        <w:rPr>
          <w:rFonts w:ascii="arial" w:eastAsia="arial" w:hAnsi="arial" w:cs="arial"/>
          <w:i/>
          <w:color w:val="000000"/>
          <w:sz w:val="20"/>
          <w:lang w:val="en-US" w:eastAsia="en-US" w:bidi="ar-SA"/>
        </w:rPr>
        <w:t>Holmes</w:t>
      </w:r>
      <w:r>
        <w:rPr>
          <w:rFonts w:ascii="arial" w:eastAsia="arial" w:hAnsi="arial" w:cs="arial"/>
          <w:color w:val="000000"/>
          <w:sz w:val="20"/>
          <w:lang w:val="en-US" w:eastAsia="en-US" w:bidi="ar-SA"/>
        </w:rPr>
        <w:t xml:space="preserve"> at paras. 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xml:space="preserve">  The discussion in </w:t>
      </w:r>
      <w:r>
        <w:rPr>
          <w:rFonts w:ascii="arial" w:eastAsia="arial" w:hAnsi="arial" w:cs="arial"/>
          <w:i/>
          <w:color w:val="000000"/>
          <w:sz w:val="20"/>
          <w:lang w:val="en-US" w:eastAsia="en-US" w:bidi="ar-SA"/>
        </w:rPr>
        <w:t>Burke Estate v. Royal &amp; Sun Alliance Insurance Co. of Canada</w:t>
      </w:r>
      <w:r>
        <w:rPr>
          <w:rFonts w:ascii="arial" w:eastAsia="arial" w:hAnsi="arial" w:cs="arial"/>
          <w:color w:val="000000"/>
          <w:sz w:val="20"/>
          <w:lang w:val="en-US" w:eastAsia="en-US" w:bidi="ar-SA"/>
        </w:rPr>
        <w:t xml:space="preserve">, </w:t>
      </w:r>
      <w:hyperlink r:id="rId349" w:history="1">
        <w:r>
          <w:rPr>
            <w:rFonts w:ascii="arial" w:eastAsia="arial" w:hAnsi="arial" w:cs="arial"/>
            <w:i/>
            <w:color w:val="0077CC"/>
            <w:sz w:val="20"/>
            <w:u w:val="single"/>
            <w:shd w:val="clear" w:color="auto" w:fill="FFFFFF"/>
            <w:lang w:val="en-US" w:eastAsia="en-US" w:bidi="ar-SA"/>
          </w:rPr>
          <w:t>2011 NBCA 98</w:t>
        </w:r>
      </w:hyperlink>
      <w:r>
        <w:rPr>
          <w:rFonts w:ascii="arial" w:eastAsia="arial" w:hAnsi="arial" w:cs="arial"/>
          <w:color w:val="000000"/>
          <w:sz w:val="20"/>
          <w:lang w:val="en-US" w:eastAsia="en-US" w:bidi="ar-SA"/>
        </w:rPr>
        <w:t xml:space="preserve"> is apposite. Chief Justice Drapeau said for the Court: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[58] For the equitable remedy of corporate veil lifting to be in play, Royal &amp; Sun Alliance had to ask for it. If the Amended Statement of Defence had featured such a request, a concise statement of the material facts in support would have been required... Additionally, particulars of the allegation of fraud or other wrongdoing would have been expected. None of these elementary pleading requirements were met...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[59] That said, even if I could be persuaded the features, failings and inadequacies of Royal &amp; Sun Alliance's pleadings did not foreclose resort to corporate veil lifting, I would still hold that equitable remedy was inappropriate given the trial judge's unimpeachable finding that Mr. Burke used 1021256 Ontario Inc. for entirely legitimate purposes.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[60] It has been hornbook law for quite some time that a corporation is a legal entity distinct from its shareholders (see the oft-cited </w:t>
      </w:r>
      <w:r>
        <w:rPr>
          <w:rFonts w:ascii="arial" w:eastAsia="arial" w:hAnsi="arial" w:cs="arial"/>
          <w:i/>
          <w:color w:val="000000"/>
          <w:sz w:val="20"/>
          <w:lang w:val="en-US" w:eastAsia="en-US" w:bidi="ar-SA"/>
        </w:rPr>
        <w:t>Salomon v. Salomon &amp; Co.</w:t>
      </w:r>
      <w:r>
        <w:rPr>
          <w:rFonts w:ascii="arial" w:eastAsia="arial" w:hAnsi="arial" w:cs="arial"/>
          <w:color w:val="000000"/>
          <w:sz w:val="20"/>
          <w:lang w:val="en-US" w:eastAsia="en-US" w:bidi="ar-SA"/>
        </w:rPr>
        <w:t xml:space="preserve">, </w:t>
      </w:r>
      <w:hyperlink r:id="rId350" w:history="1">
        <w:r>
          <w:rPr>
            <w:rFonts w:ascii="arial" w:eastAsia="arial" w:hAnsi="arial" w:cs="arial"/>
            <w:i/>
            <w:color w:val="0077CC"/>
            <w:sz w:val="20"/>
            <w:u w:val="single"/>
            <w:shd w:val="clear" w:color="auto" w:fill="FFFFFF"/>
            <w:lang w:val="en-US" w:eastAsia="en-US" w:bidi="ar-SA"/>
          </w:rPr>
          <w:t>[1897] A.C. 22</w:t>
        </w:r>
      </w:hyperlink>
      <w:r>
        <w:rPr>
          <w:rFonts w:ascii="arial" w:eastAsia="arial" w:hAnsi="arial" w:cs="arial"/>
          <w:color w:val="000000"/>
          <w:sz w:val="20"/>
          <w:lang w:val="en-US" w:eastAsia="en-US" w:bidi="ar-SA"/>
        </w:rPr>
        <w:t xml:space="preserve"> at pages 53-54 (H.L.)). Courts will only very exceptionally disregard the separate legal personality of a corporate entity. In </w:t>
      </w:r>
      <w:r>
        <w:rPr>
          <w:rFonts w:ascii="arial" w:eastAsia="arial" w:hAnsi="arial" w:cs="arial"/>
          <w:i/>
          <w:color w:val="000000"/>
          <w:sz w:val="20"/>
          <w:lang w:val="en-US" w:eastAsia="en-US" w:bidi="ar-SA"/>
        </w:rPr>
        <w:t>Transamerica Life Insurance Co. of Canada v. Canada Life Assurance Co.</w:t>
      </w:r>
      <w:r>
        <w:rPr>
          <w:rFonts w:ascii="arial" w:eastAsia="arial" w:hAnsi="arial" w:cs="arial"/>
          <w:color w:val="000000"/>
          <w:sz w:val="20"/>
          <w:lang w:val="en-US" w:eastAsia="en-US" w:bidi="ar-SA"/>
        </w:rPr>
        <w:t xml:space="preserve">, </w:t>
      </w:r>
      <w:hyperlink r:id="rId351" w:history="1">
        <w:r>
          <w:rPr>
            <w:rFonts w:ascii="arial" w:eastAsia="arial" w:hAnsi="arial" w:cs="arial"/>
            <w:i/>
            <w:color w:val="0077CC"/>
            <w:sz w:val="20"/>
            <w:u w:val="single"/>
            <w:shd w:val="clear" w:color="auto" w:fill="FFFFFF"/>
            <w:lang w:val="en-US" w:eastAsia="en-US" w:bidi="ar-SA"/>
          </w:rPr>
          <w:t>1996 CanLII 7979</w:t>
        </w:r>
      </w:hyperlink>
      <w:r>
        <w:rPr>
          <w:rFonts w:ascii="arial" w:eastAsia="arial" w:hAnsi="arial" w:cs="arial"/>
          <w:color w:val="000000"/>
          <w:sz w:val="20"/>
          <w:lang w:val="en-US" w:eastAsia="en-US" w:bidi="ar-SA"/>
        </w:rPr>
        <w:t xml:space="preserve"> (ON SC), </w:t>
      </w:r>
      <w:hyperlink r:id="rId352" w:history="1">
        <w:r>
          <w:rPr>
            <w:rFonts w:ascii="arial" w:eastAsia="arial" w:hAnsi="arial" w:cs="arial"/>
            <w:i/>
            <w:color w:val="0077CC"/>
            <w:sz w:val="20"/>
            <w:u w:val="single"/>
            <w:shd w:val="clear" w:color="auto" w:fill="FFFFFF"/>
            <w:lang w:val="en-US" w:eastAsia="en-US" w:bidi="ar-SA"/>
          </w:rPr>
          <w:t>[1996] O.J. No. 1568</w:t>
        </w:r>
      </w:hyperlink>
      <w:r>
        <w:rPr>
          <w:rFonts w:ascii="arial" w:eastAsia="arial" w:hAnsi="arial" w:cs="arial"/>
          <w:color w:val="000000"/>
          <w:sz w:val="20"/>
          <w:lang w:val="en-US" w:eastAsia="en-US" w:bidi="ar-SA"/>
        </w:rPr>
        <w:t xml:space="preserve"> (G.D.) (QL), aff'd </w:t>
      </w:r>
      <w:hyperlink r:id="rId353" w:history="1">
        <w:r>
          <w:rPr>
            <w:rFonts w:ascii="arial" w:eastAsia="arial" w:hAnsi="arial" w:cs="arial"/>
            <w:i/>
            <w:color w:val="0077CC"/>
            <w:sz w:val="20"/>
            <w:u w:val="single"/>
            <w:shd w:val="clear" w:color="auto" w:fill="FFFFFF"/>
            <w:lang w:val="en-US" w:eastAsia="en-US" w:bidi="ar-SA"/>
          </w:rPr>
          <w:t>[1997] O.J. No. 3754</w:t>
        </w:r>
      </w:hyperlink>
      <w:r>
        <w:rPr>
          <w:rFonts w:ascii="arial" w:eastAsia="arial" w:hAnsi="arial" w:cs="arial"/>
          <w:color w:val="000000"/>
          <w:sz w:val="20"/>
          <w:lang w:val="en-US" w:eastAsia="en-US" w:bidi="ar-SA"/>
        </w:rPr>
        <w:t xml:space="preserve"> (C.A.) (QL) at para. 21, Justice Sharpe rejected the view that courts may lift the corporate veil whenever they please "on some loosely defined 'just and equitable' standard". He opined that lifting the corporate veil was only appropriate where those in control of a corporation use it as a shield for "fraudulent or improper conduct" (para. 22). Though this test was articulated in connection with the distinction between a corporation and its subsidiary, there is no principled reason to exclude its application in the context of a one-person corporation. See, as well, the discussion in </w:t>
      </w:r>
      <w:r>
        <w:rPr>
          <w:rFonts w:ascii="arial" w:eastAsia="arial" w:hAnsi="arial" w:cs="arial"/>
          <w:i/>
          <w:color w:val="000000"/>
          <w:sz w:val="20"/>
          <w:lang w:val="en-US" w:eastAsia="en-US" w:bidi="ar-SA"/>
        </w:rPr>
        <w:t>642947 Ontario Ltd. v. Fleischer</w:t>
      </w:r>
      <w:r>
        <w:rPr>
          <w:rFonts w:ascii="arial" w:eastAsia="arial" w:hAnsi="arial" w:cs="arial"/>
          <w:color w:val="000000"/>
          <w:sz w:val="20"/>
          <w:lang w:val="en-US" w:eastAsia="en-US" w:bidi="ar-SA"/>
        </w:rPr>
        <w:t xml:space="preserve">, </w:t>
      </w:r>
      <w:hyperlink r:id="rId354" w:history="1">
        <w:r>
          <w:rPr>
            <w:rFonts w:ascii="arial" w:eastAsia="arial" w:hAnsi="arial" w:cs="arial"/>
            <w:i/>
            <w:color w:val="0077CC"/>
            <w:sz w:val="20"/>
            <w:u w:val="single"/>
            <w:shd w:val="clear" w:color="auto" w:fill="FFFFFF"/>
            <w:lang w:val="en-US" w:eastAsia="en-US" w:bidi="ar-SA"/>
          </w:rPr>
          <w:t>2001 CanLII 8623</w:t>
        </w:r>
      </w:hyperlink>
      <w:r>
        <w:rPr>
          <w:rFonts w:ascii="arial" w:eastAsia="arial" w:hAnsi="arial" w:cs="arial"/>
          <w:color w:val="000000"/>
          <w:sz w:val="20"/>
          <w:lang w:val="en-US" w:eastAsia="en-US" w:bidi="ar-SA"/>
        </w:rPr>
        <w:t xml:space="preserve"> (ON CA), </w:t>
      </w:r>
      <w:hyperlink r:id="rId355" w:history="1">
        <w:r>
          <w:rPr>
            <w:rFonts w:ascii="arial" w:eastAsia="arial" w:hAnsi="arial" w:cs="arial"/>
            <w:i/>
            <w:color w:val="0077CC"/>
            <w:sz w:val="20"/>
            <w:u w:val="single"/>
            <w:shd w:val="clear" w:color="auto" w:fill="FFFFFF"/>
            <w:lang w:val="en-US" w:eastAsia="en-US" w:bidi="ar-SA"/>
          </w:rPr>
          <w:t>[2001] O.J. No. 4771</w:t>
        </w:r>
      </w:hyperlink>
      <w:r>
        <w:rPr>
          <w:rFonts w:ascii="arial" w:eastAsia="arial" w:hAnsi="arial" w:cs="arial"/>
          <w:color w:val="000000"/>
          <w:sz w:val="20"/>
          <w:lang w:val="en-US" w:eastAsia="en-US" w:bidi="ar-SA"/>
        </w:rPr>
        <w:t xml:space="preserve"> (C.A.) (QL) at paras. 67-69, per Laskin J.A.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For this reason alone, I would dismiss this particular claim advanced by Ms. Zheng.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xml:space="preserve">  I further consider that this claim would fail based on the limited evidentiary record before me. The case authorities provided by counsel make clear that courts will not disregard the separate legal personality of a corporate entity in the absence of fraud: </w:t>
      </w:r>
      <w:r>
        <w:rPr>
          <w:rFonts w:ascii="arial" w:eastAsia="arial" w:hAnsi="arial" w:cs="arial"/>
          <w:i/>
          <w:color w:val="000000"/>
          <w:sz w:val="20"/>
          <w:lang w:val="en-US" w:eastAsia="en-US" w:bidi="ar-SA"/>
        </w:rPr>
        <w:t>Emtwo Properties Inc. v. Cineplex (Western Canada) Inc.</w:t>
      </w:r>
      <w:r>
        <w:rPr>
          <w:rFonts w:ascii="arial" w:eastAsia="arial" w:hAnsi="arial" w:cs="arial"/>
          <w:color w:val="000000"/>
          <w:sz w:val="20"/>
          <w:lang w:val="en-US" w:eastAsia="en-US" w:bidi="ar-SA"/>
        </w:rPr>
        <w:t xml:space="preserve">, </w:t>
      </w:r>
      <w:hyperlink r:id="rId356" w:history="1">
        <w:r>
          <w:rPr>
            <w:rFonts w:ascii="arial" w:eastAsia="arial" w:hAnsi="arial" w:cs="arial"/>
            <w:i/>
            <w:color w:val="0077CC"/>
            <w:sz w:val="20"/>
            <w:u w:val="single"/>
            <w:shd w:val="clear" w:color="auto" w:fill="FFFFFF"/>
            <w:lang w:val="en-US" w:eastAsia="en-US" w:bidi="ar-SA"/>
          </w:rPr>
          <w:t>2011 BCSC 1072</w:t>
        </w:r>
      </w:hyperlink>
      <w:r>
        <w:rPr>
          <w:rFonts w:ascii="arial" w:eastAsia="arial" w:hAnsi="arial" w:cs="arial"/>
          <w:color w:val="000000"/>
          <w:sz w:val="20"/>
          <w:lang w:val="en-US" w:eastAsia="en-US" w:bidi="ar-SA"/>
        </w:rPr>
        <w:t xml:space="preserve"> at para. 128; </w:t>
      </w:r>
      <w:r>
        <w:rPr>
          <w:rFonts w:ascii="arial" w:eastAsia="arial" w:hAnsi="arial" w:cs="arial"/>
          <w:i/>
          <w:color w:val="000000"/>
          <w:sz w:val="20"/>
          <w:lang w:val="en-US" w:eastAsia="en-US" w:bidi="ar-SA"/>
        </w:rPr>
        <w:t>Transamerica Life Insurance Co. of Canada v. Canada Life Insurance Co.</w:t>
      </w:r>
      <w:r>
        <w:rPr>
          <w:rFonts w:ascii="arial" w:eastAsia="arial" w:hAnsi="arial" w:cs="arial"/>
          <w:color w:val="000000"/>
          <w:sz w:val="20"/>
          <w:lang w:val="en-US" w:eastAsia="en-US" w:bidi="ar-SA"/>
        </w:rPr>
        <w:t xml:space="preserve">, </w:t>
      </w:r>
      <w:hyperlink r:id="rId352" w:history="1">
        <w:r>
          <w:rPr>
            <w:rFonts w:ascii="arial" w:eastAsia="arial" w:hAnsi="arial" w:cs="arial"/>
            <w:i/>
            <w:color w:val="0077CC"/>
            <w:sz w:val="20"/>
            <w:u w:val="single"/>
            <w:shd w:val="clear" w:color="auto" w:fill="FFFFFF"/>
            <w:lang w:val="en-US" w:eastAsia="en-US" w:bidi="ar-SA"/>
          </w:rPr>
          <w:t>[1996] O.J. No. 1568</w:t>
        </w:r>
      </w:hyperlink>
      <w:r>
        <w:rPr>
          <w:rFonts w:ascii="arial" w:eastAsia="arial" w:hAnsi="arial" w:cs="arial"/>
          <w:color w:val="000000"/>
          <w:sz w:val="20"/>
          <w:lang w:val="en-US" w:eastAsia="en-US" w:bidi="ar-SA"/>
        </w:rPr>
        <w:t xml:space="preserve"> (Gen. Div.). There is further authority that the corporate veil is typically pierced when the company is "incorporated for an illegal, fraudulent or improper purpose. But it can also be pierced if when incorporated "those in control expressly direct a wrongful thing to be done": </w:t>
      </w:r>
      <w:r>
        <w:rPr>
          <w:rFonts w:ascii="arial" w:eastAsia="arial" w:hAnsi="arial" w:cs="arial"/>
          <w:i/>
          <w:color w:val="000000"/>
          <w:sz w:val="20"/>
          <w:lang w:val="en-US" w:eastAsia="en-US" w:bidi="ar-SA"/>
        </w:rPr>
        <w:t>Clarkson Co. v. Zhelka</w:t>
      </w:r>
      <w:r>
        <w:rPr>
          <w:rFonts w:ascii="arial" w:eastAsia="arial" w:hAnsi="arial" w:cs="arial"/>
          <w:color w:val="000000"/>
          <w:sz w:val="20"/>
          <w:lang w:val="en-US" w:eastAsia="en-US" w:bidi="ar-SA"/>
        </w:rPr>
        <w:t xml:space="preserve">, </w:t>
      </w:r>
      <w:hyperlink r:id="rId357" w:history="1">
        <w:r>
          <w:rPr>
            <w:rFonts w:ascii="arial" w:eastAsia="arial" w:hAnsi="arial" w:cs="arial"/>
            <w:i/>
            <w:color w:val="0077CC"/>
            <w:sz w:val="20"/>
            <w:u w:val="single"/>
            <w:shd w:val="clear" w:color="auto" w:fill="FFFFFF"/>
            <w:lang w:val="en-US" w:eastAsia="en-US" w:bidi="ar-SA"/>
          </w:rPr>
          <w:t>[1967] 2 O.R. 565</w:t>
        </w:r>
      </w:hyperlink>
      <w:r>
        <w:rPr>
          <w:rFonts w:ascii="arial" w:eastAsia="arial" w:hAnsi="arial" w:cs="arial"/>
          <w:color w:val="000000"/>
          <w:sz w:val="20"/>
          <w:lang w:val="en-US" w:eastAsia="en-US" w:bidi="ar-SA"/>
        </w:rPr>
        <w:t xml:space="preserve"> (H.C.). See also </w:t>
      </w:r>
      <w:r>
        <w:rPr>
          <w:rFonts w:ascii="arial" w:eastAsia="arial" w:hAnsi="arial" w:cs="arial"/>
          <w:i/>
          <w:color w:val="000000"/>
          <w:sz w:val="20"/>
          <w:lang w:val="en-US" w:eastAsia="en-US" w:bidi="ar-SA"/>
        </w:rPr>
        <w:t>642947 Ontario Limited v. Fleischer</w:t>
      </w:r>
      <w:r>
        <w:rPr>
          <w:rFonts w:ascii="arial" w:eastAsia="arial" w:hAnsi="arial" w:cs="arial"/>
          <w:color w:val="000000"/>
          <w:sz w:val="20"/>
          <w:lang w:val="en-US" w:eastAsia="en-US" w:bidi="ar-SA"/>
        </w:rPr>
        <w:t xml:space="preserve"> </w:t>
      </w:r>
      <w:hyperlink r:id="rId354" w:history="1">
        <w:r>
          <w:rPr>
            <w:rFonts w:ascii="arial" w:eastAsia="arial" w:hAnsi="arial" w:cs="arial"/>
            <w:i/>
            <w:color w:val="0077CC"/>
            <w:sz w:val="20"/>
            <w:u w:val="single"/>
            <w:shd w:val="clear" w:color="auto" w:fill="FFFFFF"/>
            <w:lang w:val="en-US" w:eastAsia="en-US" w:bidi="ar-SA"/>
          </w:rPr>
          <w:t>(2001), 56 O.R. (3d) 417</w:t>
        </w:r>
      </w:hyperlink>
      <w:r>
        <w:rPr>
          <w:rFonts w:ascii="arial" w:eastAsia="arial" w:hAnsi="arial" w:cs="arial"/>
          <w:color w:val="000000"/>
          <w:sz w:val="20"/>
          <w:lang w:val="en-US" w:eastAsia="en-US" w:bidi="ar-SA"/>
        </w:rPr>
        <w:t xml:space="preserve"> (C.A.) and </w:t>
      </w:r>
      <w:r>
        <w:rPr>
          <w:rFonts w:ascii="arial" w:eastAsia="arial" w:hAnsi="arial" w:cs="arial"/>
          <w:i/>
          <w:color w:val="000000"/>
          <w:sz w:val="20"/>
          <w:lang w:val="en-US" w:eastAsia="en-US" w:bidi="ar-SA"/>
        </w:rPr>
        <w:t>B.G. Preeco 1 (Pacific Coast) Ltd. v. Bon Street Holdings Ltd</w:t>
      </w:r>
      <w:r>
        <w:rPr>
          <w:rFonts w:ascii="arial" w:eastAsia="arial" w:hAnsi="arial" w:cs="arial"/>
          <w:color w:val="000000"/>
          <w:sz w:val="20"/>
          <w:lang w:val="en-US" w:eastAsia="en-US" w:bidi="ar-SA"/>
        </w:rPr>
        <w:t xml:space="preserve">. </w:t>
      </w:r>
      <w:hyperlink r:id="rId358" w:history="1">
        <w:r>
          <w:rPr>
            <w:rFonts w:ascii="arial" w:eastAsia="arial" w:hAnsi="arial" w:cs="arial"/>
            <w:i/>
            <w:color w:val="0077CC"/>
            <w:sz w:val="20"/>
            <w:u w:val="single"/>
            <w:shd w:val="clear" w:color="auto" w:fill="FFFFFF"/>
            <w:lang w:val="en-US" w:eastAsia="en-US" w:bidi="ar-SA"/>
          </w:rPr>
          <w:t>(1989), 37 B.C.L.R. (2d) 258</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The plaintiff, that being Ms. Zheng on the counterclaim, has the burden of proof. I am not satisfied that Ms. Zheng established that Mr. Wang or Y Holdings conducted themselves in a manner that could be described as fraudulent or that strictly recognizing the Yongfeng Group companies as distinct from Y Holdings would yield a result that comes anywhere near being flagrantly opposed to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xml:space="preserve">  It is clear that the separate legal personality of a corporation will not be disregarded lightly: </w:t>
      </w:r>
      <w:r>
        <w:rPr>
          <w:rFonts w:ascii="arial" w:eastAsia="arial" w:hAnsi="arial" w:cs="arial"/>
          <w:i/>
          <w:color w:val="000000"/>
          <w:sz w:val="20"/>
          <w:lang w:val="en-US" w:eastAsia="en-US" w:bidi="ar-SA"/>
        </w:rPr>
        <w:t>Edgington v. Mulek Estate</w:t>
      </w:r>
      <w:r>
        <w:rPr>
          <w:rFonts w:ascii="arial" w:eastAsia="arial" w:hAnsi="arial" w:cs="arial"/>
          <w:color w:val="000000"/>
          <w:sz w:val="20"/>
          <w:lang w:val="en-US" w:eastAsia="en-US" w:bidi="ar-SA"/>
        </w:rPr>
        <w:t xml:space="preserve">, </w:t>
      </w:r>
      <w:hyperlink r:id="rId359" w:history="1">
        <w:r>
          <w:rPr>
            <w:rFonts w:ascii="arial" w:eastAsia="arial" w:hAnsi="arial" w:cs="arial"/>
            <w:i/>
            <w:color w:val="0077CC"/>
            <w:sz w:val="20"/>
            <w:u w:val="single"/>
            <w:shd w:val="clear" w:color="auto" w:fill="FFFFFF"/>
            <w:lang w:val="en-US" w:eastAsia="en-US" w:bidi="ar-SA"/>
          </w:rPr>
          <w:t>2008 BCCA 505</w:t>
        </w:r>
      </w:hyperlink>
      <w:r>
        <w:rPr>
          <w:rFonts w:ascii="arial" w:eastAsia="arial" w:hAnsi="arial" w:cs="arial"/>
          <w:color w:val="000000"/>
          <w:sz w:val="20"/>
          <w:lang w:val="en-US" w:eastAsia="en-US" w:bidi="ar-SA"/>
        </w:rPr>
        <w:t xml:space="preserve"> at paras. 20-21. Parties to transactions employ the use of corporate vehicles for a reason, as they are entitled to do. As Justice Seaton said in </w:t>
      </w:r>
      <w:r>
        <w:rPr>
          <w:rFonts w:ascii="arial" w:eastAsia="arial" w:hAnsi="arial" w:cs="arial"/>
          <w:i/>
          <w:color w:val="000000"/>
          <w:sz w:val="20"/>
          <w:lang w:val="en-US" w:eastAsia="en-US" w:bidi="ar-SA"/>
        </w:rPr>
        <w:t>B.G. Preeco</w:t>
      </w:r>
      <w:r>
        <w:rPr>
          <w:rFonts w:ascii="arial" w:eastAsia="arial" w:hAnsi="arial" w:cs="arial"/>
          <w:color w:val="000000"/>
          <w:sz w:val="20"/>
          <w:lang w:val="en-US" w:eastAsia="en-US" w:bidi="ar-SA"/>
        </w:rPr>
        <w:t>, "The use of a company as a means of avoiding bearing business losses is neither unusual nor a basis for lifting the veil."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Counsel for Ms. Zheng submitted that Mr. Wang held the Yongfeng Group out as a "one-stop shop" for the design and construction of her residence and that, relatedly, no one made any effort to advise Ms. Zheng or Mr. Liu that the Yongfeng Group was made of distinct legal entities. This does not amount to fraudulent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Furthermore, Ms. Zheng was aware that the contracts she entered into were with different Yongfeng Group companies. She was making cheques out to these various companies and she was corresponding with different people. Furthermore, and as I have previously said, I am not persuaded that Ms. Zheng and Mr. Liu were as naïve as they made themselves out to be. As previously referenced, Ms. Zheng is a highly educated individual employed in real estate, having obtained a MBA degree from the New York Institute of Technology in 2005 and a real estate license in 2010, among other certifications relating to real estate. Mr. Liu has a Bachelors degree in Computer Software and currently owns his own company in Beijing. Both are sophisticated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Counsel for Ms. Zheng also submitted that the Yongfeng Group was "intentionally organized" by Mr. Wang as separate entities to insulate himself from liabilities arising from different components of the design and construction processes but that, ultimately, they operated "as a common enterprise".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There was no evidence that the companies within the Yongfeng Group only operated as a common enterprise. Because these allegations and this claim were not specifically pleaded by Ms. Zheng, Y Holdings and Mr. Wang also did not have the opportunity to adduce evidence as to whether the individual companies comprising Yongfeng Group operated separate and apart from Y Holdings and the Yongfeng Group. In addition, limited liability is one of the benefits of incorporation and parties are entitled to incorporate for that reason. This does not alone establish fraudulent conduct or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For these reasons I would dismiss this purported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 Other Issues on the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xml:space="preserve">  In her counterclaim, Ms. Zheng made further claims against Y Holdings and Mr. Wang on the basis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the duty of honest performance. Among other relief, Ms. Zheng sought punitive damages and a tracing order. Counsel did not address or make submissions on these issues in any depth but, in any event, it is clear on my findings these claims cannot succeed.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 xml:space="preserve">1. Tort of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xml:space="preserve">  The elements of the tort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succinctly stated in </w:t>
      </w:r>
      <w:r>
        <w:rPr>
          <w:rFonts w:ascii="arial" w:eastAsia="arial" w:hAnsi="arial" w:cs="arial"/>
          <w:i/>
          <w:color w:val="000000"/>
          <w:sz w:val="20"/>
          <w:lang w:val="en-US" w:eastAsia="en-US" w:bidi="ar-SA"/>
        </w:rPr>
        <w:t>Lawrence v. Prince Rupert (City) and B.C. Hydro &amp; Power Authority</w:t>
      </w:r>
      <w:r>
        <w:rPr>
          <w:rFonts w:ascii="arial" w:eastAsia="arial" w:hAnsi="arial" w:cs="arial"/>
          <w:color w:val="000000"/>
          <w:sz w:val="20"/>
          <w:lang w:val="en-US" w:eastAsia="en-US" w:bidi="ar-SA"/>
        </w:rPr>
        <w:t xml:space="preserve">, </w:t>
      </w:r>
      <w:hyperlink r:id="rId360" w:history="1">
        <w:r>
          <w:rPr>
            <w:rFonts w:ascii="arial" w:eastAsia="arial" w:hAnsi="arial" w:cs="arial"/>
            <w:i/>
            <w:color w:val="0077CC"/>
            <w:sz w:val="20"/>
            <w:u w:val="single"/>
            <w:shd w:val="clear" w:color="auto" w:fill="FFFFFF"/>
            <w:lang w:val="en-US" w:eastAsia="en-US" w:bidi="ar-SA"/>
          </w:rPr>
          <w:t>2005 BCCA 567</w:t>
        </w:r>
      </w:hyperlink>
      <w:r>
        <w:rPr>
          <w:rFonts w:ascii="arial" w:eastAsia="arial" w:hAnsi="arial" w:cs="arial"/>
          <w:color w:val="000000"/>
          <w:sz w:val="20"/>
          <w:lang w:val="en-US" w:eastAsia="en-US" w:bidi="ar-SA"/>
        </w:rPr>
        <w:t xml:space="preserve"> by Chief Justice Finch at para. 39 where he quoted Fridman, </w:t>
      </w:r>
      <w:r>
        <w:rPr>
          <w:rFonts w:ascii="arial" w:eastAsia="arial" w:hAnsi="arial" w:cs="arial"/>
          <w:i/>
          <w:color w:val="000000"/>
          <w:sz w:val="20"/>
          <w:lang w:val="en-US" w:eastAsia="en-US" w:bidi="ar-SA"/>
        </w:rPr>
        <w:t>The Law of Torts in Canada</w:t>
      </w:r>
      <w:r>
        <w:rPr>
          <w:rFonts w:ascii="arial" w:eastAsia="arial" w:hAnsi="arial" w:cs="arial"/>
          <w:color w:val="000000"/>
          <w:sz w:val="20"/>
          <w:lang w:val="en-US" w:eastAsia="en-US" w:bidi="ar-SA"/>
        </w:rPr>
        <w:t>, 2nd ed. at page 317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been "simply" defined as </w:t>
      </w:r>
      <w:r>
        <w:rPr>
          <w:rFonts w:ascii="arial" w:eastAsia="arial" w:hAnsi="arial" w:cs="arial"/>
          <w:color w:val="000000"/>
          <w:sz w:val="20"/>
          <w:u w:val="single"/>
          <w:lang w:val="en-US" w:eastAsia="en-US" w:bidi="ar-SA"/>
        </w:rPr>
        <w:t>breach of a legal duty to take care which results in damage</w:t>
      </w:r>
      <w:r>
        <w:rPr>
          <w:rFonts w:ascii="arial" w:eastAsia="arial" w:hAnsi="arial" w:cs="arial"/>
          <w:color w:val="000000"/>
          <w:sz w:val="20"/>
          <w:lang w:val="en-US" w:eastAsia="en-US" w:bidi="ar-SA"/>
        </w:rPr>
        <w:t xml:space="preserve">, undesired by the defendant, to the plaintiff. ...To establish such liability, it is necessary for the plaintiff to show: (i) that he was owed a duty of care by the defendant; (ii) that the defendant should have observed a particular standard of care in order to perform or fulfill that duty; (iii) that he broke his duty of care by failing to fulfill or observe the relevant standard of care; (iv) that </w:t>
      </w:r>
      <w:r>
        <w:rPr>
          <w:rFonts w:ascii="arial" w:eastAsia="arial" w:hAnsi="arial" w:cs="arial"/>
          <w:color w:val="000000"/>
          <w:sz w:val="20"/>
          <w:u w:val="single"/>
          <w:lang w:val="en-US" w:eastAsia="en-US" w:bidi="ar-SA"/>
        </w:rPr>
        <w:t>such breach of duty caused damage or loss to the plaintiff</w:t>
      </w:r>
      <w:r>
        <w:rPr>
          <w:rFonts w:ascii="arial" w:eastAsia="arial" w:hAnsi="arial" w:cs="arial"/>
          <w:color w:val="000000"/>
          <w:sz w:val="20"/>
          <w:lang w:val="en-US" w:eastAsia="en-US" w:bidi="ar-SA"/>
        </w:rPr>
        <w:t>; (v) that such damage was not too remote a consequence of the breach so as to render the defendant not liable for its occurrence.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xml:space="preserve">  As the plaintiff on the counterclaim, Ms. Zheng holds the burden of proving, among other things, that there was a duty of care, of setting the standard of care applicable, and how that standard was breached. As I have said, counsel did not argue this matter or provide evidence to substantiate this part of their claim. I find that Ms. Zheng's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must fail.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2. Breach of Honest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xml:space="preserve">  The Supreme Court of Canada recognized a duty of honesty in contractual performance in </w:t>
      </w:r>
      <w:r>
        <w:rPr>
          <w:rFonts w:ascii="arial" w:eastAsia="arial" w:hAnsi="arial" w:cs="arial"/>
          <w:i/>
          <w:color w:val="000000"/>
          <w:sz w:val="20"/>
          <w:lang w:val="en-US" w:eastAsia="en-US" w:bidi="ar-SA"/>
        </w:rPr>
        <w:t>Bhasin v. Hrynew</w:t>
      </w:r>
      <w:r>
        <w:rPr>
          <w:rFonts w:ascii="arial" w:eastAsia="arial" w:hAnsi="arial" w:cs="arial"/>
          <w:color w:val="000000"/>
          <w:sz w:val="20"/>
          <w:lang w:val="en-US" w:eastAsia="en-US" w:bidi="ar-SA"/>
        </w:rPr>
        <w:t xml:space="preserve">, </w:t>
      </w:r>
      <w:hyperlink r:id="rId361" w:history="1">
        <w:r>
          <w:rPr>
            <w:rFonts w:ascii="arial" w:eastAsia="arial" w:hAnsi="arial" w:cs="arial"/>
            <w:i/>
            <w:color w:val="0077CC"/>
            <w:sz w:val="20"/>
            <w:u w:val="single"/>
            <w:shd w:val="clear" w:color="auto" w:fill="FFFFFF"/>
            <w:lang w:val="en-US" w:eastAsia="en-US" w:bidi="ar-SA"/>
          </w:rPr>
          <w:t>2014 SCC 71</w:t>
        </w:r>
      </w:hyperlink>
      <w:r>
        <w:rPr>
          <w:rFonts w:ascii="arial" w:eastAsia="arial" w:hAnsi="arial" w:cs="arial"/>
          <w:color w:val="000000"/>
          <w:sz w:val="20"/>
          <w:lang w:val="en-US" w:eastAsia="en-US" w:bidi="ar-SA"/>
        </w:rPr>
        <w:t xml:space="preserv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[73] ...I would hold that there is a general duty of honesty in contractual performance. This means simply that parties must not lie or otherwise knowingly mislead each other about matters directly linked to the performance of the contract. This does not impose a duty of loyalty or of disclosure or require a party to forego advantages flowing from the contract; it is a simple requirement not to lie or mislead the other party about one's contractual performance. Recognizing a duty of honest performance flowing directly from the common law organizing principle of good faith is a modest, incremental step. The requirement to act honestly is one of the most widely recognized aspects of the organizing principle of good faith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[86] The duty of honest performance that I propose should not be confused with a duty of disclosure or of fiduciary loyalty. A party to a contract has no general duty to subordinate his or her interest to that of the other party. However, contracting parties must be able to rely on a minimum standard of honesty from their contracting partner in relation to performing the contract as a reassurance that if the contract does not work out, they will have a fair opportunity to protect their interests. That said, a dealership agreement is not a contract of utmost good faith (</w:t>
      </w:r>
      <w:r>
        <w:rPr>
          <w:rFonts w:ascii="arial" w:eastAsia="arial" w:hAnsi="arial" w:cs="arial"/>
          <w:i/>
          <w:color w:val="000000"/>
          <w:sz w:val="20"/>
          <w:lang w:val="en-US" w:eastAsia="en-US" w:bidi="ar-SA"/>
        </w:rPr>
        <w:t>uberrimae fidei</w:t>
      </w:r>
      <w:r>
        <w:rPr>
          <w:rFonts w:ascii="arial" w:eastAsia="arial" w:hAnsi="arial" w:cs="arial"/>
          <w:color w:val="000000"/>
          <w:sz w:val="20"/>
          <w:lang w:val="en-US" w:eastAsia="en-US" w:bidi="ar-SA"/>
        </w:rPr>
        <w:t xml:space="preserve">) such as an insurance contract, which among other things obliges the parties to disclose material facts: </w:t>
      </w:r>
      <w:r>
        <w:rPr>
          <w:rFonts w:ascii="arial" w:eastAsia="arial" w:hAnsi="arial" w:cs="arial"/>
          <w:i/>
          <w:color w:val="000000"/>
          <w:sz w:val="20"/>
          <w:lang w:val="en-US" w:eastAsia="en-US" w:bidi="ar-SA"/>
        </w:rPr>
        <w:t>Whiten</w:t>
      </w:r>
      <w:r>
        <w:rPr>
          <w:rFonts w:ascii="arial" w:eastAsia="arial" w:hAnsi="arial" w:cs="arial"/>
          <w:color w:val="000000"/>
          <w:sz w:val="20"/>
          <w:lang w:val="en-US" w:eastAsia="en-US" w:bidi="ar-SA"/>
        </w:rPr>
        <w:t>. But a clear distinction can be drawn between a failure to disclose a material fact, even a firm intention to end the contractual arrangement, and active dishonesty.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xml:space="preserve">  This duty requires the contractual parties to be honest with each other in relation to the performance of their contractual obligations: </w:t>
      </w:r>
      <w:r>
        <w:rPr>
          <w:rFonts w:ascii="arial" w:eastAsia="arial" w:hAnsi="arial" w:cs="arial"/>
          <w:i/>
          <w:color w:val="000000"/>
          <w:sz w:val="20"/>
          <w:lang w:val="en-US" w:eastAsia="en-US" w:bidi="ar-SA"/>
        </w:rPr>
        <w:t>Bhasin</w:t>
      </w:r>
      <w:r>
        <w:rPr>
          <w:rFonts w:ascii="arial" w:eastAsia="arial" w:hAnsi="arial" w:cs="arial"/>
          <w:color w:val="000000"/>
          <w:sz w:val="20"/>
          <w:lang w:val="en-US" w:eastAsia="en-US" w:bidi="ar-SA"/>
        </w:rPr>
        <w:t xml:space="preserve"> at para. 93. Once again, counsel for Ms. Zheng did not make specific submissions on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Based on the evidence before me, however, I am not satisfied that Ms. Zheng has proven, on a balance of probabilities, that Y Holdings or Mr. Wang performed their contractual obligations dishonestly. Ms. Zheng's allegations of fraudulent misrepresentation and of poor construction or workmanship, and the evidence tendered to support such allegations, do not persuade me that there was dishonest contractual performance on the part of Y Holdings or Mr. Wang.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The claim for breach of honest performance is therefore dismissed.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3.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xml:space="preserve">  Ms. Zheng advanced a claim for abuse of process. Like fraud, abuse of process is difficult to prove. In </w:t>
      </w:r>
      <w:r>
        <w:rPr>
          <w:rFonts w:ascii="arial" w:eastAsia="arial" w:hAnsi="arial" w:cs="arial"/>
          <w:i/>
          <w:color w:val="000000"/>
          <w:sz w:val="20"/>
          <w:lang w:val="en-US" w:eastAsia="en-US" w:bidi="ar-SA"/>
        </w:rPr>
        <w:t>311165 B.C. Ltd. v. Canada (Attorney General)</w:t>
      </w:r>
      <w:r>
        <w:rPr>
          <w:rFonts w:ascii="arial" w:eastAsia="arial" w:hAnsi="arial" w:cs="arial"/>
          <w:color w:val="000000"/>
          <w:sz w:val="20"/>
          <w:lang w:val="en-US" w:eastAsia="en-US" w:bidi="ar-SA"/>
        </w:rPr>
        <w:t xml:space="preserve">, </w:t>
      </w:r>
      <w:hyperlink r:id="rId362" w:history="1">
        <w:r>
          <w:rPr>
            <w:rFonts w:ascii="arial" w:eastAsia="arial" w:hAnsi="arial" w:cs="arial"/>
            <w:i/>
            <w:color w:val="0077CC"/>
            <w:sz w:val="20"/>
            <w:u w:val="single"/>
            <w:shd w:val="clear" w:color="auto" w:fill="FFFFFF"/>
            <w:lang w:val="en-US" w:eastAsia="en-US" w:bidi="ar-SA"/>
          </w:rPr>
          <w:t>2017 BCCA 196</w:t>
        </w:r>
      </w:hyperlink>
      <w:r>
        <w:rPr>
          <w:rFonts w:ascii="arial" w:eastAsia="arial" w:hAnsi="arial" w:cs="arial"/>
          <w:color w:val="000000"/>
          <w:sz w:val="20"/>
          <w:lang w:val="en-US" w:eastAsia="en-US" w:bidi="ar-SA"/>
        </w:rPr>
        <w:t>, Mr. Justice Groberman considered the tort of abuse of process at para. 59 and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[59] The elements of the tort of abuse of process are less well defined in British Columbia. In </w:t>
      </w:r>
      <w:r>
        <w:rPr>
          <w:rFonts w:ascii="arial" w:eastAsia="arial" w:hAnsi="arial" w:cs="arial"/>
          <w:i/>
          <w:color w:val="000000"/>
          <w:sz w:val="20"/>
          <w:lang w:val="en-US" w:eastAsia="en-US" w:bidi="ar-SA"/>
        </w:rPr>
        <w:t>Smith v. Rusk</w:t>
      </w:r>
      <w:r>
        <w:rPr>
          <w:rFonts w:ascii="arial" w:eastAsia="arial" w:hAnsi="arial" w:cs="arial"/>
          <w:color w:val="000000"/>
          <w:sz w:val="20"/>
          <w:lang w:val="en-US" w:eastAsia="en-US" w:bidi="ar-SA"/>
        </w:rPr>
        <w:t>, this Court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The elements of the tort of abuse of process were described by Professor Fleming in </w:t>
      </w:r>
      <w:r>
        <w:rPr>
          <w:rFonts w:ascii="arial" w:eastAsia="arial" w:hAnsi="arial" w:cs="arial"/>
          <w:i/>
          <w:color w:val="000000"/>
          <w:sz w:val="20"/>
          <w:lang w:val="en-US" w:eastAsia="en-US" w:bidi="ar-SA"/>
        </w:rPr>
        <w:t>The Law of Torts</w:t>
      </w:r>
      <w:r>
        <w:rPr>
          <w:rFonts w:ascii="arial" w:eastAsia="arial" w:hAnsi="arial" w:cs="arial"/>
          <w:color w:val="000000"/>
          <w:sz w:val="20"/>
          <w:lang w:val="en-US" w:eastAsia="en-US" w:bidi="ar-SA"/>
        </w:rPr>
        <w:t>, 4th ed. (Sydney: Law Book Co., 1971) at 548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essential elements of abuse of process are: first, a collateral and improper purpose, such as extortion, and secondly, a definite act or threat, in furtherance of a purpose not legitimate in the use of the process. Some such overt conduct is essential, because there is clearly no liability when the defendant merely employs regular legal process to its proper conclusion, albeit with bad intentions.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Oei v. Concord Pacific Acquisitions</w:t>
      </w:r>
      <w:r>
        <w:rPr>
          <w:rFonts w:ascii="arial" w:eastAsia="arial" w:hAnsi="arial" w:cs="arial"/>
          <w:color w:val="000000"/>
          <w:sz w:val="20"/>
          <w:lang w:val="en-US" w:eastAsia="en-US" w:bidi="ar-SA"/>
        </w:rPr>
        <w:t xml:space="preserve">, </w:t>
      </w:r>
      <w:hyperlink r:id="rId363" w:history="1">
        <w:r>
          <w:rPr>
            <w:rFonts w:ascii="arial" w:eastAsia="arial" w:hAnsi="arial" w:cs="arial"/>
            <w:i/>
            <w:color w:val="0077CC"/>
            <w:sz w:val="20"/>
            <w:u w:val="single"/>
            <w:shd w:val="clear" w:color="auto" w:fill="FFFFFF"/>
            <w:lang w:val="en-US" w:eastAsia="en-US" w:bidi="ar-SA"/>
          </w:rPr>
          <w:t>2018 BCSC 1346</w:t>
        </w:r>
      </w:hyperlink>
      <w:r>
        <w:rPr>
          <w:rFonts w:ascii="arial" w:eastAsia="arial" w:hAnsi="arial" w:cs="arial"/>
          <w:color w:val="000000"/>
          <w:sz w:val="20"/>
          <w:lang w:val="en-US" w:eastAsia="en-US" w:bidi="ar-SA"/>
        </w:rPr>
        <w:t xml:space="preserve"> at para.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Again, counsel for Ms. Zheng did not argue abuse of process at trial. Further, I am not satisfied, with regard to all of the evidence, that Y Holdings and Mr. Wang brought this legal process with a collateral and improper purpose. In fact, I have found that their claim had merit.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This claim too must be dismissed.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4.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xml:space="preserve">  Finally, Ms. Zheng made a claim for punitive damages relating to,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the fraudulent misrepresentation, deceit, and abuse of process claims. Punitive damages address the purposes of retribution, deterrence and denunciation and require that the impugned conduct of the defendant "depart markedly from ordinary standards of decency", such as malicious, oppressive or high-handed conduct that offends the court's sense of decency: </w:t>
      </w:r>
      <w:r>
        <w:rPr>
          <w:rFonts w:ascii="arial" w:eastAsia="arial" w:hAnsi="arial" w:cs="arial"/>
          <w:i/>
          <w:color w:val="000000"/>
          <w:sz w:val="20"/>
          <w:lang w:val="en-US" w:eastAsia="en-US" w:bidi="ar-SA"/>
        </w:rPr>
        <w:t>Fidler v. Sun Life Assurance Co. of Canada</w:t>
      </w:r>
      <w:r>
        <w:rPr>
          <w:rFonts w:ascii="arial" w:eastAsia="arial" w:hAnsi="arial" w:cs="arial"/>
          <w:color w:val="000000"/>
          <w:sz w:val="20"/>
          <w:lang w:val="en-US" w:eastAsia="en-US" w:bidi="ar-SA"/>
        </w:rPr>
        <w:t xml:space="preserve">, </w:t>
      </w:r>
      <w:hyperlink r:id="rId364" w:history="1">
        <w:r>
          <w:rPr>
            <w:rFonts w:ascii="arial" w:eastAsia="arial" w:hAnsi="arial" w:cs="arial"/>
            <w:i/>
            <w:color w:val="0077CC"/>
            <w:sz w:val="20"/>
            <w:u w:val="single"/>
            <w:shd w:val="clear" w:color="auto" w:fill="FFFFFF"/>
            <w:lang w:val="en-US" w:eastAsia="en-US" w:bidi="ar-SA"/>
          </w:rPr>
          <w:t>2006 SCC 30</w:t>
        </w:r>
      </w:hyperlink>
      <w:r>
        <w:rPr>
          <w:rFonts w:ascii="arial" w:eastAsia="arial" w:hAnsi="arial" w:cs="arial"/>
          <w:color w:val="000000"/>
          <w:sz w:val="20"/>
          <w:lang w:val="en-US" w:eastAsia="en-US" w:bidi="ar-SA"/>
        </w:rPr>
        <w:t xml:space="preserve"> at paras. 61-62. It goes without saying that punitive damages will be appropriate only in exceptional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In this case, I have dismissed Ms. Zheng's claims for fraudulent misrepresentation, deceit, and abuse of process. I have found that there was no conduct on the part of Y Holdings nor Mr. Wang that would constitute malicious, oppressive or high-handed behaviour.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I would not award punitive damages to Ms. Zheng.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H.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xml:space="preserve">  Due to Ms. Zheng's breach of contract, Y Holdings is entitled to the contract price of $753,410 plus tax less the cost to the builder of completing the work: </w:t>
      </w:r>
      <w:r>
        <w:rPr>
          <w:rFonts w:ascii="arial" w:eastAsia="arial" w:hAnsi="arial" w:cs="arial"/>
          <w:i/>
          <w:color w:val="000000"/>
          <w:sz w:val="20"/>
          <w:lang w:val="en-US" w:eastAsia="en-US" w:bidi="ar-SA"/>
        </w:rPr>
        <w:t>McGregor on Damages</w:t>
      </w:r>
      <w:r>
        <w:rPr>
          <w:rFonts w:ascii="arial" w:eastAsia="arial" w:hAnsi="arial" w:cs="arial"/>
          <w:color w:val="000000"/>
          <w:sz w:val="20"/>
          <w:lang w:val="en-US" w:eastAsia="en-US" w:bidi="ar-SA"/>
        </w:rPr>
        <w:t>, 20th ed. (London: Sweet &amp; Maxwell, 2018) at 31-022. This would mean payment of Milestone 4 (Invoice #2016-1002), the cost of the extra work or changes requested by Ms. Zheng, and the lost profit and overhead that would have been payable to Y Holdings from completion of the last three stages of the construction project.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1. Is Y Holdings entitled to an amount for lost profit?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Counsel for Y Holdings submits that profit was incorporated into each item of the Project Budget. Mr. Wang testified that each item in the Project Budget included 10% to 20% for profit with some variance as to where these amounts are allocated. Y Holdings takes the position that a 10% figure for profit on the remainder of the contract milestones is a fair assessment of lost profit for the project. This amount is lower than the profit figures provided by Mr. Stregger and Mr. Spender.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It was the submission of counsel for Y Holdings that the "Project Management Fee" of $48,000 in the Project Budget was the amount for overhead costs only. Subtracting that amount from the contract price and taking 10% of that amount would result in a total profit of $70,541.00 for the entire construction of the New House. Having completed up to Milestone 4, Y Holdings calculated the remaining profit owing to be $23,983.94.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I am satisfied that the Project Management Fee contemplated overhead costs rather than both profit and overhead for substantially the reasons advanced by counsel for Y Holdings. Although counsel for Ms. Zheng argued that this fee was for profit and overhead, Ms. Zheng had testified at trial that the subject of profit was not discussed between the parties. Furthermore, $48,000 for overhead and profit would mean a profit and overhead costs for Y Holdings of 7% for the entire project. Ms. Zheng's own expert considered 15% to be the common figure for a single family home. I am not persuaded that the parties intended this to be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Although frankly it is a close call, I am satisfied that the Project Management Fee contemplated overhead costs only. I am also satisfied that Mr. Wang had contemplated a profit for each item within the Project Budget, consistent with a fixed-price contract. This is also consistent with Ms. Zheng's own testimony that profit was not the subject of specific discussion by the parties. I find that the contract price of $753,410 plus tax was to be the full price of the project, including profit and overhead, with extra work and changes to be paid for on top of that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In the result, I find that Y Holdings is entitled to $23,983.94 for profit lost from the remainder of the Building Contract.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2. What is the value of the unpaid work arising from extras or changes requested by Ms. Zheng?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xml:space="preserve">  Y Holdings asserts that there were numerous invoices for extra work or changes that went unpaid by Ms. Zheng. These included the removal of the beam (Invoice #2016-901), changes to bathroom framing and plumbing from a one-person to a two-person bath (Invoice #2016-1103), miscellaneous extra work that included,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redesign and air conditioning removal (Invoice #2016-1104), and the fence installation (Invoice #2016-1202). These unpaid invoices total $31,368.75.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In respect of Invoice #2016-901, Y Holdings asserts that the removal of a beam requested by Ms. Zheng was a change that should be borne by her. Under the Building Contract, Y Holdings contracted to follow the City-approved structural drawings which, in this case, included the beam. After its construction, Ms. Zheng requested that the beam be removed. This was properly a change that should be borne by Ms. Zheng.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Counsel for Ms. Zheng argued that the original design drawings that she reviewed with Bouthouse did not include such a beam. The final, City-approved drawings did include the beam. Counsel take the position that Ms. Zheng could not have reasonably been expected to review or understand the final City-approved drawings and to notice the existence of the beam. Further, counsel takes the position that it was Bouthouse's responsibility to review the drawings with Ms. Zheng and, as a member of the Yongfeng Group, Bouthouse and its errors should be the responsibility of Y Holdings and Mr. Wang.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I am not persuaded by this argument. As I said earlier, Bouthouse is a separate corporate entity from Y Holdings. It was not the responsibility of Y Holdings or Mr. Wang to review those drawings with her. Indeed, it was their contractual obligation to build the New House in accordance with the City-approved drawings which, in this case, included the beam. Furthermore, I do not accept that the owner of a construction project, being Ms. Zheng in this case, has no responsibility to review the design drawings and to ask questions where they arise.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I would allow the full cost of this invoice in the amount of $8,982.75.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In respect of Invoice #2016-1103, Y Holdings asserts that Ms. Zheng requested the bathtubs be changed from one-person to two-person baths. I am satisfied that such a change was, on a balance of probabilities, a change requested by Ms. Zheng and I would allow the full cost of $2,100 to effect that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Invoice #2016-1202 pertained to landscaping work that was performed by Y Holdings relating to the construction of the fence, such as the cost of the materials, freight, labour, and the rental and pick-up of equipment. Although the construction of a wooden fence was contemplated in the Building Contract, it was not included in the Project Budget. The construction of the wooden fence, I find, properly falls under landscaping as extra work that the parties contemplated upon execution of the Building Contract. I therefore consider that the cost of the construction of the fence, even if temporary, was extra work the cost of which should be borne by Ms. Zheng.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I would allow the $10,972.50 amount representing the full value of the invoice. The alleged deficiencies relating to the wooden fence is a matter I address later in the assessment of the cost to correct deficiencies in Y Holdings'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Finally, there were numerous items listed in Invoice #2016-1104 that purported to be extra work or changes requested by Ms. Zheng. I will address each of them in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First, Ms. Zheng argues that the switch from Kohler to Delta bathroom fixtures were necessitated by a design error that rendered the chosen, triangular Kohler bathtub to be unfit. She argued that Mr. Wang and Y Holdings should be held liable for the design errors of Bouthouse. For my earlier reasons, I decline to pierce the corporate veil to make them liable for this change and find that this was a valid extra cost to be paid by Ms. Zheng.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There was also the matter of the front door frame. The evidence on this matter was unclear. Ms. Zheng contracted for a front door that measured eight feet but Y Holdings installed a front door that measured only six feet. This would appear to be a proper cost falling within the Project Budget rather than extra work or changes; however, counsel for Ms. Zheng, in their written submissions, asserted that Y Holdings never re-framed the front door opening and that the six foot door remains. Yet, there is a cost for door framing in this invoice. Counsel for Y Holdings, in their written submissions, did not specifically address this issue. The burden is on the plaintiff to prove the appropriateness of these extra costs; I am not satisfied on the evidence before me that this burden has been met and disallow the cost associated with the door frame.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I agree with Ms. Zheng's submission that she should not bear the cost of removing the air conditioning unit that was, in my view, improperly installed in her daughter's bedroom closet, which I return to later in these reasons. I would disallow this cost. Similarly, I would not allow the cost of installing and removing the exhaust fan. Although this was an extra that was requested by Ms. Zheng, the installation of the exhaust fan by Y Holdings was deficient and thereafter had to be removed by them. I therefore consider Ms. Zheng should not bear the labour costs for the installation and removal of the fan. She should, however, bear the cost of the exhaust fan unit. Finally, I agree with Ms. Zheng's submission about the steamer change. As this was not a change that was requested by Ms. Zheng, but a change made by Y Holdings' personnel as a matter of apparent necessity, I would not allow this cost.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The parties disagree about the relocation of certain light switches and electrical outlets that were installed in locations contrary to Ms. Zheng's instructions. I find that it was the responsibility of Y Holdings, as the primary contractor, to seek direction from Ms. Zheng on this issue and properly find that this was not a change that should be borne by Ms. Zheng. I would disallow this cost of the invoice.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I assess the value of extra work and changes allowable for Invoice #2016-1104 to be $3,380. After GST, the total is $3,549.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The total of unpaid extra work and changes to be paid by Ms. Zheng is $25,604.25.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3. What is the cost of correcting the deficiencies?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Having found that Ms. Zheng breached the Building Contract by refusing to pay for the substantial completion of Milestone 4 and that she wrongfully terminated the Building Contract, I find that Ms. Zheng has failed to prove a breach of contract by Y Holdings sufficient to constitute repudiation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I do, however, consider that some of Ms. Zheng's deficiency claims have merit and should be set-off against the amount to be paid to Y Holdings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Both parties tendered expert evidence as to the actual value of completed work done by Y Holdings. Mr. Spender, the expert for Y Holdings, estimated a value of $527,876. Mr. Stregger, the expert for Ms. Zheng, estimated the completed work to have a value of $249,037. After several visits to the construction site, Mr. Stregger completed his initial report on August 28, 2017 and set out the deficiencies and their cost of correction. Mr. Spender completed a response report dated January 30, 2018. Mr. Stregger replied in a second report dated February 11,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Both parties raise issues with respect to the other's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Along with their expert reports, I was able to assess the evidence of both Mr. Spender and Mr. Stregger during the trial of this matter. Both experts were qualified as professional quantity surveyors and gave opinion evidence regarding the value of the work on the New House, any deficiencies in the construction of the New House, and the cost to correct those deficiencies.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I make several general findings at the outset.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I find Mr. Spender's evidence to suffer from some limitations. His methodology was based on his company's cost database and, in particular, four construction projects on which his company had previously worked. I consider reference to such projects to be of limited assistance as they were not constructed or located in Richmond and were projects completed almost ten years ago. Mr. Spender also inspected the construction site on January 26, 2018, which was approximately one year after Mr. Stregger first inspected the construction site and after many listed deficiencies had been corrected. For that reason, Mr. Spender relied on photographs of the deficiencies and his experience of the correction of these types of deficiencies to render his opinion and report. Conversely, Mr. Stregger inspected the construction site on three occasions: January 5, January 31, and April 13,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I further find that, for several deficiencies, there were simpler, more efficient and cost-effective ways to correct such deficiencies than the methods proposed by Mr. Stregger. On cross-examination, Mr. Stregger often conceded that alternative methods of correction suggested by counsel for Y Holdings were possible. Indeed, some of the deficiencies were corrected by contractors hired by Ms. Zheng in different, cost-effective ways after Mr. Stregger completed his first report. This informed my assessment of the deficiencies.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In any event, with the exception of a handful of deficiencies identified by Mr. Stregger, Mr. Spender agreed with the list of deficiencies. The main differences between Mr. Spender and Mr. Stregger's opinions pertained to the number of hours it would take to correct these deficiencies and whether provision for miscellaneous costs was appropriate for such correction. Both experts provided helpful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In my assessment of the deficiencies, I propose to use the eight categories of deficiencies identified by Mr. Stregger and adopted by Mr. Spender. I intend to address the deficiencies that are the subject of significant difference between the experts and which I consider to be true deficiencies rather than work left merely incomplete due to Ms. Zheng's termination of the Building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xml:space="preserve">  I note, at the outset, that I find Mr. Spender's overhead and mark-up figure of 18% to be appropriate, accounting for the skill and care required to correct deficiencies. Both experts agree on the GST applicable. Furthermore, my assessment of the cost of correcting such deficiencies are informed by the following excerpt from </w:t>
      </w:r>
      <w:r>
        <w:rPr>
          <w:rFonts w:ascii="arial" w:eastAsia="arial" w:hAnsi="arial" w:cs="arial"/>
          <w:i/>
          <w:color w:val="000000"/>
          <w:sz w:val="20"/>
          <w:lang w:val="en-US" w:eastAsia="en-US" w:bidi="ar-SA"/>
        </w:rPr>
        <w:t>McGreger on Damages</w:t>
      </w:r>
      <w:r>
        <w:rPr>
          <w:rFonts w:ascii="arial" w:eastAsia="arial" w:hAnsi="arial" w:cs="arial"/>
          <w:color w:val="000000"/>
          <w:sz w:val="20"/>
          <w:lang w:val="en-US" w:eastAsia="en-US" w:bidi="ar-SA"/>
        </w:rPr>
        <w:t xml:space="preserve"> at 31-014: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however, the cost of remedying the defect is disproportionate to the end to be attained, the damages fall to be measured by the value of the building had it been built as required by the contract less its value as it stands...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Ruxley</w:t>
      </w:r>
      <w:r>
        <w:rPr>
          <w:rFonts w:ascii="arial" w:eastAsia="arial" w:hAnsi="arial" w:cs="arial"/>
          <w:color w:val="000000"/>
          <w:sz w:val="20"/>
          <w:lang w:val="en-US" w:eastAsia="en-US" w:bidi="ar-SA"/>
        </w:rPr>
        <w:t xml:space="preserve"> the claimant companies contracted to build a swimming pool for the defendant in his garden. While the pool contractually should have had a maximum depth of seven-and-a-half feet, its maximum depth as built was six-and-three-quarter feet and its depth where most would dive was only six feet. The defendant, sued for the contract price, counterclaimed for damages for breach of contract based on the cost, which was over GBP 20,000, of reconstructing the pool to the contractual specification. The trial judge found that the shortfall in depth neither was unsafe nor decreased the value of the pool. The House of Lords held that, since it was unreasonable for the defendant to insist on reinstatement because the expense of the work involved would be out of all proportion to the benefit to be obtained, he was confined to the difference in value, which here was nil, and that this was so whether or not he had an intention, given available damages, to reinstate...</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a. Fencing and Retaining Wall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I find the fence and retaining wall to be a true deficiency and not merely a matter left incomplete by reason of the termination of the contract. Conversely, I do not find the entirety of the wooden fence to be a true deficiency. Both Mr. Wang, Ms. Zheng and Ms. Qin testified that the fence was constructed following complaints made by the neighbours to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There was disagreement on whether this was to be a temporary fence. There was some testimony at trial that Ms. Zheng had wanted a fence made of stone. On the other hand, I note that the Building Contract contemplates a wooden fence and I am satisfied that Ms. Zheng wanted a wooden fence. However, I am not satisfied that the fence that was ultimately built by Y Holdings was meant to be in its final form. As I said, the construction of the fence commenced due to the complaints of neighbours and the subsequent direction of the City. Landscaping matters were contemplated in the Building Contract, but not included in the Project Budget. There was little evidence before me that the parties discussed the final landscaping plan. As was understood by the parties, landscaping matters were to be discussed, negotiated, and perhaps even budgeted following the execution of the Building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In light of this, I do not consider small problems with the fence identified by Mr. Stregger, such as some fence posts being too short on the east side, to be true deficiencies that would require removal and correction. Any problems with the fence could have been corrected by Y Holdings once landscaping plans and directions were finalized. I accept that the fence was not meant to be the final product. I do, however, find that the fence panels that had to be removed to correct the retaining wall were deficiencies requiring correction.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Mr. Stregger allocated 32 hours for the removal of the fence panels and 64 hours for the removal of the retaining wall for a total of $3,360.00. Reconstruction of the new retaining wall and fence was valued at $7,208.00. With miscellaneous fees, overhead and mark-up, and GST, Mr. Stregger opined that it would cost $14,701.68 to correct these deficiencies and explained that removal and re-use of the fence panels and re-installation of both the fence and the retaining wall required more skill and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Mr. Spender was of the view that the cost of correcting the fence and retaining wall would be $1,739.85, as it was his opinion that the entire fence and retaining wall did not need to be redone. He significantly reduced the hours to remove the fence panels and retaining wall and did not allocate any cost for miscellaneous materials, such as nails or screws.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I agree with Mr. Spender that the number of hours allocated by Mr. Stregger to remove and re-install the fence are disproportionately high. I also heard evidence, and accept, that the retaining wall existed on two sides of the house; I therefore find that there is no need to correct the fence panels that were not erected on the retaining wall as this was only intended to be a temporary fence. Conversely, I consider that the removal and re-installation of the retaining wall requires care and skill and therefore substantially accept Mr. Stregger's values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Having considered all the evidence, I assess the cost of correcting the fence and retaining wall to be $9,500. After GST, overhead and mark-up ("GOM"), I assess the total cost of correction for these deficiencies to be $11,770.50.</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b. Framing and Structure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The experts agree that there were numerous deficiencies with respect to the framing and structure of the New House. Mr. Stregger valued the cost of correcting this category of deficiencies at $27,552.19. Mr. Spender valued the cost of correction to be $11,735.56.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Both experts agree on the cost to correct the beam connection on the upper floor (deficiency 9.2.2) and the beam at the top of the stairs (deficiency 9.2.9), excepting differences in the value for overhead and mark-up. I assess the cost of these items at $582.75 and $260.40 respectively using Mr. Spender's 18% figure for overhead and mark-up.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I am not satisfied on a balance of probabilities that Y Holdings removed the window openers from the job site. Both parties deny that they were responsible for the missing window handles. There was little to no evidence to substantiate that claim. I therefore decline to consider this to be a proper cost to be borne by Y Holdings as a work deficiency.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I substantially agree with Mr. Stregger's valuation of correcting the post at the entry door (deficiency 9.2.1). The installation of temporary support prior to removal of the existing frame and beam and then the re-installation of the post requires great care as it supports the structure of the roof. I am persuaded that a contractor should err on the side of caution when the integrity of such a structure is at stake. I would not significantly reduce the number of hours allocated to such correction. Accounting for overhead and mark-up, I assess the cost of this item at $2,056.74.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There was significant difference between the experts about correcting the floor and wall plates following the removal of the air-conditioning duct work (deficiency 9.2.3). This work was corrected by the time Mr. Spender came to inspect the site. He opined, however, that the 64 hours allocated by Mr. Stregger for its correction was "extremely excessive". Mr. Spender did not address the deficiency or damage to the concrete floor, however, and I am satisfied that was not considered in his valuation. Having considered the evidence before me, I assess the cost of correcting this deficiency at $2,000. After GOM, the total cost of correcting these plates is $2,478.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The nailing of the shear wall was not in accordance with the structural drawing requirements (deficiency 9.2.4). Mr. Stregger provided a cost of $907.20 to complete the nailing in accordance with the structural requirements. Mr. Spender valued the cost of correction at $329.70, having reduced the hours allocated by over half and disallowing equipment costs. Although Mr. Stregger provided a breakdown of the hours allocated to complete the nailing of the shear wall, there was an erroneous allocation of cost for lunch breaks and a valid question as to whether this was a true deficiency or a matter left incomplete due to Ms. Zheng's termination of the Building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Mr. Stregger appeared to concede that he had assumed, based on what he may have heard from Ms. Zheng, that the framing of the house was allegedly completed by Y Holdings. He acknowledged that this was only a deficiency if Y Holdings alleged the entire framing of the house to be complete. There was no evidence in this regard. There was some indication that the framing of the house and the roof were "essentially", or almost, complete but there was no evidence brought to my attention that a definitive assertion was ever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I do not find the incomplete shear wall nailing to be a deficiency.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The east and west walls exceeded allowable unprotected openings due to reliance on drawings which were mistakenly thought to have been City-approved drawings (deficiency 9.2.5). Mr. Stregger's valuation was based on reducing the size of the east wall window, removing the windows and filling in part of the walls to eliminate some of the unprotected openings. The cost of such correction was valued at $10,281.37. Mr. Spender reduced the hours allocated to removing the windows and re-framing the openings but increased the cost allocation for the installation of the new windows. Mr. Spender's cost of correction was $7,424.73.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Mr. Stregger provided a breakdown of the hours allocated to correct this deficiency, including the need to erect, remove, and dismantle scaffolding required to remove the windows, in-fill the openings, and install the windows. Although there was some evidence from Mr. Spender that scaffolding was not required, I substantially accept Mr. Stregger's evidence in this regard. I would adjust the hours allocated to remove equipment or set up the ladders and to in-fill the windows. I also agree with the counsel for Y Holdings that Mr. Stregger erroneously allocated the cost of both the initial window #23 and the replacement window #23 and I therefore deduct the cost of the initial window. I assess the cost of correction to be $6,200 for a total of $7,681.80 after GOM.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The cost for the missing window handles was listed as a deficiency by Mr. Stregger in his report (deficiency 9.2.6). In light of my findings on conversion, I am not satisfied that Y Holdings or Mr. Wang took those window handles and I am not satisfied that this is properly a deficiency. I decline to allocate costs to replace the window handles.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The experts disagree on whether framing for mechanical duct work is a deficiency (deficiency 9.2.7). Mr. Spender took the position that no other work was necessary but based this opinion on the fact that the duct work was insulated in the attic and on an interior wall with insulation behind it. Mr. Stregger stated the duct work was on the external wall and that the bedroom wall should be fully insulated. I was not provided with any other evidence on this matter. I am not satisfied by either expert on this issue but, importantly, I am not satisfied by the evidence of Mr. Stregger that this was a matter requiring correction. As I have said, Y Holdings never alleged that the framing of the entire house was complete. I am not persuaded that this is properly a deficiency requiring correction.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The experts appear to agree that the garage post requires correction (deficiency 9.2.8). Mr. Stregger observed that the cripples supporting the garage post required support and valued the cost of correction at $1,294.65. It was Mr. Spender's opinion that an adjoining post, and not the cripples, were supporting the beam and he therefore did not agree with the allocation of materials and labour. Mr. Spender's cost of correction is $554.45. On cross-examination, however, Mr. Spender conceded that he could not exactly disagree with Mr. Stregger because he viewed the post after-the-fact. He agreed that if the post was not connected to the foundation, it was a deficiency.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I was satisfied with Mr. Stregger's explanation of this deficiency and I am satisfied that the beam above the cripples was not supporting the adjacent beam. I accept his cost of correction. After GOM, the cost of this correction is $1,273.07.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Much was made at trial of the shower valve and the wall between the shower and sauna (deficiency 9.2.10). Although Mr. Stregger framed the placement of the shower valve as a preference of the owner, I find this to be a proper deficiency as a matter of common sense. With respect to the wall between the shower and the sauna, I find that an adjustment to the hours allocated to correcting this deficiency is appropriate following elaboration by Mr. Stregger on the process of correcting the deficiency at trial, including the possibility of moving the pot lights along the track rather than removing and relocating it. I find the total cost of correcting this deficiency, after GOM, to be $737.21.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There were significant differences between the experts regarding the cost of correcting the concrete posts supporting the rear deck which were constructed, sometimes significantly, off-centre (deficiency 9.2.11). Mr. Stregger initially opined the cost of correcting the structure would cost $3,515.40 to support the upper deck, remove the posts and reform the concrete upstands before re-installing the posts and removing the temporary supports.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This work was corrected at the time Mr. Spender inspected the site and was done in a manner that did not require the temporary support and removal of the posts. Mr. Spender's cost of correction was $217.35. In light of this correction, Mr. Stregger amended his valuation to $420 plus GST for the cost of correcting two posts. It was highlighted at trial, and I agree, that this was an instance in which Mr. Stregger's suggested method of correction far exceeded more efficient and simpler corrective measures available, and in this case ultimately taken. I would reduce Mr. Stregger's figure to dispense with the additional cost of the ladder, among other things, and re-assess the cost of correction for this deficiency at $400 total.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The total cost for correcting this category of deficiencies is $15,469.97.</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c. Roofing and Gutters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The experts agree that the roofing and gutters of the New House were deficient but diverge significantly on the cost. I note that the cost of installing the roof and gutters was estimated to be $14,000.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Mr. Stregger observed the ridge caps were not properly aligned and that the built-in gutter construction was "generally below industry standards". As such, it was his opinion that the ridge caps should be removed and reset, that all lower tiles and existing gutter material should be removed, and that correct end caps and tile at the rear deck needed to be supplied and installed. He valued the cost of correction to be $22,390.22.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The roofing was incomplete at the time of Mr. Spender's inspection of the site. Mr. Spender sought to rely on the hearsay evidence of an unidentified roofing inspector on the property at the time of his inspection and his statement that "gutters do not need to be totally removed and rebuilt...". Mr. Spender valued the cost of correction to be $1,127.70.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It was Mr. Spender's opinion that the roof was merely incomplete. On cross-examination, Mr. Stregger appeared to agree, in response to questions regarding the absence of flashing and his concession on the installation of the tiles. Mr. Spender agreed that there were ridge caps that were not perfectly aligned, but opined that the roofer could rectify this. He said, further, that it was not necessary for all of the ridge caps to be aligned properly to have a functional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I find that parts of this roof were merely incomplete. I also find, however, that there were parts of this roof that were properly deficient, such as some of the ridge capping. This is another instance in which I consider Mr. Stregger's suggested method of correction to be unnecessarily complicated and expensive. Although the ridge caps were not all aligned, I do not find that it is necessary to remove and replace all of them. I am also not satisfied that the entire gutter would need to be removed and replaced. I am satisfied that the installation of the tile roofing was not a deficiency, but merely incomplete. I allocate some costs to correct the built-in gutter.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Having considered all the evidence, I assess the cost of correcting the roof and gutters to be $12,700 for a total cost of correction of $15,735.30.</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d. Plumbing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The experts agree that there were numerous deficiencies with respect to the plumbing of the New House. Mr. Stregger valued the cost of correcting this category of deficiencies at $12,729.78. Mr. Spender valued the cost of correction to be $1,924.69.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Both experts agreed on the cost of correcting the vent piping (deficiency 9.4.1), washing machine drainage (deficiency 9.4.3) and plumbing, strapping to water pipes (deficiency 9.4.4), and shower valve controls (deficiency 9.4.8), excepting differences in the value for overhead and mark-up. I assess the cost of these items at $86.73, $133.81, $514.50, and $359.10 respectively for a total of $1,094.14.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The experts disagree on whether the rough-in for the bathtubs is a deficiency requiring correction (deficiency 9.4.2). Mr. Stregger was not aware that the design of the bathtubs had been changed and he assumed the rough-in for the plumbing was complete due to comments made by Ms. Zheng. He valued the cost of correction to be $1,071. Mr. Spender opined that this was an item of work that had not yet been carried out due to instructions given by the owner about the bathtub changes. Although he agreed that a wet test should be done to ensure there was no leak in the system before insulation, he opined that the testing could be done "as you go" and that this varied by contractor.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I am not persuaded that the bathtub rough-in is a deficiency requiring correction. Y Holdings passed rough-in inspection for plumbing and a further inspection requested by Ms. Zheng. I am satisfied that this does not necessitate that all of the plumbing of the entire house be completed. Indeed, there was evidence in Ms. Zheng's correspondence that she was made aware of this fact after she requested an additional inspection. Having assessed the evidence before me, I am not satisfied that this constitutes a deficiency. I decline to allocate a cost for correction.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I agree with Mr. Spender that exterior faucets (deficiency 9.4.6) were not contemplated in the designs and are not a code requirement. As such, they constitute an extra to be requested and paid for by Ms. Zheng. Mr. Stregger testified that these exterior faucets would normally be provided for landscape maintenance. I consider that the exterior faucets may have been an extra work item to be contemplated in a separate budget with the other landscaping work items. I find that they are an extra to be installed at the request of the owner, not a deficiency to be corrected.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The experts disagree on whether the shower rough-ins are considered a deficiency (deficiency 9.4.5). Although I have considered the cross-examination of Mr. Stregger on this issue and the issue raised by counsel about Mr. Stregger's assumption of the fixture, I am satisfied that shower rough-ins require correction and substantially accept Mr. Stregger's values in this regard. I assess the cost of this correction, after GOM, to be $1,338.12.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There is disagreement on whether the shower trays are deficient (deficiency 9.4.7). Mr. Stregger opined that the shower trays were not sloped and suggested removing the existing shower floor pans and drains, to slope the floor, and to re-install the liner and drain. Mr. Spender opined that the slope could be achieved with grout and that this was not a deficiency requiring correction. At trial, Mr. Stregger conceded that the use of grout to create the slope was an alternative, but not a good alternative, because it did not last long. Mr. Spender gave evidence that such sloping lasted years and that, in his opinion, it would not later cause the tile to lift.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Having considered the evidence, I do not find this to be a deficiency requiring correction and decline to allocate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I assess the total cost of correction for this category of deficiencies to be $4,864.52.</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e. HRV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Again, the experts disagree on whether the HRV system should be classified as a deficiency requiring correction. Upon inspection of the system, Mr. Stregger made observations regarding the incomplete duct work and the lack of insulation for the lines in the attic. Mechanical rough-in was allegedly completed by Y Holdings; however, at the time of inspection, "the HRV system had been dismantled". Since it was "incomplete" at the time of inspection, Mr. Stregger valued the cost of completion to be $7,281.54.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By the time Mr. Spender inspected the HRV system, it had already been completed. It was Mr. Spender's opinion, however, that this was not a deficiency but "work [to be] carried out in the normal process of the contract had work carried on". He therefore allocated $0 for this category.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Mr. Stregger was cross-examined on his evidence. Under cross-examination, it was unclear whether he believed the work on the HRV system to be substantially complete or incomplete. Furthermore, I find that the insulation of the HRV system did not need to be completed at this stage. Mr. Stregger had included insulation in his calculation of correcting this deficiency but did not separate the costs of completing the insulation from the rest of the alleged deficiencies with the HRV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Having considered all the evidence, I do not find the incomplete duct work and lack of insulation to be a deficiency of the New House requiring correction.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f. Hot Water Heating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The experts also disagree on whether the hot water heating system should be classified as a deficiency requiring correction. Upon inspection of this system, Mr. Stregger observed damage to the in-slab heating and that the piping was incomplete. He valued the cost of correcting the piping and installation to be $1,701.00. Since the floor heating lines were not labelled by the plaintiff's contractors, a new contractor would have to pressure test each line and identify appropriate zoning locations. On cross-examination, he was unable to explain why he believed the concrete was shifted to fix the crack in the pipe and conceded that it was possible that the pipe cracked because the concrete had been shifted. He was also unable to say with certainty that the concrete had been shifted by contractors working for Y Holdings.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Again, these issues were corrected by the time Mr. Spender inspected the construction site in January 2018. Mr. Spender considered that he was unable to comment on the validity of this deficient work and therefore allocated no cost of correction. He opined, however, that Mr. Stregger's allocation of 16 hours to test the lines was excessive but he did not provide a reasonable estimate or any detailed opinion on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I find the hot water heating to be a deficiency of the New House requiring correction and accept Mr. Stregger's subtotal value of $1,350.00. After GST, overhead and mark-up, I assess the total cost of correction for these deficiencies to be $1,672.65.</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g. Electrical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The experts agree that there were numerous deficiencies with respect to the electrical components of the New House. Mr. Stregger valued the cost of correction to be $7,455.42. Mr. Spender valued the cost of correction to be $3,051.30.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Both experts agreed on the cost of correcting the vapour barrier behind the ceiling boxes (deficiency 9.7.3), the gang boxes in the living room (deficiency 9.7.6), family room (deficiency 9.7.7), and ensuite (deficiency 9.7.8), excepting differences in the value for overhead and mark-up. I assess the cost of these items at $93.45, $160.65, $160.65 and $0 respectively, for a total of $414.75.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In respect of the electrical wiring (deficiency 9.7.1), Mr. Stregger raised issues with respect to the staples used to pin the cables that risked damaging the wiring, the electrical boxes for the oven and dryer, and the manner in which the wiring was done. He valued the cost of correction to be $1,741.32. At trial, he said the wiring for the electrical boxes may have been incomplete rather than a deficiency.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Mr. Spender said he did not think the staples were the wrong size or that the cables looked pinched and subject to future damage as a result. Nonetheless, he valued the cost of correction to be $910.35 which excluded the cost of the electrical box wiring.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I find that the wiring to the electrical boxes were incomplete work rather than a deficiency and decline to allocate correction costs. I agree with Mr. Spender that the hours allocated by Mr. Stregger are excessive for removing and replacing the staples, particularly where it is clear those cables are not pinched. Having assessed the evidence, I assess the cost of correction to be $1,034.57 after GOM.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The experts agreed that the pot lights were deficient but disagreed on the cost of correcting such deficiency (deficiency 9.7.2). Mr. Stregger opined that the cost of aligning the pot lights would cost $3,717.00 while Mr. Spender valued it at $1,294.65. Mr. Stregger opined that all 84 pot lights would have to be adjusted; Mr. Spender said this was not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I agree with Mr. Spender that it is a matter of common sense that not all of the 84 pot lights would have to be moved. Indeed, Mr. Stregger conceded this point. He testified, however, that the proper construction would be to install the pot lights properly at the outset. This goes without saying. I find that the pot lights are properly a deficiency requiring correction; however, I am not satisfied that all of them had to be realigned and that some of them would have been adjusted in the proper course of construction. On this basis, I adjust Mr. Stregger's value and assess the cost to correct the pot lights to be $2,700.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Mr. Stregger observed that a four gang switch box at the top of the stairs had wiring that was spliced and carried into a second box (deficiency 9.7.4). He opined the cost of fixing the switch lines to be $642.60. I agree with Mr. Spender that the costs allocated to correct this deficiency is disproportionate. I would reduce the labour and materials to $350 and would assess the total cost to correct this deficiency at $433.65.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Mr. Stregger observed 110 V and low voltage wiring in the same electrical box for the front door (deficiency 9.7.5) and opined the cost of separating such wiring with appropriate gang boxes to be $264.60. Mr. Spender reduced allocation for materials by $50. I would allow Mr. Stregger's subtotal of correcting this deficiency. With GST, overhead and mark-up, final assessment for this deficiency is $260.40.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The experts disagreed on whether the laundry room electrical boxes were a deficiency requiring correction (deficiency 9.7.9). Mr. Stregger observed two electrical boxes mounted next to a door in the laundry room which has since been deleted. He opined that the deletion was caused by the framing completed by Y Holdings. As such, he proposed to remove the electrical boxes and reset them next to the garage door for a cost of $7,455.42. Mr. Spender allocated no cost as he considered this to be a change in design and pointed out that the door was deleted on the original plans.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I was unsatisfied by the evidence on this issue as it was unclear why the door was deleted. I therefore decline to find this to be a deficiency requiring correction.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Having considered all the evidence, I assess the cost of correcting the electrical deficiencies of the New House to be $4,843.37.</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h. Built-in Vacuum Rough-In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The experts agree that there were some deficiencies with respect to the built-in vacuum rough-in. Mr. Stregger's initial opinion was that the vacuum runs were "far longer than recommended and or needed" and that there were "two outlets within 9 feet of each other" in the second floor hallway, correction of which would cost $1,045.80. Upon further review, however, he agreed with Mr. Spender's valuation of $384.30 except he continued to assert the 20% value for overhead and mark-up.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As I noted earlier, I accept the 18% figure for overhead and mark-up and therefore assess the cost of correcting this deficiency to be $384.30.</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i. Total Cost of Correction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I assess the total cost of correcting these deficiencies to be $54,740.61.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V. </w:t>
      </w:r>
      <w:r>
        <w:rPr>
          <w:rFonts w:ascii="arial" w:eastAsia="arial" w:hAnsi="arial" w:cs="arial"/>
          <w:b/>
          <w:color w:val="000000"/>
          <w:sz w:val="20"/>
          <w:u w:val="single"/>
          <w:lang w:val="en-US" w:eastAsia="en-US" w:bidi="ar-SA"/>
        </w:rPr>
        <w:t>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Y Holdings was the plaintiff in this action and sought payment for Milestone 4, extra work and changes made by Ms. Zheng, and for lost profit. Y Holdings is entitled to $153,063.68 pursuant to the following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750"/>
        <w:gridCol w:w="366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Milestone 4</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$158,216.10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Extra Work and Changes</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$ 25,604.25</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Lost Profit</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$ 23,983.94</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$207,804.29</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Cost of correcting deficiencies</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xml:space="preserve">- </w:t>
            </w:r>
            <w:r>
              <w:rPr>
                <w:rFonts w:ascii="arial" w:eastAsia="arial" w:hAnsi="arial" w:cs="arial"/>
                <w:color w:val="000000"/>
                <w:sz w:val="18"/>
                <w:u w:val="single"/>
                <w:lang w:val="en-US" w:eastAsia="en-US" w:bidi="ar-SA"/>
              </w:rPr>
              <w:t>$ 54,740.61</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63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Total</w:t>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$153,063.68</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xml:space="preserve">  I also order interest on this award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xml:space="preserve">  In respect of the counterclaim filed by Ms. Zheng, I declare the lien extinguished under s. 22 of the </w:t>
      </w:r>
      <w:r>
        <w:rPr>
          <w:rFonts w:ascii="arial" w:eastAsia="arial" w:hAnsi="arial" w:cs="arial"/>
          <w:i/>
          <w:color w:val="000000"/>
          <w:sz w:val="20"/>
          <w:lang w:val="en-US" w:eastAsia="en-US" w:bidi="ar-SA"/>
        </w:rPr>
        <w:t>BLA</w:t>
      </w:r>
      <w:r>
        <w:rPr>
          <w:rFonts w:ascii="arial" w:eastAsia="arial" w:hAnsi="arial" w:cs="arial"/>
          <w:color w:val="000000"/>
          <w:sz w:val="20"/>
          <w:lang w:val="en-US" w:eastAsia="en-US" w:bidi="ar-SA"/>
        </w:rPr>
        <w:t xml:space="preserve"> and cancel it pursuant to s. 25(1)(a) of the </w:t>
      </w:r>
      <w:r>
        <w:rPr>
          <w:rFonts w:ascii="arial" w:eastAsia="arial" w:hAnsi="arial" w:cs="arial"/>
          <w:i/>
          <w:color w:val="000000"/>
          <w:sz w:val="20"/>
          <w:lang w:val="en-US" w:eastAsia="en-US" w:bidi="ar-SA"/>
        </w:rPr>
        <w:t>BLA</w:t>
      </w:r>
      <w:r>
        <w:rPr>
          <w:rFonts w:ascii="arial" w:eastAsia="arial" w:hAnsi="arial" w:cs="arial"/>
          <w:color w:val="000000"/>
          <w:sz w:val="20"/>
          <w:lang w:val="en-US" w:eastAsia="en-US" w:bidi="ar-SA"/>
        </w:rPr>
        <w:t xml:space="preserve">. I would dismiss Ms. Zheng's claims of fraudulent misrepresentation relating to the Pre-Contractual Misrepresentations and Construction Cost Misrepresentations. I similarly dismiss Ms. Zheng's claims for conversion, trespass,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duty of honest performance, and abuse of process. Still further, I dismiss the request for this Court to pierce the corporate veil to impose liability on Y Holdings and Mr. Wang for any breach or conduct from the Yongfeng Group companies giving rise to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I further decline to make a tracing order or an order for Y Holdings or Mr. Wang to account for their actual construction expenses. Ms. Zheng voluntarily entered into a fixed-price contract when she signed the Building Contract; she cannot now seek to impose different contractual obligations on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Y Holdings and Mr. Wang were substantially successful in this action and I would award them costs at Scale B. If there is any information of which I am unaware, the parties have leave to contact trial scheduling to arrange a time to speak to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E.D. CROSSIN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6" style="position:absolute;z-index:2517729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65"/>
          <w:headerReference w:type="default" r:id="rId366"/>
          <w:footerReference w:type="even" r:id="rId367"/>
          <w:footerReference w:type="default" r:id="rId368"/>
          <w:headerReference w:type="first" r:id="rId369"/>
          <w:footerReference w:type="first" r:id="rId37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71" w:history="1">
        <w:r>
          <w:rPr>
            <w:rFonts w:ascii="arial" w:eastAsia="arial" w:hAnsi="arial" w:cs="arial"/>
            <w:b/>
            <w:bCs/>
            <w:i/>
            <w:color w:val="0077CC"/>
            <w:kern w:val="32"/>
            <w:sz w:val="28"/>
            <w:szCs w:val="32"/>
            <w:u w:val="single"/>
            <w:shd w:val="clear" w:color="auto" w:fill="FFFFFF"/>
            <w:lang w:val="en-US" w:eastAsia="en-US" w:bidi="ar-SA"/>
          </w:rPr>
          <w:t>Augustin v. Double Down (Langley) Ventures Ltd., [2014] B.C.J. No. 2227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K.N. Affleck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31,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29,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S112135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2227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72" w:history="1">
        <w:r>
          <w:rPr>
            <w:rFonts w:ascii="arial" w:eastAsia="arial" w:hAnsi="arial" w:cs="arial"/>
            <w:i/>
            <w:color w:val="0077CC"/>
            <w:sz w:val="20"/>
            <w:u w:val="single"/>
            <w:shd w:val="clear" w:color="auto" w:fill="FFFFFF"/>
            <w:lang w:val="en-US" w:eastAsia="en-US" w:bidi="ar-SA"/>
          </w:rPr>
          <w:t>2014 BCSC 1657</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72" w:history="1">
        <w:r>
          <w:rPr>
            <w:rFonts w:ascii="arial" w:eastAsia="arial" w:hAnsi="arial" w:cs="arial"/>
            <w:i/>
            <w:color w:val="0077CC"/>
            <w:sz w:val="20"/>
            <w:u w:val="single"/>
            <w:shd w:val="clear" w:color="auto" w:fill="FFFFFF"/>
            <w:lang w:val="en-US" w:eastAsia="en-US" w:bidi="ar-SA"/>
          </w:rPr>
          <w:t>2014 CLLC para. 220-057</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72" w:history="1">
        <w:r>
          <w:rPr>
            <w:rFonts w:ascii="arial" w:eastAsia="arial" w:hAnsi="arial" w:cs="arial"/>
            <w:i/>
            <w:color w:val="0077CC"/>
            <w:sz w:val="20"/>
            <w:u w:val="single"/>
            <w:shd w:val="clear" w:color="auto" w:fill="FFFFFF"/>
            <w:lang w:val="en-US" w:eastAsia="en-US" w:bidi="ar-SA"/>
          </w:rPr>
          <w:t>244 A.C.W.S. (3d) 195</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72" w:history="1">
        <w:r>
          <w:rPr>
            <w:rFonts w:ascii="arial" w:eastAsia="arial" w:hAnsi="arial" w:cs="arial"/>
            <w:i/>
            <w:color w:val="0077CC"/>
            <w:sz w:val="20"/>
            <w:u w:val="single"/>
            <w:shd w:val="clear" w:color="auto" w:fill="FFFFFF"/>
            <w:lang w:val="en-US" w:eastAsia="en-US" w:bidi="ar-SA"/>
          </w:rPr>
          <w:t>2014 CarswellBC 2583</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Miquelle Augustin, and others, Plaintiffs, and Double Down (Langley) Ventures Ltd., Double Down Ventures Ltd., Gateway Casinos &amp; Entertainment Inc., Gateway Casinos GP Inc., and New World Gaming Partners Holdings British Columbia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(49 paras.)</w:t>
      </w:r>
    </w:p>
    <w:p>
      <w:pPr>
        <w:jc w:val="both"/>
        <w:rPr>
          <w:rFonts w:ascii="arial" w:eastAsia="arial" w:hAnsi="arial" w:cs="arial"/>
          <w:sz w:val="20"/>
          <w:lang w:val="en-US" w:eastAsia="en-US" w:bidi="ar-SA"/>
        </w:rPr>
      </w:pPr>
      <w:bookmarkStart w:id="71" w:name="Counsel_12"/>
      <w:bookmarkEnd w:id="7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7" style="position:absolute;z-index:251671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C. Dyson, E. Chapman.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N.T. Mitha, E. White.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2" w:name="Judgment_12"/>
      <w:bookmarkEnd w:id="72"/>
      <w:r>
        <w:pict>
          <v:line id="_x0000_s1068" style="position:absolute;z-index:25172275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3" w:name="K.N. AFFLECK J."/>
            <w:bookmarkEnd w:id="73"/>
            <w:r>
              <w:rPr>
                <w:rFonts w:ascii="arial" w:eastAsia="arial" w:hAnsi="arial" w:cs="arial"/>
                <w:b/>
                <w:color w:val="000000"/>
                <w:sz w:val="30"/>
                <w:lang w:val="en-US" w:eastAsia="en-US" w:bidi="ar-SA"/>
              </w:rPr>
              <w:t>K.N. AFFLECK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challenges the right of the defendants to alter unilaterally a tip pooling arrangement which has been in place for a number of years at casinos they own and operate. I have been informed that the proper name of the only appropriate defendant is Gateway Casinos &amp; Entertainment Limited, described in these reasons as "Gateway", which owns and operates the two casinos relevant to this action, ("the casinos").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are employed by Gateway as slot machine attendants at either Cascades Casino in Langley or the Burnaby Grand Villa Casino. The plaintiffs receive tips from casino customers. It has been the practice for the plaintiffs to pool their tips under the direction of a "tip committee" comprised of volunteers among the slot attendants. Employees of Gateway performing other functions such as table game dealers have their own tip pools and tip committees. Some categories of employees do not receive tips.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Each tip committee decides on the allocation of the pooled tips among those employees who have contributed to a particular pool managed by that committee. Gateway does not assert a property interest in the tips.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plaintiffs allege that through their efforts as slot machine attendants in serving customers of the casinos the amount of tips has increased.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August 27, 2007 Gateway informed the plaintiffs of its intention to institute a single tip pool for all of its casinos in British Columbia effective January 1, 2008. The plaintiffs were opposed to a single tip pool. It would adversely affect their tip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Forty four of the plaintiffs work at the Grand Villa Casino in Burnaby and although there was no collective agreement in place in August 2007, they were members of the British Columbia Government Employees Union (the "BCGEU") which was certified as the bargaining agent. The other 31 plaintiffs work at the Cascade Casino where there has been no collective agreement and no union has been certified as the bargaining agent for those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Gateway also operates Lake City Casinos which are in the interior of the province and where at all relevant times there have been collective agreements in place with the BCGEU as the bargaining agent.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When Gateway announced its intention to institute a single tip pool the BCGEU on behalf of its Lake City Casino members grieved Gateway's proposed changes in the tip pooling arrangements to the Labour Relations Board. The grievances were heard by Arbitrator Dorsey who considered the following questions:</w:t>
      </w:r>
      <w:r>
        <w:rPr>
          <w:rFonts w:ascii="arial" w:eastAsia="arial" w:hAnsi="arial" w:cs="arial"/>
          <w:sz w:val="20"/>
          <w:lang w:val="en-US" w:eastAsia="en-US" w:bidi="ar-SA"/>
        </w:rPr>
        <w:cr/>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it within Gateway's management rights under Article 6 of the Collective Agreement to interpret, administer and make changes to internal tip policies provided that in doing so it acts reasonably and consistent with the Collective Agreement?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Gateway's proposed tip policy announced on August 27, 2007 a reasonable exercise of management rights?</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question 2 is "yes" is Gateway estopped from implementing the proposed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a decision dated October 17, 2008 Arbitrator Dorsey dismissed the grievances, finding in part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within [Gateway's] management rights to interpret, administer and make changes to its tip allocation policies if it does not exercise its management rights unreasonably or in a manner inconsistent with the Collective Agreement. The new tip allocation policy in the August 27, 2007 memorandum is not inconsistent with the Collective Agreement and is not an unreasonable employer exercise of its management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Previously on March 27, 2008 the plaintiffs had commenced this action in which they sought, inter alia, damages arising from sundry tort claims and an injunction restraining Gateway from interfering with "the property right of the plaintiffs". Cullen J. (now A.C.J.) in reasons indexed at </w:t>
      </w:r>
      <w:hyperlink r:id="rId373" w:history="1">
        <w:r>
          <w:rPr>
            <w:rFonts w:ascii="arial" w:eastAsia="arial" w:hAnsi="arial" w:cs="arial"/>
            <w:i/>
            <w:color w:val="0077CC"/>
            <w:sz w:val="20"/>
            <w:u w:val="single"/>
            <w:shd w:val="clear" w:color="auto" w:fill="FFFFFF"/>
            <w:lang w:val="en-US" w:eastAsia="en-US" w:bidi="ar-SA"/>
          </w:rPr>
          <w:t>2008 BCSC 1829</w:t>
        </w:r>
      </w:hyperlink>
      <w:r>
        <w:rPr>
          <w:rFonts w:ascii="arial" w:eastAsia="arial" w:hAnsi="arial" w:cs="arial"/>
          <w:color w:val="000000"/>
          <w:sz w:val="20"/>
          <w:lang w:val="en-US" w:eastAsia="en-US" w:bidi="ar-SA"/>
        </w:rPr>
        <w:t xml:space="preserve"> observed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[51] The decision of Arbitrator Dorsey unlike the present case was not premised in tort law but it was decided on the basis of what the respondent's management rights were under the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Cullen J. found that there were questions to be tried relying on the alleged torts that were neither vexatious nor frivolous and that the balance of convenience and the risk of irreparable harm favoured granting the injunction.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Gateway had argued before Cullen J.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 in light of the fact that all the Burnaby plaintiffs are members of a certified bargaining unit, the Labour Relations Board not the court has jurisdiction to deal with this and the issue has already been decided by the Labour Relations Board in </w:t>
      </w:r>
      <w:r>
        <w:rPr>
          <w:rFonts w:ascii="arial" w:eastAsia="arial" w:hAnsi="arial" w:cs="arial"/>
          <w:i/>
          <w:color w:val="000000"/>
          <w:sz w:val="20"/>
          <w:lang w:val="en-US" w:eastAsia="en-US" w:bidi="ar-SA"/>
        </w:rPr>
        <w:t>BCGEU v. Lake City Casinos</w:t>
      </w:r>
      <w:r>
        <w:rPr>
          <w:rFonts w:ascii="arial" w:eastAsia="arial" w:hAnsi="arial" w:cs="arial"/>
          <w:color w:val="000000"/>
          <w:sz w:val="20"/>
          <w:lang w:val="en-US" w:eastAsia="en-US" w:bidi="ar-SA"/>
        </w:rPr>
        <w:t xml:space="preserve"> by Arbitrator Dorsey in favour of the respondent.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Cullen J. found that "certification alone is [not] sufficient to oust the jurisdiction of the court to consider a claim in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Since the decision of Cullen J. the BCGEU as the certified bargaining agent of the plaintiffs who work at the Grand Villa Casino ("the Grand Villa plaintiffs) has bargained two collective agreements one of which is presently in force. The position of Gateway is that this Court has no jurisdiction to entertain this action so far as it relates to the Grand Villa plaintiffs whose claims are now subject to the statutory regime found in the </w:t>
      </w:r>
      <w:r>
        <w:rPr>
          <w:rFonts w:ascii="arial" w:eastAsia="arial" w:hAnsi="arial" w:cs="arial"/>
          <w:i/>
          <w:color w:val="000000"/>
          <w:sz w:val="20"/>
          <w:lang w:val="en-US" w:eastAsia="en-US" w:bidi="ar-SA"/>
        </w:rPr>
        <w:t>Labour Relations Code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244</w:t>
      </w:r>
      <w:r>
        <w:rPr>
          <w:rFonts w:ascii="arial" w:eastAsia="arial" w:hAnsi="arial" w:cs="arial"/>
          <w:color w:val="000000"/>
          <w:sz w:val="20"/>
          <w:lang w:val="en-US" w:eastAsia="en-US" w:bidi="ar-SA"/>
        </w:rPr>
        <w:t>. Relying on the exclusive jurisdiction given to arbitrators imposed by that statutory regime Gateway applies for a declaration that this Court is without jurisdiction to entertain the action brought by the Grand Villa plaintiffs and applies for an order striking out the action of the Grand Villa plaintiffs and an order amending the interlocutory injunction granted by Cullen J. so that it would have no application to the plaintiffs whose claims are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At all relevant times tip pooling has prevailed at the casinos. Initially a single tip pool existed for "gaming employees" such as the plaintiffs. In about 1998 two tip pools were established by Gateway with one for slot attendants. Later as other categories of employees became eligible to receive tips they had their own separate pools. When this action was commenced there were four tip pools and they continue to the present because of this litigation which led to the interlocutory injunction.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collective agreement governing the employment of the Grand Villa plaintiffs is silent on the question of tips and their distribution. Gateway is subject to the </w:t>
      </w:r>
      <w:r>
        <w:rPr>
          <w:rFonts w:ascii="arial" w:eastAsia="arial" w:hAnsi="arial" w:cs="arial"/>
          <w:i/>
          <w:color w:val="000000"/>
          <w:sz w:val="20"/>
          <w:lang w:val="en-US" w:eastAsia="en-US" w:bidi="ar-SA"/>
        </w:rPr>
        <w:t>Gaming Control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2002, c. 14</w:t>
      </w:r>
      <w:r>
        <w:rPr>
          <w:rFonts w:ascii="arial" w:eastAsia="arial" w:hAnsi="arial" w:cs="arial"/>
          <w:color w:val="000000"/>
          <w:sz w:val="20"/>
          <w:lang w:val="en-US" w:eastAsia="en-US" w:bidi="ar-SA"/>
        </w:rPr>
        <w:t xml:space="preserve"> and its Regulations and subject to supervision by the British Columbia Lottery Commission. Gateway takes the position that there is nothing within the </w:t>
      </w:r>
      <w:r>
        <w:rPr>
          <w:rFonts w:ascii="arial" w:eastAsia="arial" w:hAnsi="arial" w:cs="arial"/>
          <w:i/>
          <w:color w:val="000000"/>
          <w:sz w:val="20"/>
          <w:lang w:val="en-US" w:eastAsia="en-US" w:bidi="ar-SA"/>
        </w:rPr>
        <w:t>Gaming Control Act</w:t>
      </w:r>
      <w:r>
        <w:rPr>
          <w:rFonts w:ascii="arial" w:eastAsia="arial" w:hAnsi="arial" w:cs="arial"/>
          <w:color w:val="000000"/>
          <w:sz w:val="20"/>
          <w:lang w:val="en-US" w:eastAsia="en-US" w:bidi="ar-SA"/>
        </w:rPr>
        <w:t xml:space="preserve"> and regulations nor the requirements of the British Columbia Lottery Commission that precluded it from managing the question of tip distribution and that it is within its management rights to do so as defined by clause six in the Grand Villa collective agreement. Gateway further says this is consistent with the decision of Arbitrator Dorsey regarding the BCGEU grievances referred to earlier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This action lay dormant after the interlocutory injunction was granted until June 19, 2013 when Gateway delivered a notice of intention to proceed. Since then the parties advised each other of applications they were contemplating including the plaintiffs' application to add parties. Gateway has consented to the addition proposed plaintiffs employed by the Cascades Casino, who are not subject to a collective agreement, but declines to agree to add plaintiffs employed at the Grand Villa Casino who are subject to a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 number of applications remain outstanding between the parties but I was informed that it has been agreed that priority is to be given to a decision on Gateway's jurisdictional challenge.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 xml:space="preserve">The Jurisdiction Created by the </w:t>
      </w:r>
      <w:r>
        <w:rPr>
          <w:rFonts w:ascii="arial" w:eastAsia="arial" w:hAnsi="arial" w:cs="arial"/>
          <w:b/>
          <w:i/>
          <w:color w:val="000000"/>
          <w:sz w:val="20"/>
          <w:u w:val="single"/>
          <w:lang w:val="en-US" w:eastAsia="en-US" w:bidi="ar-SA"/>
        </w:rPr>
        <w:t>Labour Relations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For provincial purposes such as the operation of casinos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governs the relationship between employers and unions bound by collective agreements. Section 82 of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provides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82 (1) It is the purpose of this Part to constitute methods and procedures for determining grievances and resolving disputes under the provisions of a collective agreement without resort to stoppages of work.</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arbitration board, to further the purpose expressed in subsection (1), must have regard to the real substance of the matters in dispute and the respective merit of the positions of the parties to it under the terms of the collective agreement, and must apply principles consistent with the industrial relations policy of this Code, and is not bound by a strict legal interpretation of the issue in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Section 89 of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provides that "an arbitration board has the authority necessary to provide a final and conclusive settlement of a dispute arising under a collective agreement and, without limitation, may:</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make an order setting the monetary value of an injury or loss suffered by an employer, trade union or other person as a result of a contravention of a collective agreement, and directing a person to pay a person all or part of the amount of that monetary value,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interpret and apply any Act intended to regulate the employment relationship of the persons bound by a collective agreement, even though the Act's provisions conflict with the terms of the collective agreement,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Section 48 of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provides that a collective agreement binds both the union and "every employee of an employer who has entered into it and who is included in or affected by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Section 101 of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contains what is known as a privative clause. It provides that a decision of an arbitration board "is final and conclusive and is not open to question or review in a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 Anne Nackawic Pulp &amp; Paper Co. Ltd. v. Canadian Paper Workers Union, Local 219</w:t>
      </w:r>
      <w:r>
        <w:rPr>
          <w:rFonts w:ascii="arial" w:eastAsia="arial" w:hAnsi="arial" w:cs="arial"/>
          <w:color w:val="000000"/>
          <w:sz w:val="20"/>
          <w:lang w:val="en-US" w:eastAsia="en-US" w:bidi="ar-SA"/>
        </w:rPr>
        <w:t xml:space="preserve">, </w:t>
      </w:r>
      <w:hyperlink r:id="rId374" w:history="1">
        <w:r>
          <w:rPr>
            <w:rFonts w:ascii="arial" w:eastAsia="arial" w:hAnsi="arial" w:cs="arial"/>
            <w:i/>
            <w:color w:val="0077CC"/>
            <w:sz w:val="20"/>
            <w:u w:val="single"/>
            <w:shd w:val="clear" w:color="auto" w:fill="FFFFFF"/>
            <w:lang w:val="en-US" w:eastAsia="en-US" w:bidi="ar-SA"/>
          </w:rPr>
          <w:t>[1986] 1 S.C.R. 704</w:t>
        </w:r>
      </w:hyperlink>
      <w:r>
        <w:rPr>
          <w:rFonts w:ascii="arial" w:eastAsia="arial" w:hAnsi="arial" w:cs="arial"/>
          <w:color w:val="000000"/>
          <w:sz w:val="20"/>
          <w:lang w:val="en-US" w:eastAsia="en-US" w:bidi="ar-SA"/>
        </w:rPr>
        <w:t xml:space="preserve"> at para. 16 the Court held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 The collective agreement establishes the broad parameters of the relationship between the employer and his employees. This relationship is properly regulated through arbitration and it would, in general, subvert both the relationship and the statutory scheme under which it arises to hold that matters addressed and governed by the collective agreement may nevertheless be the subject of actions in the courts at common law. These considerations necessarily lead one to wonder whether the Miramichi case, supra, and cases like it, would survive an objection to the court's jurisdiction if decided today. The more modern approach is to consider that labour relations legislation provides a code governing all aspects of labour relations, and that it would offend the legislative scheme to permit the parties to a collective [page719] agreement, or the employees on whose behalf it was negotiated, to have recourse to the ordinary courts which are in the circumstances a duplicative forum to which the legislature has not assigned these tasks.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Weber v. Ontario Hydro</w:t>
      </w:r>
      <w:r>
        <w:rPr>
          <w:rFonts w:ascii="arial" w:eastAsia="arial" w:hAnsi="arial" w:cs="arial"/>
          <w:color w:val="000000"/>
          <w:sz w:val="20"/>
          <w:lang w:val="en-US" w:eastAsia="en-US" w:bidi="ar-SA"/>
        </w:rPr>
        <w:t xml:space="preserve">, </w:t>
      </w:r>
      <w:hyperlink r:id="rId375" w:history="1">
        <w:r>
          <w:rPr>
            <w:rFonts w:ascii="arial" w:eastAsia="arial" w:hAnsi="arial" w:cs="arial"/>
            <w:i/>
            <w:color w:val="0077CC"/>
            <w:sz w:val="20"/>
            <w:u w:val="single"/>
            <w:shd w:val="clear" w:color="auto" w:fill="FFFFFF"/>
            <w:lang w:val="en-US" w:eastAsia="en-US" w:bidi="ar-SA"/>
          </w:rPr>
          <w:t>[1995] 2 S.C.R. 929</w:t>
        </w:r>
      </w:hyperlink>
      <w:r>
        <w:rPr>
          <w:rFonts w:ascii="arial" w:eastAsia="arial" w:hAnsi="arial" w:cs="arial"/>
          <w:color w:val="000000"/>
          <w:sz w:val="20"/>
          <w:lang w:val="en-US" w:eastAsia="en-US" w:bidi="ar-SA"/>
        </w:rPr>
        <w:t>, McLachlin J. (as she then was) began her reasons, speaking for the majority, by asking the question "When may parties who have agreed to settle their differences by arbitration under a collective agreement sue in tort?" Mr. Weber was an employee of Ontario Hydro with a grievance against his employer. His union took the grievance to arbitration and a settlement was reached. Meanwhile Mr. Weber had also commenced an action in court seeking damages and alleging charter breaches. McLachlin J. held that the Court had no jurisdiction to entertain Mr. Weber's claims because the dispute arose "expressly or inferentially" out of the collective agreement and such disputes are "foreclosed to the courts". McLachlin J. stated at para. 52: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considering the dispute, the decision-maker must attempt to define its "essential character", to use the phrase of La Forest J.A. in Energy &amp; Chemical Workers Union, Local 691 v. Irving Oil Ltd. </w:t>
      </w:r>
      <w:hyperlink r:id="rId376" w:history="1">
        <w:r>
          <w:rPr>
            <w:rFonts w:ascii="arial" w:eastAsia="arial" w:hAnsi="arial" w:cs="arial"/>
            <w:i/>
            <w:color w:val="0077CC"/>
            <w:sz w:val="20"/>
            <w:u w:val="single"/>
            <w:shd w:val="clear" w:color="auto" w:fill="FFFFFF"/>
            <w:lang w:val="en-US" w:eastAsia="en-US" w:bidi="ar-SA"/>
          </w:rPr>
          <w:t>(1983), 148 D.L.R. (3d) 398</w:t>
        </w:r>
      </w:hyperlink>
      <w:r>
        <w:rPr>
          <w:rFonts w:ascii="arial" w:eastAsia="arial" w:hAnsi="arial" w:cs="arial"/>
          <w:color w:val="000000"/>
          <w:sz w:val="20"/>
          <w:lang w:val="en-US" w:eastAsia="en-US" w:bidi="ar-SA"/>
        </w:rPr>
        <w:t xml:space="preserve"> (N.B.C.A.). The fact that the parties are employer and employee may not be determinative. Similarly, the place of the conduct giving rise to the dispute may not be conclusive; matters arising from the collective agreement may occur off the workplace and conversely, not everything that happens on the workplace may arise from the collective agreement: Energy &amp; Chemical Workers Union, supra, per La Forest J.A. Sometimes the time when the claim originated may be important, as in Wainwright v. Vancouver Shipyards Co. </w:t>
      </w:r>
      <w:hyperlink r:id="rId377" w:history="1">
        <w:r>
          <w:rPr>
            <w:rFonts w:ascii="arial" w:eastAsia="arial" w:hAnsi="arial" w:cs="arial"/>
            <w:i/>
            <w:color w:val="0077CC"/>
            <w:sz w:val="20"/>
            <w:u w:val="single"/>
            <w:shd w:val="clear" w:color="auto" w:fill="FFFFFF"/>
            <w:lang w:val="en-US" w:eastAsia="en-US" w:bidi="ar-SA"/>
          </w:rPr>
          <w:t>(1987), 38 D.L.R. (4th) 760</w:t>
        </w:r>
      </w:hyperlink>
      <w:r>
        <w:rPr>
          <w:rFonts w:ascii="arial" w:eastAsia="arial" w:hAnsi="arial" w:cs="arial"/>
          <w:color w:val="000000"/>
          <w:sz w:val="20"/>
          <w:lang w:val="en-US" w:eastAsia="en-US" w:bidi="ar-SA"/>
        </w:rPr>
        <w:t xml:space="preserve"> (B.C.C.A.), where it was held that the court had jurisdiction over contracts pre-dating the collective agreement. See also Johnston v. Dresser Industries Canada Ltd. </w:t>
      </w:r>
      <w:hyperlink r:id="rId378" w:history="1">
        <w:r>
          <w:rPr>
            <w:rFonts w:ascii="arial" w:eastAsia="arial" w:hAnsi="arial" w:cs="arial"/>
            <w:i/>
            <w:color w:val="0077CC"/>
            <w:sz w:val="20"/>
            <w:u w:val="single"/>
            <w:shd w:val="clear" w:color="auto" w:fill="FFFFFF"/>
            <w:lang w:val="en-US" w:eastAsia="en-US" w:bidi="ar-SA"/>
          </w:rPr>
          <w:t>(1990), 75 O.R. (2d) 609</w:t>
        </w:r>
      </w:hyperlink>
      <w:r>
        <w:rPr>
          <w:rFonts w:ascii="arial" w:eastAsia="arial" w:hAnsi="arial" w:cs="arial"/>
          <w:color w:val="000000"/>
          <w:sz w:val="20"/>
          <w:lang w:val="en-US" w:eastAsia="en-US" w:bidi="ar-SA"/>
        </w:rPr>
        <w:t xml:space="preserve"> (C.A.). In the majority of cases the nature of the dispute will be clear; either it had to do with the collective agreement or it did not. Some cases, however, may be less than obvious. The question in each case is whether the dispute, in its essential character, arises from the interpretation, application, administration or violation of the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Vaughan v. Canada</w:t>
      </w:r>
      <w:r>
        <w:rPr>
          <w:rFonts w:ascii="arial" w:eastAsia="arial" w:hAnsi="arial" w:cs="arial"/>
          <w:color w:val="000000"/>
          <w:sz w:val="20"/>
          <w:lang w:val="en-US" w:eastAsia="en-US" w:bidi="ar-SA"/>
        </w:rPr>
        <w:t xml:space="preserve">, </w:t>
      </w:r>
      <w:hyperlink r:id="rId379" w:history="1">
        <w:r>
          <w:rPr>
            <w:rFonts w:ascii="arial" w:eastAsia="arial" w:hAnsi="arial" w:cs="arial"/>
            <w:i/>
            <w:color w:val="0077CC"/>
            <w:sz w:val="20"/>
            <w:u w:val="single"/>
            <w:shd w:val="clear" w:color="auto" w:fill="FFFFFF"/>
            <w:lang w:val="en-US" w:eastAsia="en-US" w:bidi="ar-SA"/>
          </w:rPr>
          <w:t>2005 SCC 11</w:t>
        </w:r>
      </w:hyperlink>
      <w:r>
        <w:rPr>
          <w:rFonts w:ascii="arial" w:eastAsia="arial" w:hAnsi="arial" w:cs="arial"/>
          <w:color w:val="000000"/>
          <w:sz w:val="20"/>
          <w:lang w:val="en-US" w:eastAsia="en-US" w:bidi="ar-SA"/>
        </w:rPr>
        <w:t>, Binnie J. for the majority observed at para. 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Labour relations has long been recognized as a field of specialized expertise. The courts have tended in recent years to adopt a hands-off (or deferential) position towards expert tribunals operating in the field, including arbitrators. The posture of deference was crystallized in Weber where this Court established a bright line demarcation in the case of disputes governed by the sort of labour relations legislation that typically exists across Canada and which provides for compulsory arbitration. In such cases, if the dispute between the parties in its essential character arises from the interpretation, application, administration or violation of the collective agreement, it is to be determined by an arbitrator appointed in accordance with the collective agreement, and not by the courts.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Weber</w:t>
      </w:r>
      <w:r>
        <w:rPr>
          <w:rFonts w:ascii="arial" w:eastAsia="arial" w:hAnsi="arial" w:cs="arial"/>
          <w:color w:val="000000"/>
          <w:sz w:val="20"/>
          <w:lang w:val="en-US" w:eastAsia="en-US" w:bidi="ar-SA"/>
        </w:rPr>
        <w:t>, McLachlin J. held that the "exclusive jurisdiction" model must prevail to resolve disputes arising under collective agreements because: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58 To summarize, the exclusive jurisdiction model gives full credit to the language of s. 45(1) of the Labour Relations Act. It accords with this Court's approach in St. Anne Nackawic. It satisfies the concern that the dispute resolution process which the various labour statutes of this country have established should not be duplicated and undermined by concurrent actions. It conforms to a pattern of growing judicial deference for the arbitration and grievance process and correlative restrictions on the rights of parties to proceed with parallel or overlapping litigation in the courts [Citations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Some disputes involving an employer and employee when a collective agreement governs the employment relationship are justiciable in the courts. The governing principle to determine whether the exclusive jurisdiction of an arbitrator pursuant to the labour legislation excludes the jurisdiction of the courts is to determine if the "essential character" of the dispute arises explicitly or by inference out of the collective agreement. If it does recourse to the courts is not permitted. In </w:t>
      </w:r>
      <w:r>
        <w:rPr>
          <w:rFonts w:ascii="arial" w:eastAsia="arial" w:hAnsi="arial" w:cs="arial"/>
          <w:i/>
          <w:color w:val="000000"/>
          <w:sz w:val="20"/>
          <w:lang w:val="en-US" w:eastAsia="en-US" w:bidi="ar-SA"/>
        </w:rPr>
        <w:t>Regina Police Association Inc. v. Regina (City) Board of Police Commissioners</w:t>
      </w:r>
      <w:r>
        <w:rPr>
          <w:rFonts w:ascii="arial" w:eastAsia="arial" w:hAnsi="arial" w:cs="arial"/>
          <w:color w:val="000000"/>
          <w:sz w:val="20"/>
          <w:lang w:val="en-US" w:eastAsia="en-US" w:bidi="ar-SA"/>
        </w:rPr>
        <w:t xml:space="preserve">, </w:t>
      </w:r>
      <w:hyperlink r:id="rId380" w:history="1">
        <w:r>
          <w:rPr>
            <w:rFonts w:ascii="arial" w:eastAsia="arial" w:hAnsi="arial" w:cs="arial"/>
            <w:i/>
            <w:color w:val="0077CC"/>
            <w:sz w:val="20"/>
            <w:u w:val="single"/>
            <w:shd w:val="clear" w:color="auto" w:fill="FFFFFF"/>
            <w:lang w:val="en-US" w:eastAsia="en-US" w:bidi="ar-SA"/>
          </w:rPr>
          <w:t>2000 SCC 14</w:t>
        </w:r>
      </w:hyperlink>
      <w:r>
        <w:rPr>
          <w:rFonts w:ascii="arial" w:eastAsia="arial" w:hAnsi="arial" w:cs="arial"/>
          <w:color w:val="000000"/>
          <w:sz w:val="20"/>
          <w:lang w:val="en-US" w:eastAsia="en-US" w:bidi="ar-SA"/>
        </w:rPr>
        <w:t xml:space="preserve"> at para. 25 the Court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determine whether a dispute arises out of the collective agreement, we must therefore consider two elements: the nature of the dispute and the ambit of the collective agreement. In considering the nature of the dispute, the goal is to determine its essential character. This determination must proceed on the basis of the facts surrounding the dispute between the parties, and not on the basis of how the legal issues may be framed: see Weber, supra, at para. 43. Simply, the decision-maker must determine whether, having examined the factual context of the dispute, its essential character concerns a subject matter that is covered by the collective agreement. Upon determining the essential character of the dispute, the decision-maker must examine the provisions of the collective agreement to determine whether it contemplates such factual situations. It is clear that the collective agreement need not provide for the subject matter of the dispute explicitly. If the essential character of the dispute arises either explicitly, or implicitly, from the interpretation, application, administration or violation of the collective agreement, the dispute is within the sole jurisdiction of an arbitrator to decide: see, e.g., Weber, at para. 54; New Brunswick v. O'Leary, </w:t>
      </w:r>
      <w:hyperlink r:id="rId381" w:history="1">
        <w:r>
          <w:rPr>
            <w:rFonts w:ascii="arial" w:eastAsia="arial" w:hAnsi="arial" w:cs="arial"/>
            <w:i/>
            <w:color w:val="0077CC"/>
            <w:sz w:val="20"/>
            <w:u w:val="single"/>
            <w:shd w:val="clear" w:color="auto" w:fill="FFFFFF"/>
            <w:lang w:val="en-US" w:eastAsia="en-US" w:bidi="ar-SA"/>
          </w:rPr>
          <w:t>[1995] 2 S.C.R. 967</w:t>
        </w:r>
      </w:hyperlink>
      <w:r>
        <w:rPr>
          <w:rFonts w:ascii="arial" w:eastAsia="arial" w:hAnsi="arial" w:cs="arial"/>
          <w:color w:val="000000"/>
          <w:sz w:val="20"/>
          <w:lang w:val="en-US" w:eastAsia="en-US" w:bidi="ar-SA"/>
        </w:rPr>
        <w:t>, supra, at para.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Blanco-Arriba v. British Columbia</w:t>
      </w:r>
      <w:r>
        <w:rPr>
          <w:rFonts w:ascii="arial" w:eastAsia="arial" w:hAnsi="arial" w:cs="arial"/>
          <w:color w:val="000000"/>
          <w:sz w:val="20"/>
          <w:lang w:val="en-US" w:eastAsia="en-US" w:bidi="ar-SA"/>
        </w:rPr>
        <w:t xml:space="preserve">, </w:t>
      </w:r>
      <w:hyperlink r:id="rId382" w:history="1">
        <w:r>
          <w:rPr>
            <w:rFonts w:ascii="arial" w:eastAsia="arial" w:hAnsi="arial" w:cs="arial"/>
            <w:i/>
            <w:color w:val="0077CC"/>
            <w:sz w:val="20"/>
            <w:u w:val="single"/>
            <w:shd w:val="clear" w:color="auto" w:fill="FFFFFF"/>
            <w:lang w:val="en-US" w:eastAsia="en-US" w:bidi="ar-SA"/>
          </w:rPr>
          <w:t>2001 BCSC 1557</w:t>
        </w:r>
      </w:hyperlink>
      <w:r>
        <w:rPr>
          <w:rFonts w:ascii="arial" w:eastAsia="arial" w:hAnsi="arial" w:cs="arial"/>
          <w:color w:val="000000"/>
          <w:sz w:val="20"/>
          <w:lang w:val="en-US" w:eastAsia="en-US" w:bidi="ar-SA"/>
        </w:rPr>
        <w:t xml:space="preserve">, the plaintiff, whose employment was covered by a collective agreement, sued the province alleging various wrongful acts that had caused him damage. C.L. Smith J. dismissed the action finding the claims arose out of disciplinary proceedings by the plaintiff's employer which had led to his dismissal and such claims fell in essence within the collective agreement. In extensive reasons C.L. Smith J. reviewed numerous instances in which the courts have addressed the question of whether a dispute in essence arises out of a collective agreement and therefore the jurisdiction of the court is ousted. The court referred to </w:t>
      </w:r>
      <w:r>
        <w:rPr>
          <w:rFonts w:ascii="arial" w:eastAsia="arial" w:hAnsi="arial" w:cs="arial"/>
          <w:i/>
          <w:color w:val="000000"/>
          <w:sz w:val="20"/>
          <w:lang w:val="en-US" w:eastAsia="en-US" w:bidi="ar-SA"/>
        </w:rPr>
        <w:t>Weber</w:t>
      </w:r>
      <w:r>
        <w:rPr>
          <w:rFonts w:ascii="arial" w:eastAsia="arial" w:hAnsi="arial" w:cs="arial"/>
          <w:color w:val="000000"/>
          <w:sz w:val="20"/>
          <w:lang w:val="en-US" w:eastAsia="en-US" w:bidi="ar-SA"/>
        </w:rPr>
        <w:t xml:space="preserve"> in which McLachlin J. had written that "it is impossible to categorize the classes of case that fall within the exclusive jurisdiction of the arbitrator". C.L. Smith J. at para. 39 of the reasons listed the following claims in which courts have held they lacked jurisdiction to adjudicate an action because jurisdiction was exclusive to an arbitrator appointed pursuant to the statutory regime governing disputes under collective agreements: The list is the following:</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wrongful dismissal or constructive dismissal [</w:t>
      </w:r>
      <w:r>
        <w:rPr>
          <w:rFonts w:ascii="arial" w:eastAsia="arial" w:hAnsi="arial" w:cs="arial"/>
          <w:i/>
          <w:color w:val="000000"/>
          <w:sz w:val="20"/>
          <w:lang w:val="en-US" w:eastAsia="en-US" w:bidi="ar-SA"/>
        </w:rPr>
        <w:t>Bouchard v. Canada (Minister of National Defence)</w:t>
      </w:r>
      <w:r>
        <w:rPr>
          <w:rFonts w:ascii="arial" w:eastAsia="arial" w:hAnsi="arial" w:cs="arial"/>
          <w:color w:val="000000"/>
          <w:sz w:val="20"/>
          <w:lang w:val="en-US" w:eastAsia="en-US" w:bidi="ar-SA"/>
        </w:rPr>
        <w:t xml:space="preserve"> </w:t>
      </w:r>
      <w:hyperlink r:id="rId383" w:history="1">
        <w:r>
          <w:rPr>
            <w:rFonts w:ascii="arial" w:eastAsia="arial" w:hAnsi="arial" w:cs="arial"/>
            <w:i/>
            <w:color w:val="0077CC"/>
            <w:sz w:val="20"/>
            <w:u w:val="single"/>
            <w:shd w:val="clear" w:color="auto" w:fill="FFFFFF"/>
            <w:lang w:val="en-US" w:eastAsia="en-US" w:bidi="ar-SA"/>
          </w:rPr>
          <w:t>(1999), 187 D.L.R. (4th) 314</w:t>
        </w:r>
      </w:hyperlink>
      <w:r>
        <w:rPr>
          <w:rFonts w:ascii="arial" w:eastAsia="arial" w:hAnsi="arial" w:cs="arial"/>
          <w:color w:val="000000"/>
          <w:sz w:val="20"/>
          <w:lang w:val="en-US" w:eastAsia="en-US" w:bidi="ar-SA"/>
        </w:rPr>
        <w:t xml:space="preserve"> (Fed. C.A.); </w:t>
      </w:r>
      <w:r>
        <w:rPr>
          <w:rFonts w:ascii="arial" w:eastAsia="arial" w:hAnsi="arial" w:cs="arial"/>
          <w:i/>
          <w:color w:val="000000"/>
          <w:sz w:val="20"/>
          <w:lang w:val="en-US" w:eastAsia="en-US" w:bidi="ar-SA"/>
        </w:rPr>
        <w:t>Webber v. Kelowna (City)</w:t>
      </w:r>
      <w:r>
        <w:rPr>
          <w:rFonts w:ascii="arial" w:eastAsia="arial" w:hAnsi="arial" w:cs="arial"/>
          <w:color w:val="000000"/>
          <w:sz w:val="20"/>
          <w:lang w:val="en-US" w:eastAsia="en-US" w:bidi="ar-SA"/>
        </w:rPr>
        <w:t xml:space="preserve">, </w:t>
      </w:r>
      <w:hyperlink r:id="rId384" w:history="1">
        <w:r>
          <w:rPr>
            <w:rFonts w:ascii="arial" w:eastAsia="arial" w:hAnsi="arial" w:cs="arial"/>
            <w:i/>
            <w:color w:val="0077CC"/>
            <w:sz w:val="20"/>
            <w:u w:val="single"/>
            <w:shd w:val="clear" w:color="auto" w:fill="FFFFFF"/>
            <w:lang w:val="en-US" w:eastAsia="en-US" w:bidi="ar-SA"/>
          </w:rPr>
          <w:t>[2001] B.C.J. No. 434</w:t>
        </w:r>
      </w:hyperlink>
      <w:r>
        <w:rPr>
          <w:rFonts w:ascii="arial" w:eastAsia="arial" w:hAnsi="arial" w:cs="arial"/>
          <w:color w:val="000000"/>
          <w:sz w:val="20"/>
          <w:lang w:val="en-US" w:eastAsia="en-US" w:bidi="ar-SA"/>
        </w:rPr>
        <w:t xml:space="preserve"> (Q.L.); </w:t>
      </w:r>
      <w:hyperlink r:id="rId384" w:history="1">
        <w:r>
          <w:rPr>
            <w:rFonts w:ascii="arial" w:eastAsia="arial" w:hAnsi="arial" w:cs="arial"/>
            <w:i/>
            <w:color w:val="0077CC"/>
            <w:sz w:val="20"/>
            <w:u w:val="single"/>
            <w:shd w:val="clear" w:color="auto" w:fill="FFFFFF"/>
            <w:lang w:val="en-US" w:eastAsia="en-US" w:bidi="ar-SA"/>
          </w:rPr>
          <w:t>2001 BCSC 189</w:t>
        </w:r>
      </w:hyperlink>
      <w:r>
        <w:rPr>
          <w:rFonts w:ascii="arial" w:eastAsia="arial" w:hAnsi="arial" w:cs="arial"/>
          <w:color w:val="000000"/>
          <w:sz w:val="20"/>
          <w:lang w:val="en-US" w:eastAsia="en-US" w:bidi="ar-SA"/>
        </w:rPr>
        <w:t>];</w:t>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conspiracy to deprive an employee of his or her employment [</w:t>
      </w:r>
      <w:r>
        <w:rPr>
          <w:rFonts w:ascii="arial" w:eastAsia="arial" w:hAnsi="arial" w:cs="arial"/>
          <w:i/>
          <w:color w:val="000000"/>
          <w:sz w:val="20"/>
          <w:lang w:val="en-US" w:eastAsia="en-US" w:bidi="ar-SA"/>
        </w:rPr>
        <w:t>Bhaduria v. Toronto Board of Education</w:t>
      </w:r>
      <w:r>
        <w:rPr>
          <w:rFonts w:ascii="arial" w:eastAsia="arial" w:hAnsi="arial" w:cs="arial"/>
          <w:color w:val="000000"/>
          <w:sz w:val="20"/>
          <w:lang w:val="en-US" w:eastAsia="en-US" w:bidi="ar-SA"/>
        </w:rPr>
        <w:t xml:space="preserve"> </w:t>
      </w:r>
      <w:hyperlink r:id="rId385" w:history="1">
        <w:r>
          <w:rPr>
            <w:rFonts w:ascii="arial" w:eastAsia="arial" w:hAnsi="arial" w:cs="arial"/>
            <w:i/>
            <w:color w:val="0077CC"/>
            <w:sz w:val="20"/>
            <w:u w:val="single"/>
            <w:shd w:val="clear" w:color="auto" w:fill="FFFFFF"/>
            <w:lang w:val="en-US" w:eastAsia="en-US" w:bidi="ar-SA"/>
          </w:rPr>
          <w:t>(1999), 173 D.L.R. (4th) 382</w:t>
        </w:r>
      </w:hyperlink>
      <w:r>
        <w:rPr>
          <w:rFonts w:ascii="arial" w:eastAsia="arial" w:hAnsi="arial" w:cs="arial"/>
          <w:color w:val="000000"/>
          <w:sz w:val="20"/>
          <w:lang w:val="en-US" w:eastAsia="en-US" w:bidi="ar-SA"/>
        </w:rPr>
        <w:t xml:space="preserve"> (Ont. C.A.), application for leave to appeal to S.C.C. dismissed, </w:t>
      </w:r>
      <w:hyperlink r:id="rId386" w:history="1">
        <w:r>
          <w:rPr>
            <w:rFonts w:ascii="arial" w:eastAsia="arial" w:hAnsi="arial" w:cs="arial"/>
            <w:i/>
            <w:color w:val="0077CC"/>
            <w:sz w:val="20"/>
            <w:u w:val="single"/>
            <w:shd w:val="clear" w:color="auto" w:fill="FFFFFF"/>
            <w:lang w:val="en-US" w:eastAsia="en-US" w:bidi="ar-SA"/>
          </w:rPr>
          <w:t>[1999] S.C.C.A. No. 212</w:t>
        </w:r>
      </w:hyperlink>
      <w:r>
        <w:rPr>
          <w:rFonts w:ascii="arial" w:eastAsia="arial" w:hAnsi="arial" w:cs="arial"/>
          <w:color w:val="000000"/>
          <w:sz w:val="20"/>
          <w:lang w:val="en-US" w:eastAsia="en-US" w:bidi="ar-SA"/>
        </w:rPr>
        <w:t xml:space="preserve"> (Q.L.); </w:t>
      </w:r>
      <w:r>
        <w:rPr>
          <w:rFonts w:ascii="arial" w:eastAsia="arial" w:hAnsi="arial" w:cs="arial"/>
          <w:i/>
          <w:color w:val="000000"/>
          <w:sz w:val="20"/>
          <w:lang w:val="en-US" w:eastAsia="en-US" w:bidi="ar-SA"/>
        </w:rPr>
        <w:t>Jadwani v. Canada (Attorney General)</w:t>
      </w:r>
      <w:r>
        <w:rPr>
          <w:rFonts w:ascii="arial" w:eastAsia="arial" w:hAnsi="arial" w:cs="arial"/>
          <w:color w:val="000000"/>
          <w:sz w:val="20"/>
          <w:lang w:val="en-US" w:eastAsia="en-US" w:bidi="ar-SA"/>
        </w:rPr>
        <w:t xml:space="preserve"> </w:t>
      </w:r>
      <w:hyperlink r:id="rId387" w:history="1">
        <w:r>
          <w:rPr>
            <w:rFonts w:ascii="arial" w:eastAsia="arial" w:hAnsi="arial" w:cs="arial"/>
            <w:i/>
            <w:color w:val="0077CC"/>
            <w:sz w:val="20"/>
            <w:u w:val="single"/>
            <w:shd w:val="clear" w:color="auto" w:fill="FFFFFF"/>
            <w:lang w:val="en-US" w:eastAsia="en-US" w:bidi="ar-SA"/>
          </w:rPr>
          <w:t>(2001), 52 O.R. (3d) 660</w:t>
        </w:r>
      </w:hyperlink>
      <w:r>
        <w:rPr>
          <w:rFonts w:ascii="arial" w:eastAsia="arial" w:hAnsi="arial" w:cs="arial"/>
          <w:color w:val="000000"/>
          <w:sz w:val="20"/>
          <w:lang w:val="en-US" w:eastAsia="en-US" w:bidi="ar-SA"/>
        </w:rPr>
        <w:t xml:space="preserve"> (C.A.), application for leave to appeal to S.C.C. dismissed, </w:t>
      </w:r>
      <w:hyperlink r:id="rId388" w:history="1">
        <w:r>
          <w:rPr>
            <w:rFonts w:ascii="arial" w:eastAsia="arial" w:hAnsi="arial" w:cs="arial"/>
            <w:i/>
            <w:color w:val="0077CC"/>
            <w:sz w:val="20"/>
            <w:u w:val="single"/>
            <w:shd w:val="clear" w:color="auto" w:fill="FFFFFF"/>
            <w:lang w:val="en-US" w:eastAsia="en-US" w:bidi="ar-SA"/>
          </w:rPr>
          <w:t>[2001] S.C.C.A. No. 200</w:t>
        </w:r>
      </w:hyperlink>
      <w:r>
        <w:rPr>
          <w:rFonts w:ascii="arial" w:eastAsia="arial" w:hAnsi="arial" w:cs="arial"/>
          <w:color w:val="000000"/>
          <w:sz w:val="20"/>
          <w:lang w:val="en-US" w:eastAsia="en-US" w:bidi="ar-SA"/>
        </w:rPr>
        <w:t xml:space="preserve"> (Q.L.)];</w:t>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denial of job advancement or employment benefits [</w:t>
      </w:r>
      <w:r>
        <w:rPr>
          <w:rFonts w:ascii="arial" w:eastAsia="arial" w:hAnsi="arial" w:cs="arial"/>
          <w:i/>
          <w:color w:val="000000"/>
          <w:sz w:val="20"/>
          <w:lang w:val="en-US" w:eastAsia="en-US" w:bidi="ar-SA"/>
        </w:rPr>
        <w:t>Oliver v. Saint John (City) Commissioners of Police</w:t>
      </w:r>
      <w:r>
        <w:rPr>
          <w:rFonts w:ascii="arial" w:eastAsia="arial" w:hAnsi="arial" w:cs="arial"/>
          <w:color w:val="000000"/>
          <w:sz w:val="20"/>
          <w:lang w:val="en-US" w:eastAsia="en-US" w:bidi="ar-SA"/>
        </w:rPr>
        <w:t xml:space="preserve">, </w:t>
      </w:r>
      <w:hyperlink r:id="rId389" w:history="1">
        <w:r>
          <w:rPr>
            <w:rFonts w:ascii="arial" w:eastAsia="arial" w:hAnsi="arial" w:cs="arial"/>
            <w:i/>
            <w:color w:val="0077CC"/>
            <w:sz w:val="20"/>
            <w:u w:val="single"/>
            <w:shd w:val="clear" w:color="auto" w:fill="FFFFFF"/>
            <w:lang w:val="en-US" w:eastAsia="en-US" w:bidi="ar-SA"/>
          </w:rPr>
          <w:t>[2001] N.B.J. No. 105</w:t>
        </w:r>
      </w:hyperlink>
      <w:r>
        <w:rPr>
          <w:rFonts w:ascii="arial" w:eastAsia="arial" w:hAnsi="arial" w:cs="arial"/>
          <w:color w:val="000000"/>
          <w:sz w:val="20"/>
          <w:lang w:val="en-US" w:eastAsia="en-US" w:bidi="ar-SA"/>
        </w:rPr>
        <w:t xml:space="preserve"> (Q.L.); </w:t>
      </w:r>
      <w:hyperlink r:id="rId389" w:history="1">
        <w:r>
          <w:rPr>
            <w:rFonts w:ascii="arial" w:eastAsia="arial" w:hAnsi="arial" w:cs="arial"/>
            <w:i/>
            <w:color w:val="0077CC"/>
            <w:sz w:val="20"/>
            <w:u w:val="single"/>
            <w:shd w:val="clear" w:color="auto" w:fill="FFFFFF"/>
            <w:lang w:val="en-US" w:eastAsia="en-US" w:bidi="ar-SA"/>
          </w:rPr>
          <w:t>2001 NBCA 28</w:t>
        </w:r>
      </w:hyperlink>
      <w:r>
        <w:rPr>
          <w:rFonts w:ascii="arial" w:eastAsia="arial" w:hAnsi="arial" w:cs="arial"/>
          <w:color w:val="000000"/>
          <w:sz w:val="20"/>
          <w:lang w:val="en-US" w:eastAsia="en-US" w:bidi="ar-SA"/>
        </w:rPr>
        <w:t xml:space="preserve">, affirming </w:t>
      </w:r>
      <w:hyperlink r:id="rId390" w:history="1">
        <w:r>
          <w:rPr>
            <w:rFonts w:ascii="arial" w:eastAsia="arial" w:hAnsi="arial" w:cs="arial"/>
            <w:i/>
            <w:color w:val="0077CC"/>
            <w:sz w:val="20"/>
            <w:u w:val="single"/>
            <w:shd w:val="clear" w:color="auto" w:fill="FFFFFF"/>
            <w:lang w:val="en-US" w:eastAsia="en-US" w:bidi="ar-SA"/>
          </w:rPr>
          <w:t>(2000), 234 N.B.R. (2d) 7</w:t>
        </w:r>
      </w:hyperlink>
      <w:r>
        <w:rPr>
          <w:rFonts w:ascii="arial" w:eastAsia="arial" w:hAnsi="arial" w:cs="arial"/>
          <w:color w:val="000000"/>
          <w:sz w:val="20"/>
          <w:lang w:val="en-US" w:eastAsia="en-US" w:bidi="ar-SA"/>
        </w:rPr>
        <w:t xml:space="preserve"> (Q.B.); </w:t>
      </w:r>
      <w:r>
        <w:rPr>
          <w:rFonts w:ascii="arial" w:eastAsia="arial" w:hAnsi="arial" w:cs="arial"/>
          <w:i/>
          <w:color w:val="000000"/>
          <w:sz w:val="20"/>
          <w:lang w:val="en-US" w:eastAsia="en-US" w:bidi="ar-SA"/>
        </w:rPr>
        <w:t>Ruscetta v. Graham</w:t>
      </w:r>
      <w:r>
        <w:rPr>
          <w:rFonts w:ascii="arial" w:eastAsia="arial" w:hAnsi="arial" w:cs="arial"/>
          <w:color w:val="000000"/>
          <w:sz w:val="20"/>
          <w:lang w:val="en-US" w:eastAsia="en-US" w:bidi="ar-SA"/>
        </w:rPr>
        <w:t xml:space="preserve"> </w:t>
      </w:r>
      <w:hyperlink r:id="rId391" w:history="1">
        <w:r>
          <w:rPr>
            <w:rFonts w:ascii="arial" w:eastAsia="arial" w:hAnsi="arial" w:cs="arial"/>
            <w:i/>
            <w:color w:val="0077CC"/>
            <w:sz w:val="20"/>
            <w:u w:val="single"/>
            <w:shd w:val="clear" w:color="auto" w:fill="FFFFFF"/>
            <w:lang w:val="en-US" w:eastAsia="en-US" w:bidi="ar-SA"/>
          </w:rPr>
          <w:t>(1998), 36 C.C.E.L. (2d) 177</w:t>
        </w:r>
      </w:hyperlink>
      <w:r>
        <w:rPr>
          <w:rFonts w:ascii="arial" w:eastAsia="arial" w:hAnsi="arial" w:cs="arial"/>
          <w:color w:val="000000"/>
          <w:sz w:val="20"/>
          <w:lang w:val="en-US" w:eastAsia="en-US" w:bidi="ar-SA"/>
        </w:rPr>
        <w:t xml:space="preserve"> (Ont. C.A.), application for leave to appeal to S.C.C. dismissed, </w:t>
      </w:r>
      <w:hyperlink r:id="rId392" w:history="1">
        <w:r>
          <w:rPr>
            <w:rFonts w:ascii="arial" w:eastAsia="arial" w:hAnsi="arial" w:cs="arial"/>
            <w:i/>
            <w:color w:val="0077CC"/>
            <w:sz w:val="20"/>
            <w:u w:val="single"/>
            <w:shd w:val="clear" w:color="auto" w:fill="FFFFFF"/>
            <w:lang w:val="en-US" w:eastAsia="en-US" w:bidi="ar-SA"/>
          </w:rPr>
          <w:t>[1998] S.C.C.A. No. 220</w:t>
        </w:r>
      </w:hyperlink>
      <w:r>
        <w:rPr>
          <w:rFonts w:ascii="arial" w:eastAsia="arial" w:hAnsi="arial" w:cs="arial"/>
          <w:color w:val="000000"/>
          <w:sz w:val="20"/>
          <w:lang w:val="en-US" w:eastAsia="en-US" w:bidi="ar-SA"/>
        </w:rPr>
        <w:t>];</w:t>
      </w:r>
    </w:p>
    <w:p>
      <w:pPr>
        <w:numPr>
          <w:numId w:val="1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interference with contractual relations [</w:t>
      </w:r>
      <w:r>
        <w:rPr>
          <w:rFonts w:ascii="arial" w:eastAsia="arial" w:hAnsi="arial" w:cs="arial"/>
          <w:i/>
          <w:color w:val="000000"/>
          <w:sz w:val="20"/>
          <w:lang w:val="en-US" w:eastAsia="en-US" w:bidi="ar-SA"/>
        </w:rPr>
        <w:t>Jadwani v. Canada</w:t>
      </w:r>
      <w:r>
        <w:rPr>
          <w:rFonts w:ascii="arial" w:eastAsia="arial" w:hAnsi="arial" w:cs="arial"/>
          <w:color w:val="000000"/>
          <w:sz w:val="20"/>
          <w:lang w:val="en-US" w:eastAsia="en-US" w:bidi="ar-SA"/>
        </w:rPr>
        <w:t>];</w:t>
      </w:r>
    </w:p>
    <w:p>
      <w:pPr>
        <w:numPr>
          <w:numId w:val="1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deceit, negligent misrepresentation and conspiracy; </w:t>
      </w:r>
      <w:r>
        <w:rPr>
          <w:rFonts w:ascii="arial" w:eastAsia="arial" w:hAnsi="arial" w:cs="arial"/>
          <w:i/>
          <w:color w:val="000000"/>
          <w:sz w:val="20"/>
          <w:lang w:val="en-US" w:eastAsia="en-US" w:bidi="ar-SA"/>
        </w:rPr>
        <w:t>Maynard v. Arvin Ride Control Products</w:t>
      </w:r>
      <w:r>
        <w:rPr>
          <w:rFonts w:ascii="arial" w:eastAsia="arial" w:hAnsi="arial" w:cs="arial"/>
          <w:color w:val="000000"/>
          <w:sz w:val="20"/>
          <w:lang w:val="en-US" w:eastAsia="en-US" w:bidi="ar-SA"/>
        </w:rPr>
        <w:t xml:space="preserve"> </w:t>
      </w:r>
      <w:hyperlink r:id="rId393" w:history="1">
        <w:r>
          <w:rPr>
            <w:rFonts w:ascii="arial" w:eastAsia="arial" w:hAnsi="arial" w:cs="arial"/>
            <w:i/>
            <w:color w:val="0077CC"/>
            <w:sz w:val="20"/>
            <w:u w:val="single"/>
            <w:shd w:val="clear" w:color="auto" w:fill="FFFFFF"/>
            <w:lang w:val="en-US" w:eastAsia="en-US" w:bidi="ar-SA"/>
          </w:rPr>
          <w:t>(2000), 49 C.C.L.T. (2d) 305</w:t>
        </w:r>
      </w:hyperlink>
      <w:r>
        <w:rPr>
          <w:rFonts w:ascii="arial" w:eastAsia="arial" w:hAnsi="arial" w:cs="arial"/>
          <w:color w:val="000000"/>
          <w:sz w:val="20"/>
          <w:lang w:val="en-US" w:eastAsia="en-US" w:bidi="ar-SA"/>
        </w:rPr>
        <w:t xml:space="preserve"> (Ont. Sup. Ct. Jus.);</w:t>
      </w:r>
    </w:p>
    <w:p>
      <w:pPr>
        <w:numPr>
          <w:numId w:val="1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infliction of mental distress where the "infliction" is closely associated with the employment relationship and is captured by the collective agreement [</w:t>
      </w:r>
      <w:r>
        <w:rPr>
          <w:rFonts w:ascii="arial" w:eastAsia="arial" w:hAnsi="arial" w:cs="arial"/>
          <w:i/>
          <w:color w:val="000000"/>
          <w:sz w:val="20"/>
          <w:lang w:val="en-US" w:eastAsia="en-US" w:bidi="ar-SA"/>
        </w:rPr>
        <w:t>Maynard v. Arvin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Bhaduria v. Toronto Board of Education</w:t>
      </w:r>
      <w:r>
        <w:rPr>
          <w:rFonts w:ascii="arial" w:eastAsia="arial" w:hAnsi="arial" w:cs="arial"/>
          <w:color w:val="000000"/>
          <w:sz w:val="20"/>
          <w:lang w:val="en-US" w:eastAsia="en-US" w:bidi="ar-SA"/>
        </w:rPr>
        <w:t>];</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handling of employee complaints [</w:t>
      </w:r>
      <w:r>
        <w:rPr>
          <w:rFonts w:ascii="arial" w:eastAsia="arial" w:hAnsi="arial" w:cs="arial"/>
          <w:i/>
          <w:color w:val="000000"/>
          <w:sz w:val="20"/>
          <w:lang w:val="en-US" w:eastAsia="en-US" w:bidi="ar-SA"/>
        </w:rPr>
        <w:t>Cooney v. Durham Board of Education</w:t>
      </w:r>
      <w:r>
        <w:rPr>
          <w:rFonts w:ascii="arial" w:eastAsia="arial" w:hAnsi="arial" w:cs="arial"/>
          <w:color w:val="000000"/>
          <w:sz w:val="20"/>
          <w:lang w:val="en-US" w:eastAsia="en-US" w:bidi="ar-SA"/>
        </w:rPr>
        <w:t xml:space="preserve"> </w:t>
      </w:r>
      <w:hyperlink r:id="rId394" w:history="1">
        <w:r>
          <w:rPr>
            <w:rFonts w:ascii="arial" w:eastAsia="arial" w:hAnsi="arial" w:cs="arial"/>
            <w:i/>
            <w:color w:val="0077CC"/>
            <w:sz w:val="20"/>
            <w:u w:val="single"/>
            <w:shd w:val="clear" w:color="auto" w:fill="FFFFFF"/>
            <w:lang w:val="en-US" w:eastAsia="en-US" w:bidi="ar-SA"/>
          </w:rPr>
          <w:t>(1998), 37 C.C.E.L. (2d) 161</w:t>
        </w:r>
      </w:hyperlink>
      <w:r>
        <w:rPr>
          <w:rFonts w:ascii="arial" w:eastAsia="arial" w:hAnsi="arial" w:cs="arial"/>
          <w:color w:val="000000"/>
          <w:sz w:val="20"/>
          <w:lang w:val="en-US" w:eastAsia="en-US" w:bidi="ar-SA"/>
        </w:rPr>
        <w:t xml:space="preserve"> (Ont. Gen. Div.); </w:t>
      </w:r>
      <w:r>
        <w:rPr>
          <w:rFonts w:ascii="arial" w:eastAsia="arial" w:hAnsi="arial" w:cs="arial"/>
          <w:i/>
          <w:color w:val="000000"/>
          <w:sz w:val="20"/>
          <w:lang w:val="en-US" w:eastAsia="en-US" w:bidi="ar-SA"/>
        </w:rPr>
        <w:t>Johnson-Paquette v. Canada</w:t>
      </w:r>
      <w:r>
        <w:rPr>
          <w:rFonts w:ascii="arial" w:eastAsia="arial" w:hAnsi="arial" w:cs="arial"/>
          <w:color w:val="000000"/>
          <w:sz w:val="20"/>
          <w:lang w:val="en-US" w:eastAsia="en-US" w:bidi="ar-SA"/>
        </w:rPr>
        <w:t xml:space="preserve"> </w:t>
      </w:r>
      <w:hyperlink r:id="rId395" w:history="1">
        <w:r>
          <w:rPr>
            <w:rFonts w:ascii="arial" w:eastAsia="arial" w:hAnsi="arial" w:cs="arial"/>
            <w:i/>
            <w:color w:val="0077CC"/>
            <w:sz w:val="20"/>
            <w:u w:val="single"/>
            <w:shd w:val="clear" w:color="auto" w:fill="FFFFFF"/>
            <w:lang w:val="en-US" w:eastAsia="en-US" w:bidi="ar-SA"/>
          </w:rPr>
          <w:t>(2000), 253 N.R. 305</w:t>
        </w:r>
      </w:hyperlink>
      <w:r>
        <w:rPr>
          <w:rFonts w:ascii="arial" w:eastAsia="arial" w:hAnsi="arial" w:cs="arial"/>
          <w:color w:val="000000"/>
          <w:sz w:val="20"/>
          <w:lang w:val="en-US" w:eastAsia="en-US" w:bidi="ar-SA"/>
        </w:rPr>
        <w:t xml:space="preserve"> (Fed. C.A.), affirming </w:t>
      </w:r>
      <w:hyperlink r:id="rId396" w:history="1">
        <w:r>
          <w:rPr>
            <w:rFonts w:ascii="arial" w:eastAsia="arial" w:hAnsi="arial" w:cs="arial"/>
            <w:i/>
            <w:color w:val="0077CC"/>
            <w:sz w:val="20"/>
            <w:u w:val="single"/>
            <w:shd w:val="clear" w:color="auto" w:fill="FFFFFF"/>
            <w:lang w:val="en-US" w:eastAsia="en-US" w:bidi="ar-SA"/>
          </w:rPr>
          <w:t>(1998), 159 F.T.R. 42</w:t>
        </w:r>
      </w:hyperlink>
      <w:r>
        <w:rPr>
          <w:rFonts w:ascii="arial" w:eastAsia="arial" w:hAnsi="arial" w:cs="arial"/>
          <w:color w:val="000000"/>
          <w:sz w:val="20"/>
          <w:lang w:val="en-US" w:eastAsia="en-US" w:bidi="ar-SA"/>
        </w:rPr>
        <w:t xml:space="preserve"> (T.D.)];</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union's breach of its duty of fair representation [</w:t>
      </w:r>
      <w:r>
        <w:rPr>
          <w:rFonts w:ascii="arial" w:eastAsia="arial" w:hAnsi="arial" w:cs="arial"/>
          <w:i/>
          <w:color w:val="000000"/>
          <w:sz w:val="20"/>
          <w:lang w:val="en-US" w:eastAsia="en-US" w:bidi="ar-SA"/>
        </w:rPr>
        <w:t>Maynard v. Arvin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Oliver v. Saint John</w:t>
      </w:r>
      <w:r>
        <w:rPr>
          <w:rFonts w:ascii="arial" w:eastAsia="arial" w:hAnsi="arial" w:cs="arial"/>
          <w:color w:val="000000"/>
          <w:sz w:val="20"/>
          <w:lang w:val="en-US" w:eastAsia="en-US" w:bidi="ar-SA"/>
        </w:rPr>
        <w:t>]; and</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defamation or damages to reputation where the alleged wrongful acts or statements are closely associated with the employment relationship and are captured by the collective agreement [this area will be discussed separately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note that the Grand Villa plaintiffs make allegations similar to (4)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Although the remedy an arbitrator is entitled to provide may not be the same as that which is open to a court that cannot be the basis to find that a court is entitled to assert jurisdiction. In </w:t>
      </w:r>
      <w:r>
        <w:rPr>
          <w:rFonts w:ascii="arial" w:eastAsia="arial" w:hAnsi="arial" w:cs="arial"/>
          <w:i/>
          <w:color w:val="000000"/>
          <w:sz w:val="20"/>
          <w:lang w:val="en-US" w:eastAsia="en-US" w:bidi="ar-SA"/>
        </w:rPr>
        <w:t>Moznik v. Richmond (City)</w:t>
      </w:r>
      <w:r>
        <w:rPr>
          <w:rFonts w:ascii="arial" w:eastAsia="arial" w:hAnsi="arial" w:cs="arial"/>
          <w:color w:val="000000"/>
          <w:sz w:val="20"/>
          <w:lang w:val="en-US" w:eastAsia="en-US" w:bidi="ar-SA"/>
        </w:rPr>
        <w:t xml:space="preserve">, </w:t>
      </w:r>
      <w:hyperlink r:id="rId397" w:history="1">
        <w:r>
          <w:rPr>
            <w:rFonts w:ascii="arial" w:eastAsia="arial" w:hAnsi="arial" w:cs="arial"/>
            <w:i/>
            <w:color w:val="0077CC"/>
            <w:sz w:val="20"/>
            <w:u w:val="single"/>
            <w:shd w:val="clear" w:color="auto" w:fill="FFFFFF"/>
            <w:lang w:val="en-US" w:eastAsia="en-US" w:bidi="ar-SA"/>
          </w:rPr>
          <w:t>2006 BCSC 1848</w:t>
        </w:r>
      </w:hyperlink>
      <w:r>
        <w:rPr>
          <w:rFonts w:ascii="arial" w:eastAsia="arial" w:hAnsi="arial" w:cs="arial"/>
          <w:color w:val="000000"/>
          <w:sz w:val="20"/>
          <w:lang w:val="en-US" w:eastAsia="en-US" w:bidi="ar-SA"/>
        </w:rPr>
        <w:t xml:space="preserve"> at paras. 79-81 Joyce J.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[79] Having determined that the complaint, in its essential character, arises out of the collective agreement, the remaining consideration is whether there can be an effective remedy if the plaintiff is precluded from bringing an action in this court. As noted earlier, s.89 of the Code provides an arbitration board with jurisdiction to provide a final and conclusive settlement of a dispute. It provides for broad remedial powers including setting the monetary value of injury or loss suffered by any person.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[80] In this case the plaintiff seeks only damages. An arbitrator appointed under the collective agreement has a broad jurisdiction to award damages, including aggravated and punitive damages (see for example: Re Ontario Hydro and C.U.P.E., Loc. 1000 </w:t>
      </w:r>
      <w:hyperlink r:id="rId398" w:history="1">
        <w:r>
          <w:rPr>
            <w:rFonts w:ascii="arial" w:eastAsia="arial" w:hAnsi="arial" w:cs="arial"/>
            <w:i/>
            <w:color w:val="0077CC"/>
            <w:sz w:val="20"/>
            <w:u w:val="single"/>
            <w:shd w:val="clear" w:color="auto" w:fill="FFFFFF"/>
            <w:lang w:val="en-US" w:eastAsia="en-US" w:bidi="ar-SA"/>
          </w:rPr>
          <w:t>(1990), 16 L.A.C. (4th) 264</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[81] The question is not whether the plaintiff can obtain the precise remedy she seeks through the court; it is whether she can obtain effective redress of the alleged harm through the mandatory arbitration provisions of the collective agreement and the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the collective agreement which governs the employment relationship of the Grand Villa plaintiffs clauses 6.1 through 6.3 read: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ARTICLE 6 - MANAGEMENT RIGHTS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6.1 Direction of Workforce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union recognizes the right of the Employer to direct the workforce in all respects, including scheduling, promotion, demotion, transfer, discipline, and discharge.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6.2 Direction of Operations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Union further recognizes the right of the Employer to operate and manage its business in all respects.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6.3 Application of Rights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Employer reserves the right to supplement and alter, as and when deemed necessary, reasonable rules and regulations to be observed by the employees. It is agreed that the rules and regulations may cover all aspects of the operation of the casino, including the procedures for dealing the games. It is further agreed that the Employer is entitled to make any changes which may be necessary to comply with the requirements of the British Columbia Lottery Corporation, or any other legislation, policies, directives, or regulations of any level of government which apply to the operation of the casino.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Employer will post copies of any changes to the policies and procedures manual to a bulletin board designated for that purpose for the conduct of employees and issue copies to each employee as an attachment on the employee's paystub to each shop steward and the staff representative.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S</w:t>
      </w:r>
      <w:r>
        <w:rPr>
          <w:rFonts w:ascii="arial" w:eastAsia="arial" w:hAnsi="arial" w:cs="arial"/>
          <w:i/>
          <w:color w:val="000000"/>
          <w:sz w:val="20"/>
          <w:lang w:val="en-US" w:eastAsia="en-US" w:bidi="ar-SA"/>
        </w:rPr>
        <w:t>tein v. British Columbia (Housing Management Commission)</w:t>
      </w:r>
      <w:r>
        <w:rPr>
          <w:rFonts w:ascii="arial" w:eastAsia="arial" w:hAnsi="arial" w:cs="arial"/>
          <w:color w:val="000000"/>
          <w:sz w:val="20"/>
          <w:lang w:val="en-US" w:eastAsia="en-US" w:bidi="ar-SA"/>
        </w:rPr>
        <w:t xml:space="preserve"> </w:t>
      </w:r>
      <w:hyperlink r:id="rId399" w:history="1">
        <w:r>
          <w:rPr>
            <w:rFonts w:ascii="arial" w:eastAsia="arial" w:hAnsi="arial" w:cs="arial"/>
            <w:i/>
            <w:color w:val="0077CC"/>
            <w:sz w:val="20"/>
            <w:u w:val="single"/>
            <w:shd w:val="clear" w:color="auto" w:fill="FFFFFF"/>
            <w:lang w:val="en-US" w:eastAsia="en-US" w:bidi="ar-SA"/>
          </w:rPr>
          <w:t>(1992), 65 B.C.L.R. (2d) 181</w:t>
        </w:r>
      </w:hyperlink>
      <w:r>
        <w:rPr>
          <w:rFonts w:ascii="arial" w:eastAsia="arial" w:hAnsi="arial" w:cs="arial"/>
          <w:color w:val="000000"/>
          <w:sz w:val="20"/>
          <w:lang w:val="en-US" w:eastAsia="en-US" w:bidi="ar-SA"/>
        </w:rPr>
        <w:t>, Southin J.A. began her reasons, with which the other judges agreed, by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proposition that an employer has a right to determine how his business shall be conducted. He may lay down any procedures he thinks advisable so long as they are neither contrary to law nor dishonest nor dangerous to the health of the employees and are within the ambit of the job for which any particular employee was hired. It is not for the employee nor for the court to consider the wisdom of the procedures. The employer is the boss and it is an essential implied term of every employment contract that, subject to the limitations I have expressed, the employee must obey the orders given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position of Gateway is that the dispute the plaintiffs wish to bring before this Court involves questions of the terms of their employment and remuneration which are at the core of the collective agreement and therefore that dispute is within the exclusive jurisdiction of an arbitrator appointed pursuant to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Grand Villa plaintiffs make submissions in response to those of Gateway, some of which I will briefly describe in the following paragraphs and in doing so will comment on their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respondents submit that s. 139 of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provides the Labour Relations Board with jurisdiction to decide certain questions. The section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The board has exclusive jurisdiction to decide a question arising under this Code and on application by any person or on its own motion may decide for all purposes of this Code any question, including, without limitation, any question as to whether</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is an employer or employee,</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organization or association is an employers' organization or a trade union,</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collective agreement has been entered into,</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is or what persons are bound by a collective agreement,</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is or what persons are parties to a collective agreement,</w:t>
      </w:r>
    </w:p>
    <w:p>
      <w:pPr>
        <w:numPr>
          <w:numId w:val="2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collective agreement has been entered into on behalf of a person,</w:t>
      </w:r>
    </w:p>
    <w:p>
      <w:pPr>
        <w:numPr>
          <w:numId w:val="2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collective agreement is in full force and effect,</w:t>
      </w:r>
    </w:p>
    <w:p>
      <w:pPr>
        <w:numPr>
          <w:numId w:val="2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is bargaining collectively or has bargained collectively in good faith,</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employee or a group of employees is a unit appropriate for collective bargaining,</w:t>
      </w:r>
    </w:p>
    <w:p>
      <w:pPr>
        <w:numPr>
          <w:numId w:val="2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employee belongs to a craft or group exercising technical or professional skills,</w:t>
      </w:r>
    </w:p>
    <w:p>
      <w:pPr>
        <w:numPr>
          <w:numId w:val="2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is a member in good standing of a trade union,</w:t>
      </w:r>
    </w:p>
    <w:p>
      <w:pPr>
        <w:numPr>
          <w:numId w:val="2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is included in or excluded from an appropriate bargaining unit,</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employer is included in or excluded from an accreditation,</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is a dependent contractor,</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organization of trade unions is a council of trade unions,</w:t>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service is essential for the purposes of Part 6,</w:t>
      </w:r>
    </w:p>
    <w:p>
      <w:pPr>
        <w:numPr>
          <w:numId w:val="3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is described in section 68 (1),</w:t>
      </w:r>
    </w:p>
    <w:p>
      <w:pPr>
        <w:numPr>
          <w:numId w:val="3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trade union, council of trade unions or employers' organization is fulfilling a duty of fair representation,</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site or place is a site or place of business, operations or employment of an employer,</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is an ally,</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is a professional,</w:t>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exercises technical or professional skills, and</w:t>
      </w:r>
    </w:p>
    <w:p>
      <w:pPr>
        <w:numPr>
          <w:numId w:val="4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activity constitutes a strike, lockout or picketing.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Grand Villa plaintiffs submit that none of the matters enumerated in s. 139 of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are addressed to the issues they raise in this action and therefore the court's jurisdiction is not ousted.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In my opinion s. 139 is not an answer to Gateway's submissions. If it was an answer the jurisprudence which has repeatedly concluded that exclusive jurisdiction is vested by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in arbitrators and not in the courts, to decide questions which are explicitly or by inference in their essentials governed by a collective agreement would have been decided differently in a manner which preserved the jurisdiction of the courts. It was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Grand Villa plaintiffs also submit this Court has already taken jurisdiction over this action and it is "too late" for Gateway to challenge that jurisdiction. They point to the injunction granted by Cullen J. as an assertion of jurisdiction. I do not agree Gateway's challenge is too late. It is correct that Cullen J. took jurisdiction over the action to the extent of granting an interlocutory injunction but did so on facts as they stood at that time. A critical fact has since changed. The Grand Villa plaintiffs are now bound by a collective agreement making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applicable to disputes governed by that agreement. In my opinion Cullen J. would not have taken jurisdiction if a collective agreement had been in place governing the employment relationship of the Grand Villa plaintiffs at the time of the injunction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Grand Villa plaintiffs submit Gateway, by not forcing an arbitration pursuant to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has accepted this Court has jurisdiction to try their law suit. In my opinion this argument is fatally flawed for two reasons. First it is not for Gateway to request an arbitrator to tell it how it should manage its business. It has that right pursuant to the common law and pursuant to clause 6 of the collective agreement. If the Grand Villa plaintiffs were advised Gateway had breached the collective agreement, it was for them to seek to have that issue arbitrated. Second an employer by its conduct cannot confer jurisdiction on the courts if by statute it does not exist.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Grand Villa plaintiffs submit </w:t>
      </w:r>
      <w:r>
        <w:rPr>
          <w:rFonts w:ascii="arial" w:eastAsia="arial" w:hAnsi="arial" w:cs="arial"/>
          <w:i/>
          <w:color w:val="000000"/>
          <w:sz w:val="20"/>
          <w:lang w:val="en-US" w:eastAsia="en-US" w:bidi="ar-SA"/>
        </w:rPr>
        <w:t>Weber</w:t>
      </w:r>
      <w:r>
        <w:rPr>
          <w:rFonts w:ascii="arial" w:eastAsia="arial" w:hAnsi="arial" w:cs="arial"/>
          <w:color w:val="000000"/>
          <w:sz w:val="20"/>
          <w:lang w:val="en-US" w:eastAsia="en-US" w:bidi="ar-SA"/>
        </w:rPr>
        <w:t xml:space="preserve"> is distinguishable on its facts and ought not to be applied to the present application. Clearly </w:t>
      </w:r>
      <w:r>
        <w:rPr>
          <w:rFonts w:ascii="arial" w:eastAsia="arial" w:hAnsi="arial" w:cs="arial"/>
          <w:i/>
          <w:color w:val="000000"/>
          <w:sz w:val="20"/>
          <w:lang w:val="en-US" w:eastAsia="en-US" w:bidi="ar-SA"/>
        </w:rPr>
        <w:t>Weber</w:t>
      </w:r>
      <w:r>
        <w:rPr>
          <w:rFonts w:ascii="arial" w:eastAsia="arial" w:hAnsi="arial" w:cs="arial"/>
          <w:color w:val="000000"/>
          <w:sz w:val="20"/>
          <w:lang w:val="en-US" w:eastAsia="en-US" w:bidi="ar-SA"/>
        </w:rPr>
        <w:t xml:space="preserve"> is distinguishable but the legal principles articulated in </w:t>
      </w:r>
      <w:r>
        <w:rPr>
          <w:rFonts w:ascii="arial" w:eastAsia="arial" w:hAnsi="arial" w:cs="arial"/>
          <w:i/>
          <w:color w:val="000000"/>
          <w:sz w:val="20"/>
          <w:lang w:val="en-US" w:eastAsia="en-US" w:bidi="ar-SA"/>
        </w:rPr>
        <w:t>Weber</w:t>
      </w:r>
      <w:r>
        <w:rPr>
          <w:rFonts w:ascii="arial" w:eastAsia="arial" w:hAnsi="arial" w:cs="arial"/>
          <w:color w:val="000000"/>
          <w:sz w:val="20"/>
          <w:lang w:val="en-US" w:eastAsia="en-US" w:bidi="ar-SA"/>
        </w:rPr>
        <w:t xml:space="preserve"> and in numerous other cases, make clear that there is a compelling public policy interest found in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and in other labour relations legislation in Canada leaving the adjudication of disputes which in their essence are covered by collective agreements to the specialized tribunals mandated by that legislation. In my opinion </w:t>
      </w:r>
      <w:r>
        <w:rPr>
          <w:rFonts w:ascii="arial" w:eastAsia="arial" w:hAnsi="arial" w:cs="arial"/>
          <w:i/>
          <w:color w:val="000000"/>
          <w:sz w:val="20"/>
          <w:lang w:val="en-US" w:eastAsia="en-US" w:bidi="ar-SA"/>
        </w:rPr>
        <w:t>Weber</w:t>
      </w:r>
      <w:r>
        <w:rPr>
          <w:rFonts w:ascii="arial" w:eastAsia="arial" w:hAnsi="arial" w:cs="arial"/>
          <w:color w:val="000000"/>
          <w:sz w:val="20"/>
          <w:lang w:val="en-US" w:eastAsia="en-US" w:bidi="ar-SA"/>
        </w:rPr>
        <w:t xml:space="preserve"> and cases which have followed it are clear authority against the position of the Grand Villa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Grand Villa plaintiffs submit that none of the causes of action they plead are referred to in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or the collective agreement and all arose before there was a collective agreement. That is correct but in my view does not assist them. Once the collective agreement was put in place all disputes inherent in the employment relationship must be resolved through the scheme found in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The scheme and the policy reasons for its enactment would be compromised if an employee later bound by a collective agreement could thwart the scheme simply by getting to the courthouse to institute a legal proceeding based on common law principles before being bound by the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plaintiffs rely on </w:t>
      </w:r>
      <w:r>
        <w:rPr>
          <w:rFonts w:ascii="arial" w:eastAsia="arial" w:hAnsi="arial" w:cs="arial"/>
          <w:i/>
          <w:color w:val="000000"/>
          <w:sz w:val="20"/>
          <w:lang w:val="en-US" w:eastAsia="en-US" w:bidi="ar-SA"/>
        </w:rPr>
        <w:t>Wainwright v. Vancouver Shipyards Co.</w:t>
      </w:r>
      <w:r>
        <w:rPr>
          <w:rFonts w:ascii="arial" w:eastAsia="arial" w:hAnsi="arial" w:cs="arial"/>
          <w:color w:val="000000"/>
          <w:sz w:val="20"/>
          <w:lang w:val="en-US" w:eastAsia="en-US" w:bidi="ar-SA"/>
        </w:rPr>
        <w:t xml:space="preserve">, </w:t>
      </w:r>
      <w:hyperlink r:id="rId377" w:history="1">
        <w:r>
          <w:rPr>
            <w:rFonts w:ascii="arial" w:eastAsia="arial" w:hAnsi="arial" w:cs="arial"/>
            <w:i/>
            <w:color w:val="0077CC"/>
            <w:sz w:val="20"/>
            <w:u w:val="single"/>
            <w:shd w:val="clear" w:color="auto" w:fill="FFFFFF"/>
            <w:lang w:val="en-US" w:eastAsia="en-US" w:bidi="ar-SA"/>
          </w:rPr>
          <w:t>[1987] B.C.J. No. 1169</w:t>
        </w:r>
      </w:hyperlink>
      <w:r>
        <w:rPr>
          <w:rFonts w:ascii="arial" w:eastAsia="arial" w:hAnsi="arial" w:cs="arial"/>
          <w:color w:val="000000"/>
          <w:sz w:val="20"/>
          <w:lang w:val="en-US" w:eastAsia="en-US" w:bidi="ar-SA"/>
        </w:rPr>
        <w:t>, a decision of the Court of Appeal. Hinkson J.A. concluded his reasons with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if the claims of the plaintiffs in these proceedings were that because of the pre-employment contracts, they could not be laid off pursuant to the terms of the collective agreement, clearly that would be a matter for arbitration, but those are not the claims advanced here. The trial judge found upon the basis of the evidence of the plaintiffs that they were given to understand that they would not be layed off for three years. That finding supports a conclusion that there were pre-employment contracts. These claims do not arise out of the collective agreement. They are claims arising out of a contract governed by common law principles. In my opinion, the Court did have jurisdiction. I think that this is clear from what was said by Chief Justice Laskin in the McGavin case and approved by Mr. Justice Estey in the St. Anne case. Upon the basis of this reasoning I would dismiss the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Wainwright</w:t>
      </w:r>
      <w:r>
        <w:rPr>
          <w:rFonts w:ascii="arial" w:eastAsia="arial" w:hAnsi="arial" w:cs="arial"/>
          <w:color w:val="000000"/>
          <w:sz w:val="20"/>
          <w:lang w:val="en-US" w:eastAsia="en-US" w:bidi="ar-SA"/>
        </w:rPr>
        <w:t xml:space="preserve"> is distinguishable on its facts from the matter before me. In </w:t>
      </w:r>
      <w:r>
        <w:rPr>
          <w:rFonts w:ascii="arial" w:eastAsia="arial" w:hAnsi="arial" w:cs="arial"/>
          <w:i/>
          <w:color w:val="000000"/>
          <w:sz w:val="20"/>
          <w:lang w:val="en-US" w:eastAsia="en-US" w:bidi="ar-SA"/>
        </w:rPr>
        <w:t>Wainwright</w:t>
      </w:r>
      <w:r>
        <w:rPr>
          <w:rFonts w:ascii="arial" w:eastAsia="arial" w:hAnsi="arial" w:cs="arial"/>
          <w:color w:val="000000"/>
          <w:sz w:val="20"/>
          <w:lang w:val="en-US" w:eastAsia="en-US" w:bidi="ar-SA"/>
        </w:rPr>
        <w:t xml:space="preserve"> the court found there were binding contracts entered into before the collective agreement which contracts were governed by the common law. The Grand Villa plaintiffs have no binding contract with Gateway which by its terms would preclude a change to the tip pooling arrangements without their consent. I agree with the decision of Mr. Dorsey in the Lake City Casino arbitration that management has the right to change internal tip policies so long as the change is not inconsistent with the collective agreement. Various changes were introduced into the tip policy arrangements between Gateway and its employees even before a collective agreement had been bargained.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Furthermore, </w:t>
      </w:r>
      <w:r>
        <w:rPr>
          <w:rFonts w:ascii="arial" w:eastAsia="arial" w:hAnsi="arial" w:cs="arial"/>
          <w:i/>
          <w:color w:val="000000"/>
          <w:sz w:val="20"/>
          <w:lang w:val="en-US" w:eastAsia="en-US" w:bidi="ar-SA"/>
        </w:rPr>
        <w:t>Wainwright</w:t>
      </w:r>
      <w:r>
        <w:rPr>
          <w:rFonts w:ascii="arial" w:eastAsia="arial" w:hAnsi="arial" w:cs="arial"/>
          <w:color w:val="000000"/>
          <w:sz w:val="20"/>
          <w:lang w:val="en-US" w:eastAsia="en-US" w:bidi="ar-SA"/>
        </w:rPr>
        <w:t xml:space="preserve"> was decided before </w:t>
      </w:r>
      <w:r>
        <w:rPr>
          <w:rFonts w:ascii="arial" w:eastAsia="arial" w:hAnsi="arial" w:cs="arial"/>
          <w:i/>
          <w:color w:val="000000"/>
          <w:sz w:val="20"/>
          <w:lang w:val="en-US" w:eastAsia="en-US" w:bidi="ar-SA"/>
        </w:rPr>
        <w:t>Weber</w:t>
      </w:r>
      <w:r>
        <w:rPr>
          <w:rFonts w:ascii="arial" w:eastAsia="arial" w:hAnsi="arial" w:cs="arial"/>
          <w:color w:val="000000"/>
          <w:sz w:val="20"/>
          <w:lang w:val="en-US" w:eastAsia="en-US" w:bidi="ar-SA"/>
        </w:rPr>
        <w:t xml:space="preserve"> in which the Supreme Court of Canada made clear that the courts must defer to the arbitration and grievance process found in a collective agreement when a dispute implicitly or by inference arises out of that agreement. I do not say </w:t>
      </w:r>
      <w:r>
        <w:rPr>
          <w:rFonts w:ascii="arial" w:eastAsia="arial" w:hAnsi="arial" w:cs="arial"/>
          <w:i/>
          <w:color w:val="000000"/>
          <w:sz w:val="20"/>
          <w:lang w:val="en-US" w:eastAsia="en-US" w:bidi="ar-SA"/>
        </w:rPr>
        <w:t>Wainwright</w:t>
      </w:r>
      <w:r>
        <w:rPr>
          <w:rFonts w:ascii="arial" w:eastAsia="arial" w:hAnsi="arial" w:cs="arial"/>
          <w:color w:val="000000"/>
          <w:sz w:val="20"/>
          <w:lang w:val="en-US" w:eastAsia="en-US" w:bidi="ar-SA"/>
        </w:rPr>
        <w:t xml:space="preserve"> would be decided differently now but I do say that the rule of deference by the courts to the dispute mechanism found in </w:t>
      </w:r>
      <w:r>
        <w:rPr>
          <w:rFonts w:ascii="arial" w:eastAsia="arial" w:hAnsi="arial" w:cs="arial"/>
          <w:i/>
          <w:color w:val="000000"/>
          <w:sz w:val="20"/>
          <w:lang w:val="en-US" w:eastAsia="en-US" w:bidi="ar-SA"/>
        </w:rPr>
        <w:t>the</w:t>
      </w:r>
      <w:r>
        <w:rPr>
          <w:rFonts w:ascii="arial" w:eastAsia="arial" w:hAnsi="arial" w:cs="arial"/>
          <w:color w:val="000000"/>
          <w:sz w:val="20"/>
          <w:lang w:val="en-US" w:eastAsia="en-US" w:bidi="ar-SA"/>
        </w:rPr>
        <w:t xml:space="preserve"> Code is more firmly embedded in our jurisprudence then it was at the time </w:t>
      </w:r>
      <w:r>
        <w:rPr>
          <w:rFonts w:ascii="arial" w:eastAsia="arial" w:hAnsi="arial" w:cs="arial"/>
          <w:i/>
          <w:color w:val="000000"/>
          <w:sz w:val="20"/>
          <w:lang w:val="en-US" w:eastAsia="en-US" w:bidi="ar-SA"/>
        </w:rPr>
        <w:t>Wainwright</w:t>
      </w:r>
      <w:r>
        <w:rPr>
          <w:rFonts w:ascii="arial" w:eastAsia="arial" w:hAnsi="arial" w:cs="arial"/>
          <w:color w:val="000000"/>
          <w:sz w:val="20"/>
          <w:lang w:val="en-US" w:eastAsia="en-US" w:bidi="ar-SA"/>
        </w:rPr>
        <w:t xml:space="preserve"> was decided.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plaintiffs also rely on </w:t>
      </w:r>
      <w:r>
        <w:rPr>
          <w:rFonts w:ascii="arial" w:eastAsia="arial" w:hAnsi="arial" w:cs="arial"/>
          <w:i/>
          <w:color w:val="000000"/>
          <w:sz w:val="20"/>
          <w:lang w:val="en-US" w:eastAsia="en-US" w:bidi="ar-SA"/>
        </w:rPr>
        <w:t>Bennett v. British Columbia</w:t>
      </w:r>
      <w:r>
        <w:rPr>
          <w:rFonts w:ascii="arial" w:eastAsia="arial" w:hAnsi="arial" w:cs="arial"/>
          <w:color w:val="000000"/>
          <w:sz w:val="20"/>
          <w:lang w:val="en-US" w:eastAsia="en-US" w:bidi="ar-SA"/>
        </w:rPr>
        <w:t xml:space="preserve">, </w:t>
      </w:r>
      <w:hyperlink r:id="rId400" w:history="1">
        <w:r>
          <w:rPr>
            <w:rFonts w:ascii="arial" w:eastAsia="arial" w:hAnsi="arial" w:cs="arial"/>
            <w:i/>
            <w:color w:val="0077CC"/>
            <w:sz w:val="20"/>
            <w:u w:val="single"/>
            <w:shd w:val="clear" w:color="auto" w:fill="FFFFFF"/>
            <w:lang w:val="en-US" w:eastAsia="en-US" w:bidi="ar-SA"/>
          </w:rPr>
          <w:t>2007 BCCA 5</w:t>
        </w:r>
      </w:hyperlink>
      <w:r>
        <w:rPr>
          <w:rFonts w:ascii="arial" w:eastAsia="arial" w:hAnsi="arial" w:cs="arial"/>
          <w:color w:val="000000"/>
          <w:sz w:val="20"/>
          <w:lang w:val="en-US" w:eastAsia="en-US" w:bidi="ar-SA"/>
        </w:rPr>
        <w:t>, in which a group of employees and former employees sued an employer regarding post retirement pension benefits which they allege had been promised to them. Some employees were union members and the employer argued those members could not invoke the jurisdiction of the court. The judge at first instance disagreed with the employer finding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More importantly, however, in my view, the provincial legislation in force from time to time makes it abundantly clear that under no circumstances could the subject [of the litigation] be contained in a collective agreement. In that respect, I refer to the Public Service Labour Relations Act, </w:t>
      </w:r>
      <w:hyperlink r:id="rId401" w:history="1">
        <w:r>
          <w:rPr>
            <w:rFonts w:ascii="arial" w:eastAsia="arial" w:hAnsi="arial" w:cs="arial"/>
            <w:i/>
            <w:color w:val="0077CC"/>
            <w:sz w:val="20"/>
            <w:u w:val="single"/>
            <w:shd w:val="clear" w:color="auto" w:fill="FFFFFF"/>
            <w:lang w:val="en-US" w:eastAsia="en-US" w:bidi="ar-SA"/>
          </w:rPr>
          <w:t>R.S.B.C. 1996, c. 388, s. 12</w:t>
        </w:r>
      </w:hyperlink>
      <w:r>
        <w:rPr>
          <w:rFonts w:ascii="arial" w:eastAsia="arial" w:hAnsi="arial" w:cs="arial"/>
          <w:color w:val="000000"/>
          <w:sz w:val="20"/>
          <w:lang w:val="en-US" w:eastAsia="en-US" w:bidi="ar-SA"/>
        </w:rPr>
        <w:t>(b):</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Every collective agreement must include all matters affecting wages or salary, hours of work and other working conditions, except the following: ...</w:t>
      </w:r>
    </w:p>
    <w:p>
      <w:pPr>
        <w:numPr>
          <w:numId w:val="4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all matters included under the Public Service Pension Plan, continued under the Public Sector Pension Plans Act, and the pension plan rules made under that plan;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Court of Appeal agreed with the chambers judge and at para. 47 of the reasons these words are found: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simply cannot be said that the essential character of the dispute in this case arises from the interpretation, application, administration or violation of a collective agreement. At least until 2001, the Benefits were never the subject of collective bargaining. They were made available to union and non-union employees alike even before collective bargaining became the norm in the Province's civil service. </w:t>
      </w:r>
      <w:r>
        <w:rPr>
          <w:rFonts w:ascii="arial" w:eastAsia="arial" w:hAnsi="arial" w:cs="arial"/>
          <w:color w:val="000000"/>
          <w:sz w:val="20"/>
          <w:u w:val="single"/>
          <w:lang w:val="en-US" w:eastAsia="en-US" w:bidi="ar-SA"/>
        </w:rPr>
        <w:t>The Retirees' claim to the Benefits is a matter lying outside the ambit of any collective agreement to which the Province is party</w:t>
      </w:r>
      <w:r>
        <w:rPr>
          <w:rFonts w:ascii="arial" w:eastAsia="arial" w:hAnsi="arial" w:cs="arial"/>
          <w:color w:val="000000"/>
          <w:sz w:val="20"/>
          <w:lang w:val="en-US" w:eastAsia="en-US" w:bidi="ar-SA"/>
        </w:rPr>
        <w:t xml:space="preserve"> -- although not, perhaps, outside the employment relationships it had with the Retirees. Consistent with this, the determination of Mr. Bennett's claim will involve arguments as to contract formation, Crown obligation, and statutory interpretation, which are not in my respectful opinion matters that necessarily engage or require the expertise of labour arbitrators.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Chiasson J.A. wrote separate but concurring reasons. In my opinion the </w:t>
      </w:r>
      <w:r>
        <w:rPr>
          <w:rFonts w:ascii="arial" w:eastAsia="arial" w:hAnsi="arial" w:cs="arial"/>
          <w:i/>
          <w:color w:val="000000"/>
          <w:sz w:val="20"/>
          <w:lang w:val="en-US" w:eastAsia="en-US" w:bidi="ar-SA"/>
        </w:rPr>
        <w:t>Bennett</w:t>
      </w:r>
      <w:r>
        <w:rPr>
          <w:rFonts w:ascii="arial" w:eastAsia="arial" w:hAnsi="arial" w:cs="arial"/>
          <w:color w:val="000000"/>
          <w:sz w:val="20"/>
          <w:lang w:val="en-US" w:eastAsia="en-US" w:bidi="ar-SA"/>
        </w:rPr>
        <w:t xml:space="preserve"> case cannot assist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plaintiffs also refer to </w:t>
      </w:r>
      <w:r>
        <w:rPr>
          <w:rFonts w:ascii="arial" w:eastAsia="arial" w:hAnsi="arial" w:cs="arial"/>
          <w:i/>
          <w:color w:val="000000"/>
          <w:sz w:val="20"/>
          <w:lang w:val="en-US" w:eastAsia="en-US" w:bidi="ar-SA"/>
        </w:rPr>
        <w:t>Better Value Furniture (CHWK) Ltd. v. Vancouver Distribution Centre Ltd.</w:t>
      </w:r>
      <w:r>
        <w:rPr>
          <w:rFonts w:ascii="arial" w:eastAsia="arial" w:hAnsi="arial" w:cs="arial"/>
          <w:color w:val="000000"/>
          <w:sz w:val="20"/>
          <w:lang w:val="en-US" w:eastAsia="en-US" w:bidi="ar-SA"/>
        </w:rPr>
        <w:t xml:space="preserve">, </w:t>
      </w:r>
      <w:hyperlink r:id="rId402" w:history="1">
        <w:r>
          <w:rPr>
            <w:rFonts w:ascii="arial" w:eastAsia="arial" w:hAnsi="arial" w:cs="arial"/>
            <w:i/>
            <w:color w:val="0077CC"/>
            <w:sz w:val="20"/>
            <w:u w:val="single"/>
            <w:shd w:val="clear" w:color="auto" w:fill="FFFFFF"/>
            <w:lang w:val="en-US" w:eastAsia="en-US" w:bidi="ar-SA"/>
          </w:rPr>
          <w:t>[1981] B.C.J. No. 352</w:t>
        </w:r>
      </w:hyperlink>
      <w:r>
        <w:rPr>
          <w:rFonts w:ascii="arial" w:eastAsia="arial" w:hAnsi="arial" w:cs="arial"/>
          <w:color w:val="000000"/>
          <w:sz w:val="20"/>
          <w:lang w:val="en-US" w:eastAsia="en-US" w:bidi="ar-SA"/>
        </w:rPr>
        <w:t>, in which Nemetz C.J.B.C., writing for the majority, dismissed an appeal from the grant of an interlocutory injunction by McEachern C.J.S.C. At para. 9 of the reasons Chief Justice Nemetz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threat to picket (words expressing an intention to do harm) with its consequential effect of interfering with the contractual relations between Better Value and the distributor is a common law tort and ordinarily would be within the jurisdiction of the courts in order to protect the public from violations of the general law, both civil and criminal. Thus, I agree with the view that where an alleged tort can be established without a finding that the defendant violated provisions of the Labour Code, its regulations or a collective agreement, the jurisdiction of the courts in this province is not ousted and an action may be maintained.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Grand Villa plaintiffs submit that in their action against Gateway they complain tortious interference with economic relations and argue that </w:t>
      </w:r>
      <w:r>
        <w:rPr>
          <w:rFonts w:ascii="arial" w:eastAsia="arial" w:hAnsi="arial" w:cs="arial"/>
          <w:i/>
          <w:color w:val="000000"/>
          <w:sz w:val="20"/>
          <w:lang w:val="en-US" w:eastAsia="en-US" w:bidi="ar-SA"/>
        </w:rPr>
        <w:t>Better Value Furniture</w:t>
      </w:r>
      <w:r>
        <w:rPr>
          <w:rFonts w:ascii="arial" w:eastAsia="arial" w:hAnsi="arial" w:cs="arial"/>
          <w:color w:val="000000"/>
          <w:sz w:val="20"/>
          <w:lang w:val="en-US" w:eastAsia="en-US" w:bidi="ar-SA"/>
        </w:rPr>
        <w:t xml:space="preserve"> ought to be applied to permit this Court to take jurisdiction to entertain that cause of action. I am not persuaded that is correct. Cases which precede </w:t>
      </w:r>
      <w:r>
        <w:rPr>
          <w:rFonts w:ascii="arial" w:eastAsia="arial" w:hAnsi="arial" w:cs="arial"/>
          <w:i/>
          <w:color w:val="000000"/>
          <w:sz w:val="20"/>
          <w:lang w:val="en-US" w:eastAsia="en-US" w:bidi="ar-SA"/>
        </w:rPr>
        <w:t>Weber</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St. Anne</w:t>
      </w:r>
      <w:r>
        <w:rPr>
          <w:rFonts w:ascii="arial" w:eastAsia="arial" w:hAnsi="arial" w:cs="arial"/>
          <w:color w:val="000000"/>
          <w:sz w:val="20"/>
          <w:lang w:val="en-US" w:eastAsia="en-US" w:bidi="ar-SA"/>
        </w:rPr>
        <w:t xml:space="preserve"> ought to be treated with caution when considering the jurisdiction of the courts to address labour relations matters. Although much of that jurisdiction has passed in this province to arbitrators appointed pursuant to the statutory scheme created by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the jurisdiction of the courts to grant injunctions, even in labour relations matters covered by collective agreements, has been preserved in appropriate cases. I am not persuaded </w:t>
      </w:r>
      <w:r>
        <w:rPr>
          <w:rFonts w:ascii="arial" w:eastAsia="arial" w:hAnsi="arial" w:cs="arial"/>
          <w:i/>
          <w:color w:val="000000"/>
          <w:sz w:val="20"/>
          <w:lang w:val="en-US" w:eastAsia="en-US" w:bidi="ar-SA"/>
        </w:rPr>
        <w:t>Better Value Furniture</w:t>
      </w:r>
      <w:r>
        <w:rPr>
          <w:rFonts w:ascii="arial" w:eastAsia="arial" w:hAnsi="arial" w:cs="arial"/>
          <w:color w:val="000000"/>
          <w:sz w:val="20"/>
          <w:lang w:val="en-US" w:eastAsia="en-US" w:bidi="ar-SA"/>
        </w:rPr>
        <w:t xml:space="preserve"> ought to influence my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question of whether this Court or an arbitrator appointed pursuant to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has jurisdiction to entertain the dispute between the Grand Villa plaintiffs and Gateway must be resolved by reference to the essential character of the dispute to determine if it falls at least inferentially within the collective agreement. The essential character of the dispute in this action surrounds the question of how much the plaintiffs will be paid. That question in my opinion is at the heart of the employment relationship. With few exceptions people have jobs to earn a living. The amount a person is paid is implicitly at the centre of virtually every employment agreement, as it is with the Grand Villa plaintiffs. In my opinion the essentials of the dispute are governed by the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Gateway is entitled to the declaration it seeks in its notice of application and as a consequence of that declaration this action, so far as it is brought by the Grand Villa plaintiffs, cannot be entertained by this Court and must be struck. The interlocutory injunction granted in these proceedings on December 18, 2009 is varied so that it will no longer apply to the Grand Villa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parties may exchange and file written submissions on costs. They will be no longer than three pages. I will leave it to the parties to determine a schedule for the filing of the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K.N. AFFLECK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9" style="position:absolute;z-index:2517739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03"/>
          <w:headerReference w:type="default" r:id="rId404"/>
          <w:footerReference w:type="even" r:id="rId405"/>
          <w:footerReference w:type="default" r:id="rId406"/>
          <w:headerReference w:type="first" r:id="rId407"/>
          <w:footerReference w:type="first" r:id="rId40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09" w:history="1">
        <w:r>
          <w:rPr>
            <w:rFonts w:ascii="arial" w:eastAsia="arial" w:hAnsi="arial" w:cs="arial"/>
            <w:b/>
            <w:bCs/>
            <w:i/>
            <w:color w:val="0077CC"/>
            <w:kern w:val="32"/>
            <w:sz w:val="28"/>
            <w:szCs w:val="32"/>
            <w:u w:val="single"/>
            <w:shd w:val="clear" w:color="auto" w:fill="FFFFFF"/>
            <w:lang w:val="en-US" w:eastAsia="en-US" w:bidi="ar-SA"/>
          </w:rPr>
          <w:t>Ban v. Keleher, [2017] B.C.J. No. 1285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J.L. Dorgan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1-4, 14,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30,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14-3441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1285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1132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Stephen Shigeyoshi Ban and Natalie Corinna Ban, Plaintiffs, and Brent Michael Keleher,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(129 paras.)</w:t>
      </w:r>
    </w:p>
    <w:p>
      <w:pPr>
        <w:jc w:val="both"/>
        <w:rPr>
          <w:rFonts w:ascii="arial" w:eastAsia="arial" w:hAnsi="arial" w:cs="arial"/>
          <w:sz w:val="20"/>
          <w:lang w:val="en-US" w:eastAsia="en-US" w:bidi="ar-SA"/>
        </w:rPr>
      </w:pPr>
      <w:bookmarkStart w:id="74" w:name="Counsel_13"/>
      <w:bookmarkEnd w:id="7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0" style="position:absolute;z-index:251672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S.M. Hirji.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N. Parhar.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5" w:name="Judgment_13"/>
      <w:bookmarkEnd w:id="75"/>
      <w:r>
        <w:pict>
          <v:line id="_x0000_s1071" style="position:absolute;z-index:25172377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6" w:name="J.L. DORGAN J."/>
            <w:bookmarkEnd w:id="76"/>
            <w:r>
              <w:rPr>
                <w:rFonts w:ascii="arial" w:eastAsia="arial" w:hAnsi="arial" w:cs="arial"/>
                <w:b/>
                <w:color w:val="000000"/>
                <w:sz w:val="30"/>
                <w:lang w:val="en-US" w:eastAsia="en-US" w:bidi="ar-SA"/>
              </w:rPr>
              <w:t>J.L. DORGAN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case concerns the purchase and sale of a Fairfield area residential property located at 1121 McKenzie Street, Victoria, B.C. (the "property"). The defendant, Mr. Keleher, who bought the property in December 2009, sold it to the plaintiffs, the Bans, on May 8, 2013 for the agreed price of $687,500.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Bans claim damages arising from the alleged fraudulent and/or negligent misrepresentations of Mr. Keleher and for breach of contract in respect of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factual basis of the claim arises from the possible migration to the property of chemical contaminants from a nearby drycleaning business which closed in the 1990's, from Notices of "Likely or Actual Offsite Migration" to the defendant in August and September 2012, and from the October 2012 installation of testing wells on the property for the purpose of monitoring the environmental effect of potential migration of the contaminants.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Agreed Statements of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At the outset of this trial the parties submitted an agreed statement of facts (Exhibit 2) as follows:</w:t>
      </w:r>
      <w:r>
        <w:rPr>
          <w:rFonts w:ascii="arial" w:eastAsia="arial" w:hAnsi="arial" w:cs="arial"/>
          <w:sz w:val="20"/>
          <w:lang w:val="en-US" w:eastAsia="en-US" w:bidi="ar-SA"/>
        </w:rPr>
        <w:cr/>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Brent Michael Keleher, purchased the property located at 1121 McKenzie Street, Victoria, B.C. (the "Property") in late 2009.</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Keleher paid approximately $629,000 to purchase the Property in late 2009.</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Keleher was the owner of the property between late 2009 and May 8, 2013.</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or about 2010, Mr. Keleher conducted some construction/ renovation work on the Property that included installation of dormer windows, "re-doing" the hardwood flooring, the bathroom, the deck, and the roof.</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renovation work required a permit and a variance, both of which were obtained by Mr. Keleher.</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or about the summer of 2012, Mr. Keleher was informed by his neighbour Neil Vickers that that [sic] environmental consultants had conducted drilling and/or installed wells in the backyard of the neighbour's property, and would likely be contacting Mr. Keleher to examine the Property;</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or about August 2012, Mr. Keleher received a "Notification of Likely or Actual Offsite Migration dated August 16, 2012 (the "First Notice").</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or about September 2012, Mr. Keleher received a "Notification of Likely or Actual Migration" dated September 18, 2012 (the "Second Notice").</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or about October 2012, representatives of Franz Environmental attended at the Property to conduct drilling, install monitoring wells, and conduct sampling.</w:t>
      </w:r>
    </w:p>
    <w:p>
      <w:pPr>
        <w:numPr>
          <w:numId w:val="1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Property was listed for sale by Mr. Keleher in or about mid-February 2013.</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Mr. and Mrs. Ban, entered into an agreement to purchase the Property from Mr. Keleher on or about February 28, 2013 (the "Purchase Agreement").</w:t>
      </w:r>
    </w:p>
    <w:p>
      <w:pPr>
        <w:numPr>
          <w:numId w:val="1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transaction closed on or about May 8, 2013.</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purchase price was $687,500.</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and Mrs. Ban used a notary public, Tim Shipley, to assist them with the conveyancing of the Property. They did not hire a lawyer.</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Neither the Plaintiffs, nor their representatives, conducted searches of the BC Site Registry prior to completion of the transaction.</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relation to the purchase price, Mr. and Mrs. Ban had previously offered to purchase the Property at a price of $695,000, but the price was reduced to $687,500 after it was determined that there were some issues with the perimeter drains.</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Purchase Agreement included a Disclosure Statement dated February 12, 2013, that formed part of the Purchase Agreement.</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a term of the Purchase Agreement that the representations contained in the Disclosure Statement survive the completion of the sale.</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Disclosure Statement was signed and initialed by Mr. Keleher.</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Disclosure Statement was received by Mr. and Mrs. Ban on or about February 28, 2013, and signed and initialed by them at that time.</w:t>
      </w:r>
    </w:p>
    <w:p>
      <w:pPr>
        <w:numPr>
          <w:numId w:val="2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Disclosure Statement contained the following question at section 1.E. "Have you received any other notice or claim affecting the Premises from any person or public body?"</w:t>
      </w:r>
    </w:p>
    <w:p>
      <w:pPr>
        <w:numPr>
          <w:numId w:val="2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answer provided by Mr. Keleher to the question at section 1.E. was "NO".</w:t>
      </w:r>
    </w:p>
    <w:p>
      <w:pPr>
        <w:numPr>
          <w:numId w:val="2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Keleher did not disclose in the Disclosure Statement that he received either the First Notice or the Second Notice.</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Keleher did not disclose the existence of the First Notice or the Second Notice directly to Mr. or Mrs. Ban at any time.</w:t>
      </w:r>
    </w:p>
    <w:p>
      <w:pPr>
        <w:numPr>
          <w:numId w:val="2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Keleher did not tell Mr. or Mrs. Ban, at any time, that:</w:t>
      </w:r>
    </w:p>
    <w:p>
      <w:pPr>
        <w:numPr>
          <w:numId w:val="2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environmental consultants had conducted drilling and/or installed wells in the backyard of his neighbour's property in the summer of 2012;</w:t>
      </w:r>
    </w:p>
    <w:p>
      <w:pPr>
        <w:numPr>
          <w:numId w:val="2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or about October 2012, representatives of Franz Environmental attended at the Property to conduct drilling, install monitoring wells, and conduct sampling;</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Five monitoring wells had been installed in the backyard of the Property;</w:t>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New sod had been placed over the monitoring wells installed in the backyard of the Property.</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have never listed the Property for sale since acquiring it in May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their opening statement, the plaintiffs frame the issues as follows:</w:t>
      </w:r>
      <w:r>
        <w:rPr>
          <w:rFonts w:ascii="arial" w:eastAsia="arial" w:hAnsi="arial" w:cs="arial"/>
          <w:sz w:val="20"/>
          <w:lang w:val="en-US" w:eastAsia="en-US" w:bidi="ar-SA"/>
        </w:rPr>
        <w:cr/>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Defendant liable to the Plaintiffs for:</w:t>
      </w:r>
    </w:p>
    <w:p>
      <w:pPr>
        <w:numPr>
          <w:numId w:val="3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fraudulent misrepresentation;</w:t>
      </w:r>
    </w:p>
    <w:p>
      <w:pPr>
        <w:numPr>
          <w:numId w:val="3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negligent misrepresentation; or</w:t>
      </w:r>
    </w:p>
    <w:p>
      <w:pPr>
        <w:numPr>
          <w:numId w:val="3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contract?</w:t>
      </w:r>
    </w:p>
    <w:p>
      <w:pPr>
        <w:numPr>
          <w:numId w:val="3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what is the appropriate measure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As the plaintiffs earlier abandoned their claim for rescission, their claim is for damages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plaintiffs contend that the defendant, a police officer, knowingly and dishonestly answered question 1.E. of the property disclosure statement (the "PDS") incorrectly, that he deliberately failed to disclose the fact he had received the First and Second Notices or the fact of the existence of the installed monitoring wells in the PDS generally, that the plaintiffs relied on the PDS in making their decision to purchase and at what price, and that as a result they paid $687,500 for a property that was actually worth 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 submits that the cause of action here, as framed in the Amended Notice of Civil Claim, is limited to a determination of whether, as a result of the answer to question 1.E. of the PDS, the defendant made a misrepresentation that was innocent, negligent, or fraudulent. The defendant submits he made an innocent mistake in completing the PDS which cannot ground liability. Further, the defendant argues that even if causation is found, the plaintiffs have not proven damage or loss as the property has increased in value and damages claimed under either the heading of stigma or loss of use are purely speculative.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As will be discussed below, the PDS contained an unfilled section which invited the seller to provide additional information or explanations. Although not explicitly stated in the defendant's submissions, the inference I draw is that the defendant suggests that the plaintiffs should not be allowed to argue that the PDS generally misrepresented the known state of affairs by failing to disclose in either 1.E. or within the section for additional comments and explanations.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plaintiffs plead,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A. Fraudulent Misrepresentation</w:t>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answer provided by the Defendant to question 1.E of the Property Disclosure Statement was not true when the Disclosure Statement was completed by the Defendant. The Plaintiffs plead that the answer provided by the Defendant is a fraudulent misrepresentation in the circumstances.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B. Negligent Misrepresentation</w:t>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the Plaintiffs plead that the Defendant acted negligently when providing answers to the Disclosure Statement and in particular with respect to question 1.E.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C. Breach of Contract</w:t>
      </w:r>
    </w:p>
    <w:p>
      <w:pPr>
        <w:numPr>
          <w:numId w:val="4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Disclosure Statement was incorporated into and formed part of the Contract.</w:t>
      </w:r>
    </w:p>
    <w:p>
      <w:pPr>
        <w:numPr>
          <w:numId w:val="4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answer provided by the Defendant to question 1.E was untrue and did not accord with the Defendant's true belief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As may be seen in the pleadings noted above, under </w:t>
      </w:r>
      <w:r>
        <w:rPr>
          <w:rFonts w:ascii="arial" w:eastAsia="arial" w:hAnsi="arial" w:cs="arial"/>
          <w:i/>
          <w:color w:val="000000"/>
          <w:sz w:val="20"/>
          <w:lang w:val="en-US" w:eastAsia="en-US" w:bidi="ar-SA"/>
        </w:rPr>
        <w:t>Fraudulent Misrepresentation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Breach of Contract</w:t>
      </w:r>
      <w:r>
        <w:rPr>
          <w:rFonts w:ascii="arial" w:eastAsia="arial" w:hAnsi="arial" w:cs="arial"/>
          <w:color w:val="000000"/>
          <w:sz w:val="20"/>
          <w:lang w:val="en-US" w:eastAsia="en-US" w:bidi="ar-SA"/>
        </w:rPr>
        <w:t xml:space="preserve"> the plaintiffs specifically target question 1.E. whereas under </w:t>
      </w:r>
      <w:r>
        <w:rPr>
          <w:rFonts w:ascii="arial" w:eastAsia="arial" w:hAnsi="arial" w:cs="arial"/>
          <w:i/>
          <w:color w:val="000000"/>
          <w:sz w:val="20"/>
          <w:lang w:val="en-US" w:eastAsia="en-US" w:bidi="ar-SA"/>
        </w:rPr>
        <w:t>Negligent Misrepresentation</w:t>
      </w:r>
      <w:r>
        <w:rPr>
          <w:rFonts w:ascii="arial" w:eastAsia="arial" w:hAnsi="arial" w:cs="arial"/>
          <w:color w:val="000000"/>
          <w:sz w:val="20"/>
          <w:lang w:val="en-US" w:eastAsia="en-US" w:bidi="ar-SA"/>
        </w:rPr>
        <w:t xml:space="preserve"> the plaintiffs target the PDS generally and highlight question 1.E. specifically.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Furthermore, the plaintiffs state in the "Statement of Facts" that:</w:t>
      </w:r>
      <w:r>
        <w:rPr>
          <w:rFonts w:ascii="arial" w:eastAsia="arial" w:hAnsi="arial" w:cs="arial"/>
          <w:sz w:val="20"/>
          <w:lang w:val="en-US" w:eastAsia="en-US" w:bidi="ar-SA"/>
        </w:rPr>
        <w:cr/>
      </w:r>
    </w:p>
    <w:p>
      <w:pPr>
        <w:numPr>
          <w:numId w:val="4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no time before or after executing the Disclosure Statement did the defendant inform or advise the Plaintiffs:</w:t>
      </w:r>
    </w:p>
    <w:p>
      <w:pPr>
        <w:numPr>
          <w:numId w:val="4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First Notice or the Second Notice had been received;</w:t>
      </w:r>
    </w:p>
    <w:p>
      <w:pPr>
        <w:numPr>
          <w:numId w:val="4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subsurface investigations had taken place in relation to actual or likely off-site migration of contaminants;</w:t>
      </w:r>
    </w:p>
    <w:p>
      <w:pPr>
        <w:numPr>
          <w:numId w:val="4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Defendant had been informed of the results of those investigations; or</w:t>
      </w:r>
    </w:p>
    <w:p>
      <w:pPr>
        <w:numPr>
          <w:numId w:val="4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monitoring wells remained installed on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 am satisfied that the defendant knew the case he had to meet. The plaintiffs' claim is that as of May 2013 the defendant knew that sub-surface monitoring wells had been installed in order to monitor likely or actual migration of off-site contamination and that the defendant fraudulently or negligently failed to disclose this fact to the plaintiff purchasers prior to the sale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Proof of this may be found at paras. 1 to 2 of Division 3 of the Response to Civil Claim where the defendant states that:</w:t>
      </w:r>
      <w:r>
        <w:rPr>
          <w:rFonts w:ascii="arial" w:eastAsia="arial" w:hAnsi="arial" w:cs="arial"/>
          <w:sz w:val="20"/>
          <w:lang w:val="en-US" w:eastAsia="en-US" w:bidi="ar-SA"/>
        </w:rPr>
        <w:cr/>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admits that he did not disclose the existence of the [sic] either the First or Second Notice in the Property Disclosure Statement included in the Contract of Purchase and Sale with the Plaintiffs, but not out of any intent to deceive them.</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says that he discussed any potential or actual obligation to disclose the Franz testing and contamination investigation with his realtor, Ivica Kalabric, prior to executing the Property Disclosure Statement, but was advised against such disclosure because it could negatively affect the saleability of the Property. The Defendant answered the questions in the Property Disclosure Statement in reliance on the advice of his realtor.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 am satisfied that the defendant was well aware that while question 1.E. is certainly a primary concern within this claim, that the overarching grievance is that the PDS generally did not contain complete disclosure.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Fraudulent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As affirmed in </w:t>
      </w:r>
      <w:r>
        <w:rPr>
          <w:rFonts w:ascii="arial" w:eastAsia="arial" w:hAnsi="arial" w:cs="arial"/>
          <w:i/>
          <w:color w:val="000000"/>
          <w:sz w:val="20"/>
          <w:lang w:val="en-US" w:eastAsia="en-US" w:bidi="ar-SA"/>
        </w:rPr>
        <w:t>Van Beek v. Dodd</w:t>
      </w:r>
      <w:r>
        <w:rPr>
          <w:rFonts w:ascii="arial" w:eastAsia="arial" w:hAnsi="arial" w:cs="arial"/>
          <w:color w:val="000000"/>
          <w:sz w:val="20"/>
          <w:lang w:val="en-US" w:eastAsia="en-US" w:bidi="ar-SA"/>
        </w:rPr>
        <w:t xml:space="preserve">, </w:t>
      </w:r>
      <w:hyperlink r:id="rId410" w:history="1">
        <w:r>
          <w:rPr>
            <w:rFonts w:ascii="arial" w:eastAsia="arial" w:hAnsi="arial" w:cs="arial"/>
            <w:i/>
            <w:color w:val="0077CC"/>
            <w:sz w:val="20"/>
            <w:u w:val="single"/>
            <w:shd w:val="clear" w:color="auto" w:fill="FFFFFF"/>
            <w:lang w:val="en-US" w:eastAsia="en-US" w:bidi="ar-SA"/>
          </w:rPr>
          <w:t>2010 BCSC 1639</w:t>
        </w:r>
      </w:hyperlink>
      <w:r>
        <w:rPr>
          <w:rFonts w:ascii="arial" w:eastAsia="arial" w:hAnsi="arial" w:cs="arial"/>
          <w:color w:val="000000"/>
          <w:sz w:val="20"/>
          <w:lang w:val="en-US" w:eastAsia="en-US" w:bidi="ar-SA"/>
        </w:rPr>
        <w:t xml:space="preserve"> at para. 42, to succeed in a claim for fraudulent misrepresentation, the plaintiffs must establish that:</w:t>
      </w:r>
      <w:r>
        <w:rPr>
          <w:rFonts w:ascii="arial" w:eastAsia="arial" w:hAnsi="arial" w:cs="arial"/>
          <w:sz w:val="20"/>
          <w:lang w:val="en-US" w:eastAsia="en-US" w:bidi="ar-SA"/>
        </w:rPr>
        <w:cr/>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made a representation of fact to the plaintiff(s);</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representation was false in fact;</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knew that the representation was false when it was made, or made the false representation recklessly, not knowing if it was true or false;</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intended for the plaintiffs to act on the representation; and</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were induced to enter into the contract in reliance upon the false representation and thereby suffered a detriment.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Hanslo v. Barry</w:t>
      </w:r>
      <w:r>
        <w:rPr>
          <w:rFonts w:ascii="arial" w:eastAsia="arial" w:hAnsi="arial" w:cs="arial"/>
          <w:color w:val="000000"/>
          <w:sz w:val="20"/>
          <w:lang w:val="en-US" w:eastAsia="en-US" w:bidi="ar-SA"/>
        </w:rPr>
        <w:t xml:space="preserve">, </w:t>
      </w:r>
      <w:hyperlink r:id="rId411" w:history="1">
        <w:r>
          <w:rPr>
            <w:rFonts w:ascii="arial" w:eastAsia="arial" w:hAnsi="arial" w:cs="arial"/>
            <w:i/>
            <w:color w:val="0077CC"/>
            <w:sz w:val="20"/>
            <w:u w:val="single"/>
            <w:shd w:val="clear" w:color="auto" w:fill="FFFFFF"/>
            <w:lang w:val="en-US" w:eastAsia="en-US" w:bidi="ar-SA"/>
          </w:rPr>
          <w:t>2011 BCSC 1624</w:t>
        </w:r>
      </w:hyperlink>
      <w:r>
        <w:rPr>
          <w:rFonts w:ascii="arial" w:eastAsia="arial" w:hAnsi="arial" w:cs="arial"/>
          <w:color w:val="000000"/>
          <w:sz w:val="20"/>
          <w:lang w:val="en-US" w:eastAsia="en-US" w:bidi="ar-SA"/>
        </w:rPr>
        <w:t xml:space="preserve"> at para. 72, a case involving a real estate transaction, our court observed that "[t]he classic and most obvious form of fraud is where the vendor positively misstates to the purchaser facts, which he knows to be false, for the purpose of deceiving the purchaser."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plaintiffs note that in </w:t>
      </w:r>
      <w:r>
        <w:rPr>
          <w:rFonts w:ascii="arial" w:eastAsia="arial" w:hAnsi="arial" w:cs="arial"/>
          <w:i/>
          <w:color w:val="000000"/>
          <w:sz w:val="20"/>
          <w:lang w:val="en-US" w:eastAsia="en-US" w:bidi="ar-SA"/>
        </w:rPr>
        <w:t>Van Beek</w:t>
      </w:r>
      <w:r>
        <w:rPr>
          <w:rFonts w:ascii="arial" w:eastAsia="arial" w:hAnsi="arial" w:cs="arial"/>
          <w:color w:val="000000"/>
          <w:sz w:val="20"/>
          <w:lang w:val="en-US" w:eastAsia="en-US" w:bidi="ar-SA"/>
        </w:rPr>
        <w:t xml:space="preserve"> at para. 46, the court cites with approval the following passage concerning the dangers of incomplete representations: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 A false or incomplete representation of those facts may amount to an actionable falsehood. The plaintiffs cite </w:t>
      </w:r>
      <w:r>
        <w:rPr>
          <w:rFonts w:ascii="arial" w:eastAsia="arial" w:hAnsi="arial" w:cs="arial"/>
          <w:i/>
          <w:color w:val="000000"/>
          <w:sz w:val="20"/>
          <w:lang w:val="en-US" w:eastAsia="en-US" w:bidi="ar-SA"/>
        </w:rPr>
        <w:t>C.R.F. Holdings Ltd. v. Fundy Chemical International Ltd</w:t>
      </w:r>
      <w:r>
        <w:rPr>
          <w:rFonts w:ascii="arial" w:eastAsia="arial" w:hAnsi="arial" w:cs="arial"/>
          <w:color w:val="000000"/>
          <w:sz w:val="20"/>
          <w:lang w:val="en-US" w:eastAsia="en-US" w:bidi="ar-SA"/>
        </w:rPr>
        <w:t xml:space="preserve">. </w:t>
      </w:r>
      <w:hyperlink r:id="rId412" w:history="1">
        <w:r>
          <w:rPr>
            <w:rFonts w:ascii="arial" w:eastAsia="arial" w:hAnsi="arial" w:cs="arial"/>
            <w:i/>
            <w:color w:val="0077CC"/>
            <w:sz w:val="20"/>
            <w:u w:val="single"/>
            <w:shd w:val="clear" w:color="auto" w:fill="FFFFFF"/>
            <w:lang w:val="en-US" w:eastAsia="en-US" w:bidi="ar-SA"/>
          </w:rPr>
          <w:t>(1981), 33 B.C.L.R. 291</w:t>
        </w:r>
      </w:hyperlink>
      <w:r>
        <w:rPr>
          <w:rFonts w:ascii="arial" w:eastAsia="arial" w:hAnsi="arial" w:cs="arial"/>
          <w:color w:val="000000"/>
          <w:sz w:val="20"/>
          <w:lang w:val="en-US" w:eastAsia="en-US" w:bidi="ar-SA"/>
        </w:rPr>
        <w:t xml:space="preserve"> (B.C. C.A.) [</w:t>
      </w:r>
      <w:r>
        <w:rPr>
          <w:rFonts w:ascii="arial" w:eastAsia="arial" w:hAnsi="arial" w:cs="arial"/>
          <w:i/>
          <w:color w:val="000000"/>
          <w:sz w:val="20"/>
          <w:lang w:val="en-US" w:eastAsia="en-US" w:bidi="ar-SA"/>
        </w:rPr>
        <w:t>C.R.F. Holdings Ltd</w:t>
      </w:r>
      <w:r>
        <w:rPr>
          <w:rFonts w:ascii="arial" w:eastAsia="arial" w:hAnsi="arial" w:cs="arial"/>
          <w:color w:val="000000"/>
          <w:sz w:val="20"/>
          <w:lang w:val="en-US" w:eastAsia="en-US" w:bidi="ar-SA"/>
        </w:rPr>
        <w:t>. (CA)] at para. 5, for this proposition: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 ... "To state a thing which is true only with qualifications or additions known to, but studiously withheld by, the representors to say the thing which is not. Such a statement is a lie, and one of the most dangerous and insidious forms of lie." [G. Spencer Bower, K.C., &amp; The Hon. Sir A.K. Turner, </w:t>
      </w:r>
      <w:r>
        <w:rPr>
          <w:rFonts w:ascii="arial" w:eastAsia="arial" w:hAnsi="arial" w:cs="arial"/>
          <w:i/>
          <w:color w:val="000000"/>
          <w:sz w:val="20"/>
          <w:lang w:val="en-US" w:eastAsia="en-US" w:bidi="ar-SA"/>
        </w:rPr>
        <w:t>The Law of Actionable Misrepresentations</w:t>
      </w:r>
      <w:r>
        <w:rPr>
          <w:rFonts w:ascii="arial" w:eastAsia="arial" w:hAnsi="arial" w:cs="arial"/>
          <w:color w:val="000000"/>
          <w:sz w:val="20"/>
          <w:lang w:val="en-US" w:eastAsia="en-US" w:bidi="ar-SA"/>
        </w:rPr>
        <w:t>, 3rd ed. (London: Butterworths, 1974) (at p. 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standard of proof is proof on a balance of probabilities, having due regard to the seriousness of the allegation of deceit (</w:t>
      </w:r>
      <w:r>
        <w:rPr>
          <w:rFonts w:ascii="arial" w:eastAsia="arial" w:hAnsi="arial" w:cs="arial"/>
          <w:i/>
          <w:color w:val="000000"/>
          <w:sz w:val="20"/>
          <w:lang w:val="en-US" w:eastAsia="en-US" w:bidi="ar-SA"/>
        </w:rPr>
        <w:t>Van Beek</w:t>
      </w:r>
      <w:r>
        <w:rPr>
          <w:rFonts w:ascii="arial" w:eastAsia="arial" w:hAnsi="arial" w:cs="arial"/>
          <w:color w:val="000000"/>
          <w:sz w:val="20"/>
          <w:lang w:val="en-US" w:eastAsia="en-US" w:bidi="ar-SA"/>
        </w:rPr>
        <w:t xml:space="preserve">, at para. 43). In this respect, Mackenzie J.A. makes the following remarks in </w:t>
      </w:r>
      <w:r>
        <w:rPr>
          <w:rFonts w:ascii="arial" w:eastAsia="arial" w:hAnsi="arial" w:cs="arial"/>
          <w:i/>
          <w:color w:val="000000"/>
          <w:sz w:val="20"/>
          <w:lang w:val="en-US" w:eastAsia="en-US" w:bidi="ar-SA"/>
        </w:rPr>
        <w:t>Anderson v. British Columbia (Securities Commission)</w:t>
      </w:r>
      <w:r>
        <w:rPr>
          <w:rFonts w:ascii="arial" w:eastAsia="arial" w:hAnsi="arial" w:cs="arial"/>
          <w:color w:val="000000"/>
          <w:sz w:val="20"/>
          <w:lang w:val="en-US" w:eastAsia="en-US" w:bidi="ar-SA"/>
        </w:rPr>
        <w:t xml:space="preserve">, </w:t>
      </w:r>
      <w:hyperlink r:id="rId413" w:history="1">
        <w:r>
          <w:rPr>
            <w:rFonts w:ascii="arial" w:eastAsia="arial" w:hAnsi="arial" w:cs="arial"/>
            <w:i/>
            <w:color w:val="0077CC"/>
            <w:sz w:val="20"/>
            <w:u w:val="single"/>
            <w:shd w:val="clear" w:color="auto" w:fill="FFFFFF"/>
            <w:lang w:val="en-US" w:eastAsia="en-US" w:bidi="ar-SA"/>
          </w:rPr>
          <w:t>2004 BCCA 7</w:t>
        </w:r>
      </w:hyperlink>
      <w:r>
        <w:rPr>
          <w:rFonts w:ascii="arial" w:eastAsia="arial" w:hAnsi="arial" w:cs="arial"/>
          <w:color w:val="000000"/>
          <w:sz w:val="20"/>
          <w:lang w:val="en-US" w:eastAsia="en-US" w:bidi="ar-SA"/>
        </w:rPr>
        <w:t xml:space="preserve"> at para. 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Fraud is a very serious allegation which carries a stigma and requires a high standard of proof. While proof in a civil or regulatory case does not have to meet the criminal law standard of proof beyond a reasonable doubt, it does require evidence that is clear and convincing proof of the elements of fraud, including the mental element.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It should also be noted that where a misrepresentation is properly characterized as being fraudulent, the doctrine of </w:t>
      </w:r>
      <w:r>
        <w:rPr>
          <w:rFonts w:ascii="arial" w:eastAsia="arial" w:hAnsi="arial" w:cs="arial"/>
          <w:i/>
          <w:color w:val="000000"/>
          <w:sz w:val="20"/>
          <w:lang w:val="en-US" w:eastAsia="en-US" w:bidi="ar-SA"/>
        </w:rPr>
        <w:t>caveat emptor</w:t>
      </w:r>
      <w:r>
        <w:rPr>
          <w:rFonts w:ascii="arial" w:eastAsia="arial" w:hAnsi="arial" w:cs="arial"/>
          <w:color w:val="000000"/>
          <w:sz w:val="20"/>
          <w:lang w:val="en-US" w:eastAsia="en-US" w:bidi="ar-SA"/>
        </w:rPr>
        <w:t xml:space="preserve"> will not apply (</w:t>
      </w:r>
      <w:r>
        <w:rPr>
          <w:rFonts w:ascii="arial" w:eastAsia="arial" w:hAnsi="arial" w:cs="arial"/>
          <w:i/>
          <w:color w:val="000000"/>
          <w:sz w:val="20"/>
          <w:lang w:val="en-US" w:eastAsia="en-US" w:bidi="ar-SA"/>
        </w:rPr>
        <w:t>Hanslo</w:t>
      </w:r>
      <w:r>
        <w:rPr>
          <w:rFonts w:ascii="arial" w:eastAsia="arial" w:hAnsi="arial" w:cs="arial"/>
          <w:color w:val="000000"/>
          <w:sz w:val="20"/>
          <w:lang w:val="en-US" w:eastAsia="en-US" w:bidi="ar-SA"/>
        </w:rPr>
        <w:t xml:space="preserve">, at para. 71). For example, this exception to the doctrine was applied in </w:t>
      </w:r>
      <w:r>
        <w:rPr>
          <w:rFonts w:ascii="arial" w:eastAsia="arial" w:hAnsi="arial" w:cs="arial"/>
          <w:i/>
          <w:color w:val="000000"/>
          <w:sz w:val="20"/>
          <w:lang w:val="en-US" w:eastAsia="en-US" w:bidi="ar-SA"/>
        </w:rPr>
        <w:t>Aldred v. Colbeck</w:t>
      </w:r>
      <w:r>
        <w:rPr>
          <w:rFonts w:ascii="arial" w:eastAsia="arial" w:hAnsi="arial" w:cs="arial"/>
          <w:color w:val="000000"/>
          <w:sz w:val="20"/>
          <w:lang w:val="en-US" w:eastAsia="en-US" w:bidi="ar-SA"/>
        </w:rPr>
        <w:t xml:space="preserve">, </w:t>
      </w:r>
      <w:hyperlink r:id="rId414" w:history="1">
        <w:r>
          <w:rPr>
            <w:rFonts w:ascii="arial" w:eastAsia="arial" w:hAnsi="arial" w:cs="arial"/>
            <w:i/>
            <w:color w:val="0077CC"/>
            <w:sz w:val="20"/>
            <w:u w:val="single"/>
            <w:shd w:val="clear" w:color="auto" w:fill="FFFFFF"/>
            <w:lang w:val="en-US" w:eastAsia="en-US" w:bidi="ar-SA"/>
          </w:rPr>
          <w:t>2010 BCSC 57</w:t>
        </w:r>
      </w:hyperlink>
      <w:r>
        <w:rPr>
          <w:rFonts w:ascii="arial" w:eastAsia="arial" w:hAnsi="arial" w:cs="arial"/>
          <w:color w:val="000000"/>
          <w:sz w:val="20"/>
          <w:lang w:val="en-US" w:eastAsia="en-US" w:bidi="ar-SA"/>
        </w:rPr>
        <w:t>, where the seller failed to disclose to the buyer the presence of an underground storage tank.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plaintiffs submit that they have satisfied the test for fraudulent misrepresentation and that the evidence supports the following findings of fact and law:</w:t>
      </w:r>
      <w:r>
        <w:rPr>
          <w:rFonts w:ascii="arial" w:eastAsia="arial" w:hAnsi="arial" w:cs="arial"/>
          <w:sz w:val="20"/>
          <w:lang w:val="en-US" w:eastAsia="en-US" w:bidi="ar-SA"/>
        </w:rPr>
        <w:cr/>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representation of fact was made by the defendant to the plaintiffs;</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representation was false;</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knew the representation was false when it was made, or was reckless as to its truth or falsity;</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intended for the plaintiff to act on the representation; and</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induced to enter into the contract in reliance on the false representation, and thereby suffered a detriment.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plaintiffs submit that answering "NO" to question 1.E., and saying nothing about the contamination issues on the PDS, amounts to a lie. According to the plaintiffs, the representation made by the defendant on the PDS could only have been intended to cause the plaintiffs to believe in the truth of the statement and to act accordingly, and to their detriment.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According to the plaintiffs, the defendant's own evidence is that he was concerned that the contamination issue would make it difficult for him to sell his property. They further point out that the defendant was experienced in the real estate market and that in order to avoid taking a loss on the property, the defendant decided to withhold information in order to improve his chances of selling the property quickly, and for a higher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They note that the defendant simultaneously claims that the contamination issues were at the forefront of his mind -- causing him to seek advice on the matter from his realtor -- but that he failed to make any connection between question 1.E. and the two Notices he received. This they say is contradictory and supports a finding that the defendant knew the representation was false when it was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With respect to the doctrine of </w:t>
      </w:r>
      <w:r>
        <w:rPr>
          <w:rFonts w:ascii="arial" w:eastAsia="arial" w:hAnsi="arial" w:cs="arial"/>
          <w:i/>
          <w:color w:val="000000"/>
          <w:sz w:val="20"/>
          <w:lang w:val="en-US" w:eastAsia="en-US" w:bidi="ar-SA"/>
        </w:rPr>
        <w:t>caveat emptor</w:t>
      </w:r>
      <w:r>
        <w:rPr>
          <w:rFonts w:ascii="arial" w:eastAsia="arial" w:hAnsi="arial" w:cs="arial"/>
          <w:color w:val="000000"/>
          <w:sz w:val="20"/>
          <w:lang w:val="en-US" w:eastAsia="en-US" w:bidi="ar-SA"/>
        </w:rPr>
        <w:t>, the plaintiffs state that nothing about the answer to question 1.E., or any of the surrounding circumstances, could have or should have put the plaintiffs on notice that they needed to make further inquiries. As a result, the plaintiffs submit that it does not lie in the defendant's mouth to argue that the plaintiffs could have discovered the defendant's fraud if they had investigated further by conducting a search of the BC Site Registry. In any event, the plaintiffs take the position that the point is moot as Mr. Steele (called to give responding opinion evidence as to value) in fact conducted a search of the BC Site Registry and was unable to find any information concerning off-site contamination.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defendant admits that he made a mistake in answering "NO" to section 1.E. of the PDS. In retrospect he states that he ought to have answered "YES", but that he simply did not think of the two Notices from Franz Environmental when he answered this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According to the defendant, he received the two Notices in or about September and October 2012, was not particularly concerned about the Notices, had no intention of selling the property at that time, and only formed the intention to sell the property in late-January/early-February 2013 for family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defendant's position is that at the time of execution of the PDS, he:</w:t>
      </w:r>
      <w:r>
        <w:rPr>
          <w:rFonts w:ascii="arial" w:eastAsia="arial" w:hAnsi="arial" w:cs="arial"/>
          <w:sz w:val="20"/>
          <w:lang w:val="en-US" w:eastAsia="en-US" w:bidi="ar-SA"/>
        </w:rPr>
        <w:cr/>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answered every question on the PDS honestly and to the best of his knowledge;</w:t>
      </w:r>
    </w:p>
    <w:p>
      <w:pPr>
        <w:numPr>
          <w:numId w:val="6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not specifically remember receiving the two Notices and did not equate them with a positive answer to 1.E.;</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not answer 1.E. in the negative in order to conceal the fact that he had received the two Notices or with the intention of deceiving any prospective purchaser.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defendant admits that he asked his realtor, who was present at the execution of the PDS, where the contamination issue fit into the PDS. He claims to have been told by his realtor that he did not need to disclose this information on the PDS. His realtor denies providing such advice and denies that the topic itself was ever raised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defendant submits that this incorrect answer was simply a mistake; it was not borne out of dishonesty, deceit, or fraud. Moreover, he states that the evidence falls short of the requirements for a finding of a fraudulent misrepresentation. He argues that he genuinely believed that he was answering the question truthfully and that he lacked the intention for the plaintiffs to act on the 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A misrepresentation in a PDS is capable of giving rise to a claim for damages for negligent misrepresentation. The test for this was restated by our court in </w:t>
      </w:r>
      <w:r>
        <w:rPr>
          <w:rFonts w:ascii="arial" w:eastAsia="arial" w:hAnsi="arial" w:cs="arial"/>
          <w:i/>
          <w:color w:val="000000"/>
          <w:sz w:val="20"/>
          <w:lang w:val="en-US" w:eastAsia="en-US" w:bidi="ar-SA"/>
        </w:rPr>
        <w:t>Hanslo</w:t>
      </w:r>
      <w:r>
        <w:rPr>
          <w:rFonts w:ascii="arial" w:eastAsia="arial" w:hAnsi="arial" w:cs="arial"/>
          <w:color w:val="000000"/>
          <w:sz w:val="20"/>
          <w:lang w:val="en-US" w:eastAsia="en-US" w:bidi="ar-SA"/>
        </w:rPr>
        <w:t xml:space="preserv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[108] A plaintiff must establish five elements for a finding of negligent misrepresentation. They were outlined as follows by the Supreme Court of Canada in </w:t>
      </w:r>
      <w:r>
        <w:rPr>
          <w:rFonts w:ascii="arial" w:eastAsia="arial" w:hAnsi="arial" w:cs="arial"/>
          <w:i/>
          <w:color w:val="000000"/>
          <w:sz w:val="20"/>
          <w:lang w:val="en-US" w:eastAsia="en-US" w:bidi="ar-SA"/>
        </w:rPr>
        <w:t>Queen v. Cognos Inc.</w:t>
      </w:r>
      <w:r>
        <w:rPr>
          <w:rFonts w:ascii="arial" w:eastAsia="arial" w:hAnsi="arial" w:cs="arial"/>
          <w:color w:val="000000"/>
          <w:sz w:val="20"/>
          <w:lang w:val="en-US" w:eastAsia="en-US" w:bidi="ar-SA"/>
        </w:rPr>
        <w:t xml:space="preserve">, </w:t>
      </w:r>
      <w:hyperlink r:id="rId415"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lang w:val="en-US" w:eastAsia="en-US" w:bidi="ar-SA"/>
        </w:rPr>
        <w:t xml:space="preserve"> (S.C.C.), at 110 [</w:t>
      </w:r>
      <w:r>
        <w:rPr>
          <w:rFonts w:ascii="arial" w:eastAsia="arial" w:hAnsi="arial" w:cs="arial"/>
          <w:i/>
          <w:color w:val="000000"/>
          <w:sz w:val="20"/>
          <w:lang w:val="en-US" w:eastAsia="en-US" w:bidi="ar-SA"/>
        </w:rPr>
        <w:t>Queen</w:t>
      </w:r>
      <w:r>
        <w:rPr>
          <w:rFonts w:ascii="arial" w:eastAsia="arial" w:hAnsi="arial" w:cs="arial"/>
          <w:color w:val="000000"/>
          <w:sz w:val="20"/>
          <w:lang w:val="en-US" w:eastAsia="en-US" w:bidi="ar-SA"/>
        </w:rPr>
        <w:t>]:</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a duty of care based on a "special relationship" between the representor and the representee;</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representation in question must be untrue, inaccurate, or misleading;</w:t>
      </w:r>
    </w:p>
    <w:p>
      <w:pPr>
        <w:numPr>
          <w:numId w:val="6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representor must have acted negligently in making said misrepresentation;</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representee must have relied, in a reasonable manner, on said negligent misrepresentation; and</w:t>
      </w:r>
    </w:p>
    <w:p>
      <w:pPr>
        <w:numPr>
          <w:numId w:val="6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reliance must have been detrimental to the representee in the sense that damages resulted.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plaintiffs submit that if fraudulent misrepresentation is not found, their alternative submission is that the misrepresentation of the defendant was negligent. They submit that the following satisfy the elements for a claim in negligent misrepresentation:</w:t>
      </w:r>
      <w:r>
        <w:rPr>
          <w:rFonts w:ascii="arial" w:eastAsia="arial" w:hAnsi="arial" w:cs="arial"/>
          <w:sz w:val="20"/>
          <w:lang w:val="en-US" w:eastAsia="en-US" w:bidi="ar-SA"/>
        </w:rPr>
        <w:cr/>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 real estate transaction, there is a "special relationship" between a vendor and a purchaser, and the vendor owes the purchaser a duty of care (</w:t>
      </w:r>
      <w:r>
        <w:rPr>
          <w:rFonts w:ascii="arial" w:eastAsia="arial" w:hAnsi="arial" w:cs="arial"/>
          <w:i/>
          <w:color w:val="000000"/>
          <w:sz w:val="20"/>
          <w:lang w:val="en-US" w:eastAsia="en-US" w:bidi="ar-SA"/>
        </w:rPr>
        <w:t>Hanslo</w:t>
      </w:r>
      <w:r>
        <w:rPr>
          <w:rFonts w:ascii="arial" w:eastAsia="arial" w:hAnsi="arial" w:cs="arial"/>
          <w:color w:val="000000"/>
          <w:sz w:val="20"/>
          <w:lang w:val="en-US" w:eastAsia="en-US" w:bidi="ar-SA"/>
        </w:rPr>
        <w:t>, at paras. 117-18).</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has admitted that the representation was not true in that he was aware of the notices and the presence of the monitoring wells when he signed the PDS.</w:t>
      </w:r>
    </w:p>
    <w:p>
      <w:pPr>
        <w:numPr>
          <w:numId w:val="7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Since the defendant was aware of the contamination issues when he completed the PDS, his misrepresentations were negligent.</w:t>
      </w:r>
    </w:p>
    <w:p>
      <w:pPr>
        <w:numPr>
          <w:numId w:val="7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have testified that the information contained in the PDS was a key part of their decision to continue with the purchase of the property. That is to say, they relied on the representations of the PDS and such reliance was reasonable in the circumstances.</w:t>
      </w:r>
    </w:p>
    <w:p>
      <w:pPr>
        <w:numPr>
          <w:numId w:val="8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reliance was detrimental in that the plaintiffs completed the purchase of the property without knowledge of the contamination issues, and paid more than the actual market value for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defendant submits that for the reasons provided above in respect of fraudulent misrepresentation, his answer to question 1.E. was simply an innocent mistake, and that this error was not borne out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the alternative, the defendant submits that even if causation is found under this cause of action, there is a lack of proven loss and that the result could only be an award of nominal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plaintiffs pleaded that in the alternative, they seek damages for breach of contract. It is an agreed statement of fact that the PDS was incorporated into the contract for purchase and sale of the property and as a result the plaintiffs submit that the failure to disclose the contamination issue gives rise to a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Neither party addressed this issue in much depth in submissions and I will not do so in these reasons. I am satisfied the case rests on and may be justly decided upon the claimed misrepresentation(s).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 in Respect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defendant says on cross-examination that as a result of the two Notices in August and September 2012, he thought at that time about problems which could arise if he wanted to sell the property due to the fact that notice of likely or actual off-site migration would show up online on the BC Site Registry. However, the defendant also disagreed with the suggestion that he knew that if he disclosed this information that he would be unable to sell the property either at all or for the price that he wanted.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On cross-examination, the defendant admits having received two Notices and a letter from Franz Environmental. He recalls having conversations with members of Franz Environmental and he knew that they had worked in his backyard and installed monitoring wells.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defendant testified that he did not, at any point leading up to the listing of the property, discuss with his realtor the two Notices he had received or the installation of monitoring wells. The defendant explains that he was not hiding this information from his realtor, but that the environmental issues were not really at the forefront of his mind at that point in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defendant testified that his realtor was present on February 12, 2013, when the defendant filled out, initialed, and signed the PDS. When asked on examination why he answered "NO" to question 1.E., the defendant testified that the "whole issue" was not at the forefront of his mind, that he "didn't even really recall getting those notices," and that he did not make the connection between the two Notices and the question. The defendant testified that he believed he was answering the question truthfully and that he was not attempting to be deceitful, dishonest, or to hide anything.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defendant says he did not discuss the meaning of the specific question with his realtor, but, upon completing the PDS, he did inform his realtor about the issues concerning the drycleaner and the installation of monitoring wells. He testified that he asked his realtor where that issue fit into the PDS and whether it was something that needed to be disclosed. The defendant says that the realtor told him that he did not need to disclose the installation of the monitoring wells and that disclosure of this environmental issue might raise a "red flag" making it more difficult to the sell the property. The realtor denies providing such advice and further denies the matter being raised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However, the defendant reiterates that while he had turned his mind to the off-site contamination generally, he did not connect the question being asked at section 1.E. of the PDS with the two Notices he received from Franz Environmental. The defendant says that at no point in time prior to the sale of the property in May 2013 was he aware of any actual contamination or exceedances of the applicable provincial standards concerning contamination.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When asked whether he had read the statement on the PDS concerning the seller's responsibility for the accuracy of answers, the defendant said he did not recall reading this statement but said that he understood the concept of the PDS and that he knew he was responsible for his answers. Moreover, he acknowledged that there was an unfilled section labeled "Additional Comments and/or Explanations" and that he could have filled that section out with information concerning the monitoring wells and the drycleaner situation. The fact is, he did not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defendant was cross-examined on his discovery evidence. On examination for discovery the defendant stated that he knew there was an issue with the environmental impact from the drycleaners and he knew that it had not been disclosed. The defendant adopted this statement at trial when it was put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defendant says that subsequent to the sale of the property, he saw an article in the </w:t>
      </w:r>
      <w:r>
        <w:rPr>
          <w:rFonts w:ascii="arial" w:eastAsia="arial" w:hAnsi="arial" w:cs="arial"/>
          <w:i/>
          <w:color w:val="000000"/>
          <w:sz w:val="20"/>
          <w:lang w:val="en-US" w:eastAsia="en-US" w:bidi="ar-SA"/>
        </w:rPr>
        <w:t>Times Colonist</w:t>
      </w:r>
      <w:r>
        <w:rPr>
          <w:rFonts w:ascii="arial" w:eastAsia="arial" w:hAnsi="arial" w:cs="arial"/>
          <w:color w:val="000000"/>
          <w:sz w:val="20"/>
          <w:lang w:val="en-US" w:eastAsia="en-US" w:bidi="ar-SA"/>
        </w:rPr>
        <w:t xml:space="preserve"> newspaper which referred to Mr. Ban and the issue of off-site contamination. The defendant informed his realtor and told him "I hope this isn't going to be an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Finding on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am satisfied that the plaintiffs have established that the defendant made a representation of fact to them, the PDS, in which he disclosed neither his receipt of the two Notices nor the fact that monitoring wells were installed on the property which were not visible to the naked eye as they were covered in sod and therefore, the fact they were installed was important to be disclosed. I am satisfied that the representation the defendant presented in the PDS in question 1.E. or anywhere in the document, i.e., within the section for additional comments and explanations, is actionable.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While question 1.E. arguably did not trigger the defendant's specific memory of receiving the two Notices, and that is his evidence, that is not the end of the analysis. On the defendant's own evidence, he sought advice from his realtor (albeit evidence contradicted by the realtor) about where the contamination issue would fit into the PDS. Accordingly, the general contamination issue was clearly on his mind, yet he did not bring it to the attention of the plaintiffs as a result of the manner in which he completed the PDS.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the circumstances of the vendor/buyer relationship, he owed a duty of care to the plaintiffs. The PDS he signed presented an inaccurate and misleading picture of the state of the property at issue. As a consequence, his representation leads me to the conclusion that he acted negligently in so doing.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evidence clearly supports a finding that the plaintiffs relied on the negligent misrepresentation and that they did so to their detriment. They were first-time homebuyers involved in a significant transaction. They testified they would not have made any offer if they had known of the contamination potential of this property. Apart from any other circumstances, it cannot be ignored that the plaintiffs are environmental scientists and as such would more likely than not be sensitive to such an issue had it been raised with them, and sensitive to the point that potential contamination would, I am satisfied, cause them to lose any interest in purchasing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am satisfied the plaintiffs reasonably relied on the negligent misrepresentation of the defendant in offering to buy the property and as such, the reliance has been detrimental to them on a number of levels which will be more closely examined later in these reasons on the issue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plaintiffs have met the five elements for a finding of negligent misrepresentation as outlined in the </w:t>
      </w:r>
      <w:r>
        <w:rPr>
          <w:rFonts w:ascii="arial" w:eastAsia="arial" w:hAnsi="arial" w:cs="arial"/>
          <w:i/>
          <w:color w:val="000000"/>
          <w:sz w:val="20"/>
          <w:lang w:val="en-US" w:eastAsia="en-US" w:bidi="ar-SA"/>
        </w:rPr>
        <w:t>Cognos Inc</w:t>
      </w:r>
      <w:r>
        <w:rPr>
          <w:rFonts w:ascii="arial" w:eastAsia="arial" w:hAnsi="arial" w:cs="arial"/>
          <w:color w:val="000000"/>
          <w:sz w:val="20"/>
          <w:lang w:val="en-US" w:eastAsia="en-US" w:bidi="ar-SA"/>
        </w:rPr>
        <w: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Turning to the question of whether the misrepresentation amounts to a fraudulent misrepresentation -- while I am satisfied the defendant completed the PDS in a reckless manner, thereby creating a false representation/presentation of the state of the property, I am mindful that fraud is a serious allegation which requires a high standard of proof, albeit not the standard reserved for the criminal law. In order for the misrepresentation to be fraudulent, the high standard of proof requires an additional element of proof of intention. Acknowledging that the defendant, a police officer, surely accustomed to accurately reporting on facts, did not positively misstate a fact, he left the plaintiffs with a false impression which itself may amount to an actionable falsehood. However, I find on a consideration of all of the evidence, that the evidence falls short of proving that the false representation of facts and the impression created by that false representation, was advanced, "for the purpose of deceiving the purchaser". See </w:t>
      </w:r>
      <w:r>
        <w:rPr>
          <w:rFonts w:ascii="arial" w:eastAsia="arial" w:hAnsi="arial" w:cs="arial"/>
          <w:i/>
          <w:color w:val="000000"/>
          <w:sz w:val="20"/>
          <w:lang w:val="en-US" w:eastAsia="en-US" w:bidi="ar-SA"/>
        </w:rPr>
        <w:t>Hanslo v. Barry</w:t>
      </w:r>
      <w:r>
        <w:rPr>
          <w:rFonts w:ascii="arial" w:eastAsia="arial" w:hAnsi="arial" w:cs="arial"/>
          <w:color w:val="000000"/>
          <w:sz w:val="20"/>
          <w:lang w:val="en-US" w:eastAsia="en-US" w:bidi="ar-SA"/>
        </w:rPr>
        <w:t>. I have concluded that the requisite "clear and convincing proof" of the mental element of fraud, the deliberate intention to induce the plaintiffs to enter into the contract to purchase the property by relying on that false representation, has not been made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summary, I find the plaintiffs have established negligent misrepresentation capable of giving rise to a claim for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What is the Proper Measure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Time of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general rule is that damages for either fraudulent or negligent misrepresentation are assessed as at the date of the breach: </w:t>
      </w:r>
      <w:r>
        <w:rPr>
          <w:rFonts w:ascii="arial" w:eastAsia="arial" w:hAnsi="arial" w:cs="arial"/>
          <w:i/>
          <w:color w:val="000000"/>
          <w:sz w:val="20"/>
          <w:lang w:val="en-US" w:eastAsia="en-US" w:bidi="ar-SA"/>
        </w:rPr>
        <w:t>Wiebe v. Gunderson</w:t>
      </w:r>
      <w:r>
        <w:rPr>
          <w:rFonts w:ascii="arial" w:eastAsia="arial" w:hAnsi="arial" w:cs="arial"/>
          <w:color w:val="000000"/>
          <w:sz w:val="20"/>
          <w:lang w:val="en-US" w:eastAsia="en-US" w:bidi="ar-SA"/>
        </w:rPr>
        <w:t xml:space="preserve">, </w:t>
      </w:r>
      <w:hyperlink r:id="rId416" w:history="1">
        <w:r>
          <w:rPr>
            <w:rFonts w:ascii="arial" w:eastAsia="arial" w:hAnsi="arial" w:cs="arial"/>
            <w:i/>
            <w:color w:val="0077CC"/>
            <w:sz w:val="20"/>
            <w:u w:val="single"/>
            <w:shd w:val="clear" w:color="auto" w:fill="FFFFFF"/>
            <w:lang w:val="en-US" w:eastAsia="en-US" w:bidi="ar-SA"/>
          </w:rPr>
          <w:t>2004 BCCA 456</w:t>
        </w:r>
      </w:hyperlink>
      <w:r>
        <w:rPr>
          <w:rFonts w:ascii="arial" w:eastAsia="arial" w:hAnsi="arial" w:cs="arial"/>
          <w:color w:val="000000"/>
          <w:sz w:val="20"/>
          <w:lang w:val="en-US" w:eastAsia="en-US" w:bidi="ar-SA"/>
        </w:rPr>
        <w:t xml:space="preserve"> at para. 9; </w:t>
      </w:r>
      <w:r>
        <w:rPr>
          <w:rFonts w:ascii="arial" w:eastAsia="arial" w:hAnsi="arial" w:cs="arial"/>
          <w:i/>
          <w:color w:val="000000"/>
          <w:sz w:val="20"/>
          <w:lang w:val="en-US" w:eastAsia="en-US" w:bidi="ar-SA"/>
        </w:rPr>
        <w:t>Van Beek</w:t>
      </w:r>
      <w:r>
        <w:rPr>
          <w:rFonts w:ascii="arial" w:eastAsia="arial" w:hAnsi="arial" w:cs="arial"/>
          <w:color w:val="000000"/>
          <w:sz w:val="20"/>
          <w:lang w:val="en-US" w:eastAsia="en-US" w:bidi="ar-SA"/>
        </w:rPr>
        <w:t xml:space="preserve">, at para. 90; </w:t>
      </w:r>
      <w:r>
        <w:rPr>
          <w:rFonts w:ascii="arial" w:eastAsia="arial" w:hAnsi="arial" w:cs="arial"/>
          <w:i/>
          <w:color w:val="000000"/>
          <w:sz w:val="20"/>
          <w:lang w:val="en-US" w:eastAsia="en-US" w:bidi="ar-SA"/>
        </w:rPr>
        <w:t>Eck v. Montreal Trust Company of Canada</w:t>
      </w:r>
      <w:r>
        <w:rPr>
          <w:rFonts w:ascii="arial" w:eastAsia="arial" w:hAnsi="arial" w:cs="arial"/>
          <w:color w:val="000000"/>
          <w:sz w:val="20"/>
          <w:lang w:val="en-US" w:eastAsia="en-US" w:bidi="ar-SA"/>
        </w:rPr>
        <w:t xml:space="preserve">, </w:t>
      </w:r>
      <w:hyperlink r:id="rId417" w:history="1">
        <w:r>
          <w:rPr>
            <w:rFonts w:ascii="arial" w:eastAsia="arial" w:hAnsi="arial" w:cs="arial"/>
            <w:i/>
            <w:color w:val="0077CC"/>
            <w:sz w:val="20"/>
            <w:u w:val="single"/>
            <w:shd w:val="clear" w:color="auto" w:fill="FFFFFF"/>
            <w:lang w:val="en-US" w:eastAsia="en-US" w:bidi="ar-SA"/>
          </w:rPr>
          <w:t>1991 CanLII 1698</w:t>
        </w:r>
      </w:hyperlink>
      <w:r>
        <w:rPr>
          <w:rFonts w:ascii="arial" w:eastAsia="arial" w:hAnsi="arial" w:cs="arial"/>
          <w:color w:val="000000"/>
          <w:sz w:val="20"/>
          <w:lang w:val="en-US" w:eastAsia="en-US" w:bidi="ar-SA"/>
        </w:rPr>
        <w:t xml:space="preserve"> (B.C.S.C.); </w:t>
      </w:r>
      <w:r>
        <w:rPr>
          <w:rFonts w:ascii="arial" w:eastAsia="arial" w:hAnsi="arial" w:cs="arial"/>
          <w:i/>
          <w:color w:val="000000"/>
          <w:sz w:val="20"/>
          <w:lang w:val="en-US" w:eastAsia="en-US" w:bidi="ar-SA"/>
        </w:rPr>
        <w:t>Aldred</w:t>
      </w:r>
      <w:r>
        <w:rPr>
          <w:rFonts w:ascii="arial" w:eastAsia="arial" w:hAnsi="arial" w:cs="arial"/>
          <w:color w:val="000000"/>
          <w:sz w:val="20"/>
          <w:lang w:val="en-US" w:eastAsia="en-US" w:bidi="ar-SA"/>
        </w:rPr>
        <w:t>, at para. 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plaintiffs correctly submit that the appropriate time for measurement of damages is the date on which the plaintiffs purchased the property, namely May 8,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note that it appears that the defendant also agrees with this general proposition, but takes issue with how to quantify the diminution in value, if any, and whether subsequent increases in value undermine the plaintiffs' claim for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Measurement and Quantum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an action for either negligent or fraudulent misrepresentation, the plaintiff is entitled to be put in the position he/she would have been in if the misrepresentation had not been made (</w:t>
      </w:r>
      <w:r>
        <w:rPr>
          <w:rFonts w:ascii="arial" w:eastAsia="arial" w:hAnsi="arial" w:cs="arial"/>
          <w:i/>
          <w:color w:val="000000"/>
          <w:sz w:val="20"/>
          <w:lang w:val="en-US" w:eastAsia="en-US" w:bidi="ar-SA"/>
        </w:rPr>
        <w:t>Rainbow Industrial Caterers Ltd. v. Canadian National Railway Co.</w:t>
      </w:r>
      <w:r>
        <w:rPr>
          <w:rFonts w:ascii="arial" w:eastAsia="arial" w:hAnsi="arial" w:cs="arial"/>
          <w:color w:val="000000"/>
          <w:sz w:val="20"/>
          <w:lang w:val="en-US" w:eastAsia="en-US" w:bidi="ar-SA"/>
        </w:rPr>
        <w:t xml:space="preserve">, </w:t>
      </w:r>
      <w:hyperlink r:id="rId418" w:history="1">
        <w:r>
          <w:rPr>
            <w:rFonts w:ascii="arial" w:eastAsia="arial" w:hAnsi="arial" w:cs="arial"/>
            <w:i/>
            <w:color w:val="0077CC"/>
            <w:sz w:val="20"/>
            <w:u w:val="single"/>
            <w:shd w:val="clear" w:color="auto" w:fill="FFFFFF"/>
            <w:lang w:val="en-US" w:eastAsia="en-US" w:bidi="ar-SA"/>
          </w:rPr>
          <w:t>[1991] 3 S.C.R. 3</w:t>
        </w:r>
      </w:hyperlink>
      <w:r>
        <w:rPr>
          <w:rFonts w:ascii="arial" w:eastAsia="arial" w:hAnsi="arial" w:cs="arial"/>
          <w:color w:val="000000"/>
          <w:sz w:val="20"/>
          <w:lang w:val="en-US" w:eastAsia="en-US" w:bidi="ar-SA"/>
        </w:rPr>
        <w:t xml:space="preserve"> at para. 20). The question to be asked is what amount of money, if any, is required to restore the plaintiff to the position he/she would have been in had he/she not relied upon the misrepresentation.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 Position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plaintiffs submit that for both negligent and fraudulent misrepresentation, the appropriate measure of damages is the difference between the price paid and the actual market value at the time of the sale of the property. They further submit that consequential losses are compensable if the misrepresentation is found to be fraudulent.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plaintiffs submit that had the misrepresentation not been made, they would have been richer by a considerable amount in that they would not have bought this property, but one without the stigma of off-site contamination. In these circumstances it does not matter whether or not the defendant would have agreed to sell the property for any less than he did. Based on Mr. Umlah's appraisal evidence, the plaintiffs would not have paid $687,500 for the property which, in his opinion, was worth $550,000. The amount necessary to put the plaintiffs in the position they would have occupied but for the misrepresentation is the difference between those two amounts.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ii. Position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defendant categorizes the plaintiffs' loss as a loss of chance or opportunity. The defendant therefore submits that the plaintiffs first must prove on a balance of probabilities that if they had known about the contamination issues they would have had a real or substantial chance to make a better bargain with the vendor.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The defendant relies on </w:t>
      </w:r>
      <w:r>
        <w:rPr>
          <w:rFonts w:ascii="arial" w:eastAsia="arial" w:hAnsi="arial" w:cs="arial"/>
          <w:i/>
          <w:color w:val="000000"/>
          <w:sz w:val="20"/>
          <w:lang w:val="en-US" w:eastAsia="en-US" w:bidi="ar-SA"/>
        </w:rPr>
        <w:t>Lee v. Royal Pacific Realty Corp.</w:t>
      </w:r>
      <w:r>
        <w:rPr>
          <w:rFonts w:ascii="arial" w:eastAsia="arial" w:hAnsi="arial" w:cs="arial"/>
          <w:color w:val="000000"/>
          <w:sz w:val="20"/>
          <w:lang w:val="en-US" w:eastAsia="en-US" w:bidi="ar-SA"/>
        </w:rPr>
        <w:t xml:space="preserve">, </w:t>
      </w:r>
      <w:hyperlink r:id="rId419" w:history="1">
        <w:r>
          <w:rPr>
            <w:rFonts w:ascii="arial" w:eastAsia="arial" w:hAnsi="arial" w:cs="arial"/>
            <w:i/>
            <w:color w:val="0077CC"/>
            <w:sz w:val="20"/>
            <w:u w:val="single"/>
            <w:shd w:val="clear" w:color="auto" w:fill="FFFFFF"/>
            <w:lang w:val="en-US" w:eastAsia="en-US" w:bidi="ar-SA"/>
          </w:rPr>
          <w:t>2003 BCSC 911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 v. Ouyang</w:t>
      </w:r>
      <w:r>
        <w:rPr>
          <w:rFonts w:ascii="arial" w:eastAsia="arial" w:hAnsi="arial" w:cs="arial"/>
          <w:color w:val="000000"/>
          <w:sz w:val="20"/>
          <w:lang w:val="en-US" w:eastAsia="en-US" w:bidi="ar-SA"/>
        </w:rPr>
        <w:t xml:space="preserve">, </w:t>
      </w:r>
      <w:hyperlink r:id="rId420" w:history="1">
        <w:r>
          <w:rPr>
            <w:rFonts w:ascii="arial" w:eastAsia="arial" w:hAnsi="arial" w:cs="arial"/>
            <w:i/>
            <w:color w:val="0077CC"/>
            <w:sz w:val="20"/>
            <w:u w:val="single"/>
            <w:shd w:val="clear" w:color="auto" w:fill="FFFFFF"/>
            <w:lang w:val="en-US" w:eastAsia="en-US" w:bidi="ar-SA"/>
          </w:rPr>
          <w:t>2012 BCSC 48</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Cranbrook (City) v. Gabriel Construction (Alberta) Ltd.</w:t>
      </w:r>
      <w:r>
        <w:rPr>
          <w:rFonts w:ascii="arial" w:eastAsia="arial" w:hAnsi="arial" w:cs="arial"/>
          <w:color w:val="000000"/>
          <w:sz w:val="20"/>
          <w:lang w:val="en-US" w:eastAsia="en-US" w:bidi="ar-SA"/>
        </w:rPr>
        <w:t xml:space="preserve">, </w:t>
      </w:r>
      <w:hyperlink r:id="rId421" w:history="1">
        <w:r>
          <w:rPr>
            <w:rFonts w:ascii="arial" w:eastAsia="arial" w:hAnsi="arial" w:cs="arial"/>
            <w:i/>
            <w:color w:val="0077CC"/>
            <w:sz w:val="20"/>
            <w:u w:val="single"/>
            <w:shd w:val="clear" w:color="auto" w:fill="FFFFFF"/>
            <w:lang w:val="en-US" w:eastAsia="en-US" w:bidi="ar-SA"/>
          </w:rPr>
          <w:t>2014 BCSC 2280</w:t>
        </w:r>
      </w:hyperlink>
      <w:r>
        <w:rPr>
          <w:rFonts w:ascii="arial" w:eastAsia="arial" w:hAnsi="arial" w:cs="arial"/>
          <w:color w:val="000000"/>
          <w:sz w:val="20"/>
          <w:lang w:val="en-US" w:eastAsia="en-US" w:bidi="ar-SA"/>
        </w:rPr>
        <w:t>, for the proposition that the court should engage in a loss of opportunity analysis to determine the appropriate quantum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As a result, the defendant argues that the evidence shows that the defendant would not have been willing to sell the property for any less than the plaintiffs paid for it and that as a result there are no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iii.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With respect, I disagree with the interpretation of and applicability of </w:t>
      </w:r>
      <w:r>
        <w:rPr>
          <w:rFonts w:ascii="arial" w:eastAsia="arial" w:hAnsi="arial" w:cs="arial"/>
          <w:i/>
          <w:color w:val="000000"/>
          <w:sz w:val="20"/>
          <w:lang w:val="en-US" w:eastAsia="en-US" w:bidi="ar-SA"/>
        </w:rPr>
        <w:t>Lee, Li</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Cranbrook</w:t>
      </w:r>
      <w:r>
        <w:rPr>
          <w:rFonts w:ascii="arial" w:eastAsia="arial" w:hAnsi="arial" w:cs="arial"/>
          <w:color w:val="000000"/>
          <w:sz w:val="20"/>
          <w:lang w:val="en-US" w:eastAsia="en-US" w:bidi="ar-SA"/>
        </w:rPr>
        <w:t xml:space="preserve"> as argued by the defendant's counsel. I find the plaintiffs in this case need not prove a loss of opportunity as a pre-condition to an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Lee</w:t>
      </w:r>
      <w:r>
        <w:rPr>
          <w:rFonts w:ascii="arial" w:eastAsia="arial" w:hAnsi="arial" w:cs="arial"/>
          <w:color w:val="000000"/>
          <w:sz w:val="20"/>
          <w:lang w:val="en-US" w:eastAsia="en-US" w:bidi="ar-SA"/>
        </w:rPr>
        <w:t>, the plaintiff brought an action against the defendant real estate agent and broker for an alleged breach of contractual duty, breach of fiduciary duty, breach of confidence and negligent misrepresentation with respect to purchase of bowling alleys. Here, the defendant allegedly disclosed the price that purchaser was willing to pay, the purchaser's motivation for buying the property, and personal information about the purchaser without purchaser's authorization. In arriving at the conclusion that the plaintiffs had failed to establish any actionable wrongs, the court discusses the legal test for proving a loss of opportunity at para. 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Li</w:t>
      </w:r>
      <w:r>
        <w:rPr>
          <w:rFonts w:ascii="arial" w:eastAsia="arial" w:hAnsi="arial" w:cs="arial"/>
          <w:color w:val="000000"/>
          <w:sz w:val="20"/>
          <w:lang w:val="en-US" w:eastAsia="en-US" w:bidi="ar-SA"/>
        </w:rPr>
        <w:t>, the plaintiff purchased a condominium knowing that the property had water ingress problems. The claim was not made against the vendor but rather against the defendant real estate agent for negligently misrepresenting the market value of the condominium. The court noted that on those circumstances, the plaintiffs needed to show that they could have purchased the condominium for less than they did and, therefore, made a larger profit.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Cranbrook</w:t>
      </w:r>
      <w:r>
        <w:rPr>
          <w:rFonts w:ascii="arial" w:eastAsia="arial" w:hAnsi="arial" w:cs="arial"/>
          <w:color w:val="000000"/>
          <w:sz w:val="20"/>
          <w:lang w:val="en-US" w:eastAsia="en-US" w:bidi="ar-SA"/>
        </w:rPr>
        <w:t>, the court found that one of the defendants was liable in breach of contract for expectation damages. The court considered whether the plaintiff lost an opportunity to have a third-party do work at an earlier time for a lower cost, due to the defendant's failure to act promptly in fulfillment of its contractual obligations.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Lee</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Li</w:t>
      </w:r>
      <w:r>
        <w:rPr>
          <w:rFonts w:ascii="arial" w:eastAsia="arial" w:hAnsi="arial" w:cs="arial"/>
          <w:color w:val="000000"/>
          <w:sz w:val="20"/>
          <w:lang w:val="en-US" w:eastAsia="en-US" w:bidi="ar-SA"/>
        </w:rPr>
        <w:t xml:space="preserve"> the issue of loss of opportunity arose only in relation to negligent misrepresentations made by real estate agents which prevented the plaintiffs from bargaining effectively with vendors who were not a party to the matter. In these types of cases, an appropriate remedy requires putting the plaintiff in the position they would have been in had the negligent misrepresentations not been made. That is to say, the court was required to speculate as to how the bargaining process would have played out had the plaintiff not suffered the detriment of the defendant's impugned conduct. Such a scenario appears to necessitate that the court consider whether the plaintiff would have had a real or substantial chance to make a better bargain with the vendor.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the present case, the action is against the vendor and does not require a loss of opportunity analysis. It should not lie in the mouth of a defendant vendor to say that damages do not flow from their own negligent misrepresentation because in any event she or he would not have sold the property for any 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Rather, the courts in our province, and others, appear to agree that in circumstances such as those in the case at bar, the appropriate assessment of damages is to determine the difference in the amount paid for the property at the time of sale, and the actual market value of the property at the time of the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Where a defendant is found to have made either a fraudulent or a negligent misrepresentation, damages are determined on the reliance measure of damages. The plaintiff should be awarded an amount necessary to put them in the position they would have occupied had the misrepresentation not been made (</w:t>
      </w:r>
      <w:r>
        <w:rPr>
          <w:rFonts w:ascii="arial" w:eastAsia="arial" w:hAnsi="arial" w:cs="arial"/>
          <w:i/>
          <w:color w:val="000000"/>
          <w:sz w:val="20"/>
          <w:lang w:val="en-US" w:eastAsia="en-US" w:bidi="ar-SA"/>
        </w:rPr>
        <w:t>Wiebe</w:t>
      </w:r>
      <w:r>
        <w:rPr>
          <w:rFonts w:ascii="arial" w:eastAsia="arial" w:hAnsi="arial" w:cs="arial"/>
          <w:color w:val="000000"/>
          <w:sz w:val="20"/>
          <w:lang w:val="en-US" w:eastAsia="en-US" w:bidi="ar-SA"/>
        </w:rPr>
        <w:t xml:space="preserve">, at para. 9; </w:t>
      </w:r>
      <w:r>
        <w:rPr>
          <w:rFonts w:ascii="arial" w:eastAsia="arial" w:hAnsi="arial" w:cs="arial"/>
          <w:i/>
          <w:color w:val="000000"/>
          <w:sz w:val="20"/>
          <w:lang w:val="en-US" w:eastAsia="en-US" w:bidi="ar-SA"/>
        </w:rPr>
        <w:t>Noble v. Fuller, Ellis Realty Ltd.</w:t>
      </w:r>
      <w:r>
        <w:rPr>
          <w:rFonts w:ascii="arial" w:eastAsia="arial" w:hAnsi="arial" w:cs="arial"/>
          <w:color w:val="000000"/>
          <w:sz w:val="20"/>
          <w:lang w:val="en-US" w:eastAsia="en-US" w:bidi="ar-SA"/>
        </w:rPr>
        <w:t xml:space="preserve">, 1985 CarswellBC 4167, </w:t>
      </w:r>
      <w:hyperlink r:id="rId422" w:history="1">
        <w:r>
          <w:rPr>
            <w:rFonts w:ascii="arial" w:eastAsia="arial" w:hAnsi="arial" w:cs="arial"/>
            <w:i/>
            <w:color w:val="0077CC"/>
            <w:sz w:val="20"/>
            <w:u w:val="single"/>
            <w:shd w:val="clear" w:color="auto" w:fill="FFFFFF"/>
            <w:lang w:val="en-US" w:eastAsia="en-US" w:bidi="ar-SA"/>
          </w:rPr>
          <w:t>[1985] B.C.J. No. 1007</w:t>
        </w:r>
      </w:hyperlink>
      <w:r>
        <w:rPr>
          <w:rFonts w:ascii="arial" w:eastAsia="arial" w:hAnsi="arial" w:cs="arial"/>
          <w:color w:val="000000"/>
          <w:sz w:val="20"/>
          <w:lang w:val="en-US" w:eastAsia="en-US" w:bidi="ar-SA"/>
        </w:rPr>
        <w:t xml:space="preserve"> at para. 28 (S.C.) (WL)).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Our court affirmed in </w:t>
      </w:r>
      <w:r>
        <w:rPr>
          <w:rFonts w:ascii="arial" w:eastAsia="arial" w:hAnsi="arial" w:cs="arial"/>
          <w:i/>
          <w:color w:val="000000"/>
          <w:sz w:val="20"/>
          <w:lang w:val="en-US" w:eastAsia="en-US" w:bidi="ar-SA"/>
        </w:rPr>
        <w:t>Eck</w:t>
      </w:r>
      <w:r>
        <w:rPr>
          <w:rFonts w:ascii="arial" w:eastAsia="arial" w:hAnsi="arial" w:cs="arial"/>
          <w:color w:val="000000"/>
          <w:sz w:val="20"/>
          <w:lang w:val="en-US" w:eastAsia="en-US" w:bidi="ar-SA"/>
        </w:rPr>
        <w:t xml:space="preserve"> that "in a claim for negligent misrepresentation the proper measure of damages is the difference between the actual worth of the property at the time of sale and the price paid" (pp. 9-10). The same conclusion was reached in </w:t>
      </w:r>
      <w:r>
        <w:rPr>
          <w:rFonts w:ascii="arial" w:eastAsia="arial" w:hAnsi="arial" w:cs="arial"/>
          <w:i/>
          <w:color w:val="000000"/>
          <w:sz w:val="20"/>
          <w:lang w:val="en-US" w:eastAsia="en-US" w:bidi="ar-SA"/>
        </w:rPr>
        <w:t>Noble</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Aldred</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As I have found that fraudulent misrepresentation has not been proven, I will not consider consequential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Expert Appraisal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Turning to the question of the fair market value of the property at the time of the sale of the property, the plaintiffs entered an appraisal report prepared by Mr. Umlah dated July 29, 2016 (See Exhibit 4) and the defendant entered a rebuttal appraisal review report prepared by Mr. Steele dated September 16, 2016 (See Exhibit 6). Each was qualified to give opinion evidence concerning the value of the property at the time of its purchase and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plaintiffs' letter of instruction to Mr. Umlah (See Appendix "D" of Exhibit 4) sets out the scope of engagement for services: (1) the provision of an independent objective expert opinion for admission into evidence, and (2) the provision of consultation services to the plaintiffs, including an assessment and advice in respect of an anticipated expert report from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plaintiffs instructed Mr. Umlah to prepare an appraisal report containing an independent, objective opinion of the market value of the property as of two different dates: (1) May 8, 2013, and (2) the date that the appraisal report is prepared.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following general assumptions were made by Mr. Umlah in the preparation of his report:</w:t>
      </w:r>
      <w:r>
        <w:rPr>
          <w:rFonts w:ascii="arial" w:eastAsia="arial" w:hAnsi="arial" w:cs="arial"/>
          <w:sz w:val="20"/>
          <w:lang w:val="en-US" w:eastAsia="en-US" w:bidi="ar-SA"/>
        </w:rPr>
        <w:cr/>
      </w:r>
    </w:p>
    <w:p>
      <w:pPr>
        <w:numPr>
          <w:numId w:val="8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Umlah relies on a definition of "market value" as set out in the </w:t>
      </w:r>
      <w:r>
        <w:rPr>
          <w:rFonts w:ascii="arial" w:eastAsia="arial" w:hAnsi="arial" w:cs="arial"/>
          <w:i/>
          <w:color w:val="000000"/>
          <w:sz w:val="20"/>
          <w:lang w:val="en-US" w:eastAsia="en-US" w:bidi="ar-SA"/>
        </w:rPr>
        <w:t>Canadian Uniform Standards of Professional Appraisal Practice</w:t>
      </w:r>
      <w:r>
        <w:rPr>
          <w:rFonts w:ascii="arial" w:eastAsia="arial" w:hAnsi="arial" w:cs="arial"/>
          <w:color w:val="000000"/>
          <w:sz w:val="20"/>
          <w:lang w:val="en-US" w:eastAsia="en-US" w:bidi="ar-SA"/>
        </w:rPr>
        <w:t xml:space="preserve">. The lengthy definition is reproduced in full at page 5 of the Umlah Report. The definition notes that a determination of market value assumes,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that the buyer and seller are typically motivated, a fact which is at dispute in this trial.</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property was in generally similar form and character on May 8, 2013 as it was on the date of inspection unless otherwise noted (see p. 3).</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property was bought in late 2009 for $629,000; it was listed for sale by Mr. Keleher in mid-February 2013 and the Bans entered into an agreement to purchase the subject property on February 28, 2013. The transaction closed on May 8, 2013 and the purchase price was $687,500.</w:t>
      </w:r>
    </w:p>
    <w:p>
      <w:pPr>
        <w:numPr>
          <w:numId w:val="8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Umlah was not aware of any other sales, listings, or offers relating to the property within the past three years.</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May 8, 2013 appraisal, a reasonable exposure and marketing time is 60-120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Reduction in Value Due to Stigma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 Assumptions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Umlah states that he "reviewed a Statement of Claim provided by the client" and "[r]eviewed various documents and correspondence regarding to [sic] the potential contamination issues relating the [sic] subject property." From this, the following facts were accepted by the appraiser:</w:t>
      </w:r>
      <w:r>
        <w:rPr>
          <w:rFonts w:ascii="arial" w:eastAsia="arial" w:hAnsi="arial" w:cs="arial"/>
          <w:sz w:val="20"/>
          <w:lang w:val="en-US" w:eastAsia="en-US" w:bidi="ar-SA"/>
        </w:rPr>
        <w:cr/>
      </w:r>
    </w:p>
    <w:p>
      <w:pPr>
        <w:numPr>
          <w:numId w:val="8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Around the summer of 2012, Mr. Keleher was informed by his neighbour that environmental consultants had conducted drilling and/or installed wells in the backyard of the neighbour's property, and these consultants would likely be contacting Mr. Keleher to examine the subject property.</w:t>
      </w:r>
    </w:p>
    <w:p>
      <w:pPr>
        <w:numPr>
          <w:numId w:val="8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or about August 2012, Mr. Keleher received a "Notification of Likely or Actual Offsite Migration" dated August 16, 2012. Then, in or about September 2012, Mr. Keleher received a "Notification of Likely of Actual Migration" dated September 18, 2012 stating that nine different substances had migrated or were likely to have migrated to the soil and groundwater beneath the subject property.</w:t>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or about October 2012, Franz Environmental attend the subject property to conduct drilling, install monitoring wells, and conduct sampling. The wells were placed underground in the rear yard and within the basement of the subject dwelling.</w:t>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Franz Environmental tests of soil and groundwater samples taken from the rear of the property showed exceedances of the Ministry of Environment CSR Standard in relation to the contaminants tetrachloroethene, trichloroethene, and VH C6-C10.</w:t>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Monitoring of these wells has continued on a regular basis with frequent visits.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appraiser accepted the facts stated and reviewed the reports generally that were prepared by Franz Environmental.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ii. Comparable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According to the Umlah Report, sales involving properties where there is a potential for contamination on site are rare, and therefore, direct comparison to properties that are similarly impacted and have sold nearby in or around the effective date are rare. Mr. Umlah attempted to address the concept of "stigma" as a factor which could or does affect the value of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Umlah provides a paired sales analysis involving properties that were former "grow-ops" and subsequently restored and resold, and compared them to otherwise similar properties in the immediate area that were not influenced by stigma.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Umlah report notes that "although the paired sales analysis does not directly reflect contaminated sites, it does illustrate how the housing market reacts to stigma. It is Mr. Umlah's opinion that "stigma caused by potential contamination would be similarly reacted to as stigma caused by a grow-op and may be more pronounced if the contamination is not remediated" (p.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Mr. Umlah's opinion is that market conditions will affect the degree to which stigma will be a factor in the sale of a property. Mr. Umlah states that as of May 8, 2013 local market conditions were generally stable and therefore stigma as a factor would have been more prevalent.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following is a summary of the analysis of comparable properties as contained in Exhibit 4A which provides corrections to data found at pages 29 and 30 of the Umlah Report. The analysis considers three properties in Surrey and two in Maple Ridge which, according to Mr. Umlah, sold for prices diminished by stigma arising from the use and consequent state or condition of the property.</w:t>
      </w:r>
      <w:r>
        <w:rPr>
          <w:rFonts w:ascii="arial" w:eastAsia="arial" w:hAnsi="arial" w:cs="arial"/>
          <w:sz w:val="20"/>
          <w:lang w:val="en-US" w:eastAsia="en-US" w:bidi="ar-SA"/>
        </w:rPr>
        <w:cr/>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Table 1 - Stigma Affected Property - 16426 85th Avenue, Surrey B.C</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Comparable properties not affected by stigma sold for between $84,000 and $102,000 more than the stigma affected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Steele states in his report that the sales data for 16426 85th Avenue, Surrey B.C. concerns a "court order sale" of a "non-remediated Grow-op property" the sale of which must occur as a cash transaction. Mr. Steele indicates that this does not meet the definition of market value as the price here is affected by undue stimulus (p. 11).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Steele Report concludes that the Mr. Umlah's analysis of comparable properties should have been adjusted for differences in condition and conditions of sale.</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Table 2 - Stigma Affected Property - 7976 170A Street, Surrey B.C</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Comparable properties not affected by stigma sold for between $66,500 and $115,000 more than the stigma affected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Steele indicates that 7976 170A Street, Surrey B.C. was also a court ordered sale and that the property was sold "as 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Steele Report concludes that Mr. Umlah's analysis of comparable properties should have been adjusted for differences in condition and conditions of sale.</w:t>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Table 3 - Stigma Affected Property - 14246 Hyland Road, Surrey B.C</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two comparable properties not affected by stigma sold for $17,000 and $120,000 more than the stigma affected property.</w:t>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Table 4 - Stigma Affected Property - 22186 River Bend, Maple Ridge B.C</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sole comparable property sold for $51,000 more than the stigma affected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Steele Report notes that there is limited data available with respect to the "grow-op" properties in Tables 3 and 4, but ultimately concludes that the comparison properties in the respective tables require adjustment and that "to isolate the difference in price to conclude the impact of stigma is not realistic ..." (p.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Mr. Steele notes in his report that this comparison data and analysis is incomplete (p. 11). Specifically, Mr. Steele's opinion is that Maple Ridge and Surrey are a "completely different market than Greater Victoria" and that no adjustment was made by Mr. Umlah to account for the potential differences in the two real estate markets.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Moreover, and as indicated above, the Steele Report concludes that the differences in price as between selected "grow-op" properties and comparison properties is not the result of stigma but because the "grow-op" properties were simply of inferior condition. The Steele Report states that "[w]ithout adjusting for the physical differences, location and features of these sales there is no reliable indication of any stigma. The sales appear to have different quality and features and therefore different sale prices" (p. 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iii. Interim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Mr. Umlah concludes stigma alone would have resulted in a knowledgeable purchaser discounting the value of the subject property by approximately 15% from the unencumbered fee simple value as at May 8,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Mr. Steele, in his report, disagrees with this conclusion stating that "the [comparison] data is inconsistent, and the lack of adjustments for the conditions of the sale and the overall condition of the properties weaken this conclusion considerably" (p.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Steele Report is also critical of the use of "grow-op" properties as a comparable property type to properties affected by the stigma of potential contamination. A "grow op" property reflects an impact to the improvements on land, whereas with contamination, while the land itself may be affected, the overall utility of the home remains unaffected.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Reduction in Value Due to Encumbrance to Utility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Mr. Umlah states in his report that there are also physical impediments to the property as a result of monthly inspections of the monitoring wells both inside and outside the residence. Moreover, the report concludes that the wells themselves are an encumbrance to the site, eliminating full utility of the rear yard (ex: building swimming pools, hot tubs, decks, etc.) (p. 31).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 Assumptions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Mr. Umlah states in his report that the presence of subsurface monitoring wells prevents development of permanent ancillary structures for the most part, leaving the rear yard available for passive recreational enjoyment (p.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Mr. Umlah also states as fact that the underlying geology is suitable to facilitate urban residential development using conventional construction practices.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ii. Interim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Mr. Umlah calculates an average rate for vacant land as being $84.34 per square foot. Mr. Umlah acknowledges that rear yard development would be limited through zoning regulations and setbacks. He ultimately allocates a reduction to the unencumbered fee simple value of 25% to reflect encumbrance to the full bundle of rights as a result of the limited uses available within the area of the wells resulting in an estimated loss of 4.57% of the value of the property or $31,400.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Steele Report disagrees with this assessment noting that features like swimming pools are uncommon in this area of Victoria, B.C. and likening the physicality of the monitoring wells to a large irrigation sprinkler head. Overall, Mr. Steele concludes in his report that "the location [of the monitoring wells] in the rear yard has no impact on the current utility as a single family dwelling" (p. 15) and agrees with the Umlah Report that "[t]he rear yard can still be used for passive recreational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Steele Report also disagrees with the methodology employed in the Umlah Report of equating access to the monitoring wells, with an easement or right of way. The Steele Report equates "the impact of the trespass [to inspect the wells] to that of a meter reader, a mailman or paperboy who will entered a given property unannounced" (p.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Finally, the Steele Report also notes that the "utility of the back yard is inferior to that of the home site which is the primary point of value" and that "the rate per square foot of the land will diminish ... the farther the distance from the home" (p. 16). The Steele Report criticizes the Umlah Report for incorrectly assigning a uniform rate -- $84.34 per square foot -- for every square foot on the property. As a result, the Steele Report concludes that "[i]f there is an impact on value [owing to an encumbrance on the rear yard] it will be at a lesser rate than the rate based on the property as a whole" (p.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 Conclusions as to Overall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Mr. Umlah concludes in his report that given the stigma associated with marginalized properties, the market conditions at the time of sale and the encumbrance to utility as a result of the well monitoring, the property upon disclosure of potential for contamination would have sold for a price 20% below (namely $550,000) the non-influenced value estimate ($687,500).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Steele Report concludes that the measure of the impact of the perceived stigma of 20%, as determined in the Umlah Report, is unsupported by relevant market evidence and is therefore not a reasonable conclusion. The report goes on to conclude that Mr. Umlah has failed to provide market evidence that stigma actually exists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Mr. Steele's report indicates that he reviewed sales from the subject neighbourhood noting that none of properties he reviewed showed an indication of a discounted sale price due to stigma of perceived contamination. The Steele Report concludes that this evidence contradicts the proposition in the Umlah Report that "[a] stigma may not be related only to a property with known contamination, but may also extend to properties in close proximity to known contamination" (p.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In addition to his instructions to prepare a report reviewing the methodology and conclusions of the Umlah Report, Mr. Steele also indicates that the "purpose of the review is to provide an opinion of the market value of the property in 2013 and 2016. In that respect, the report indicates that Mr. Steele reviewed his own set of comparable properties and concluded that as of May 8, 2013 the value of the property in this case was $687,500.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Diminution in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The position of the plaintiffs is that Mr. Umlah has taken a reasonable approach to the valuation of the property, in order to provide the court a "ready-made inference" in relation to the diminution in value. Moreover they submit that the effect of stigma is a recognized element of the real estate valuation process and has been taken into account by our court in </w:t>
      </w:r>
      <w:r>
        <w:rPr>
          <w:rFonts w:ascii="arial" w:eastAsia="arial" w:hAnsi="arial" w:cs="arial"/>
          <w:i/>
          <w:color w:val="000000"/>
          <w:sz w:val="20"/>
          <w:lang w:val="en-US" w:eastAsia="en-US" w:bidi="ar-SA"/>
        </w:rPr>
        <w:t>Gordon v. Krieg</w:t>
      </w:r>
      <w:r>
        <w:rPr>
          <w:rFonts w:ascii="arial" w:eastAsia="arial" w:hAnsi="arial" w:cs="arial"/>
          <w:color w:val="000000"/>
          <w:sz w:val="20"/>
          <w:lang w:val="en-US" w:eastAsia="en-US" w:bidi="ar-SA"/>
        </w:rPr>
        <w:t xml:space="preserve">, </w:t>
      </w:r>
      <w:hyperlink r:id="rId423" w:history="1">
        <w:r>
          <w:rPr>
            <w:rFonts w:ascii="arial" w:eastAsia="arial" w:hAnsi="arial" w:cs="arial"/>
            <w:i/>
            <w:color w:val="0077CC"/>
            <w:sz w:val="20"/>
            <w:u w:val="single"/>
            <w:shd w:val="clear" w:color="auto" w:fill="FFFFFF"/>
            <w:lang w:val="en-US" w:eastAsia="en-US" w:bidi="ar-SA"/>
          </w:rPr>
          <w:t>2013 BCSC 842</w:t>
        </w:r>
      </w:hyperlink>
      <w:r>
        <w:rPr>
          <w:rFonts w:ascii="arial" w:eastAsia="arial" w:hAnsi="arial" w:cs="arial"/>
          <w:color w:val="000000"/>
          <w:sz w:val="20"/>
          <w:lang w:val="en-US" w:eastAsia="en-US" w:bidi="ar-SA"/>
        </w:rPr>
        <w:t>, at paras. 196-97.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Moreover, the plaintiffs submit that the court should give no weight to the criticisms found in Mr. Steele's report, or to his opinion that the market would not discount the property at all after becoming aware of the contamination issues. They note that Mr. Steele has done little or no analysis of his own, on the issue of stigma he has presented no alternative methodology, and his opinion in relation to value simply does not accord with common sense.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Finally they disagree with Mr. Steele's comparison that the monitoring wells are similar to hydro meters which require periodic inspection. The monitoring wells provide no benefit to the plaintiffs in exchange for their physical presence on the property and the resulting periodic attendance of Arcadis Canada (formerly Franz Environmental) inspectors. They are simply a physical reminder of the spectre of contamination issues which affect the development potential of the rear yard.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In light of the foregoing, the following amounts from the Umlah Report, relevant to a determination of an appropriate award, are:</w:t>
      </w:r>
      <w:r>
        <w:rPr>
          <w:rFonts w:ascii="arial" w:eastAsia="arial" w:hAnsi="arial" w:cs="arial"/>
          <w:sz w:val="20"/>
          <w:lang w:val="en-US" w:eastAsia="en-US" w:bidi="ar-SA"/>
        </w:rPr>
        <w:cr/>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Price paid by the plaintiffs: </w:t>
      </w:r>
      <w:r>
        <w:rPr>
          <w:rFonts w:ascii="arial" w:eastAsia="arial" w:hAnsi="arial" w:cs="arial"/>
          <w:b/>
          <w:color w:val="000000"/>
          <w:sz w:val="20"/>
          <w:lang w:val="en-US" w:eastAsia="en-US" w:bidi="ar-SA"/>
        </w:rPr>
        <w:t>$687,500</w:t>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Value of the property as of May 9, 2013: </w:t>
      </w:r>
      <w:r>
        <w:rPr>
          <w:rFonts w:ascii="arial" w:eastAsia="arial" w:hAnsi="arial" w:cs="arial"/>
          <w:b/>
          <w:color w:val="000000"/>
          <w:sz w:val="20"/>
          <w:lang w:val="en-US" w:eastAsia="en-US" w:bidi="ar-SA"/>
        </w:rPr>
        <w:t>$550,000</w:t>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Diminution in value: </w:t>
      </w:r>
      <w:r>
        <w:rPr>
          <w:rFonts w:ascii="arial" w:eastAsia="arial" w:hAnsi="arial" w:cs="arial"/>
          <w:b/>
          <w:color w:val="000000"/>
          <w:sz w:val="20"/>
          <w:lang w:val="en-US" w:eastAsia="en-US" w:bidi="ar-SA"/>
        </w:rPr>
        <w:t>$137,500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position of the defendant is that the Steele Report provides powerful rebuttal evidence that casts the reliability of the Umlah Report into serious doubt. The Steele Report identifies flaws in the Umlah Report which include:</w:t>
      </w:r>
      <w:r>
        <w:rPr>
          <w:rFonts w:ascii="arial" w:eastAsia="arial" w:hAnsi="arial" w:cs="arial"/>
          <w:sz w:val="20"/>
          <w:lang w:val="en-US" w:eastAsia="en-US" w:bidi="ar-SA"/>
        </w:rPr>
        <w:cr/>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Incomplete disclosure of facts and assumptions relied upon by Mr. Umlah, and the basis of those facts and assumptions;</w:t>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Incomplete information regarding the nature of the contamination as known, thus leading to a misleading conclusion;</w:t>
      </w:r>
    </w:p>
    <w:p>
      <w:pPr>
        <w:numPr>
          <w:numId w:val="1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use of former grow operations in Surrey and Maple Ridge and equating them to a potentially contaminated site in Victoria;</w:t>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Notwithstanding the lack of apples to apples comparison, no adjustment was made between the Surrey/ Maple Ridge and Victoria markets;</w:t>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unsubstantiated statement that the "grow op" properties used as in the Umlah analysis were subsequently restored and no analysis as to the level of damage or restoration;</w:t>
      </w:r>
    </w:p>
    <w:p>
      <w:pPr>
        <w:numPr>
          <w:numId w:val="1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material non-disclosure that the "grow-op" properties were sold in an "as is" condition and pursuant to court ordered sale contradicts the definition of market value as set out on p. 5 of the Umlah Report, specifically, the assumption that a market value price is one that is not affected by undue stimulus. Further, if at least one of the sold properties were "a mess" on sale, the reliability of it as a comparable in the "stigma" analysis, and the analysis itself, is unreliable.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Moreover, the defendant's position is that Mr. Steele's report correctly states that the rear yard of the property can still be used for passive recreational use which he contends is the normal use for residential properties in the Fairfield neighbourhood. The defendant submits that, based on the Steele Report's comparison of home sales near to the property, that there is no evidence that stigma has affected the other properties nearby and that as a result, the market value was indeed paid by the plaintiffs in May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In the alternative, the defendant submits that, as stated in the Steele Report, Mr. Umlah engaged in a flawed rear yard valuation analysis by applying a uniform rate per square foot to the property when in fact, the correct method would see the rate per square foot gradually decrease the further one ventures from the "home site." The defendant states that the discount value given by Mr. Umlah to the diminished utility of the rear yard is too high.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Moreover, on cross-examination of Mr. Umlah, the defendant raises the concern that it was inappropriate for Mr. Umlah to separately calculate a diminution in value due to stigma and then a loss of value due to encumbrances. Although not specifically addressed in submissions, the point appears to be that perhaps the loss due to encumbrances is subsumed under any diminution in value that arises due to stigma. That is, that a potential buyer who discounts the property due to stigma would presumably already include any loss of utility in that discount. Ultimately, the defendant makes the point that Mr. Umlah's report may be amplifying the loss by using one factor in two separate places.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On the rebuttal evidence of Mr. Steele, the following amounts are relevant in a determination of an appropriate award:</w:t>
      </w:r>
      <w:r>
        <w:rPr>
          <w:rFonts w:ascii="arial" w:eastAsia="arial" w:hAnsi="arial" w:cs="arial"/>
          <w:sz w:val="20"/>
          <w:lang w:val="en-US" w:eastAsia="en-US" w:bidi="ar-SA"/>
        </w:rPr>
        <w:cr/>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Price paid by the plaintiffs: </w:t>
      </w:r>
      <w:r>
        <w:rPr>
          <w:rFonts w:ascii="arial" w:eastAsia="arial" w:hAnsi="arial" w:cs="arial"/>
          <w:b/>
          <w:color w:val="000000"/>
          <w:sz w:val="20"/>
          <w:lang w:val="en-US" w:eastAsia="en-US" w:bidi="ar-SA"/>
        </w:rPr>
        <w:t>$687,500</w:t>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Value of the property as of May 9, 2013: </w:t>
      </w:r>
      <w:r>
        <w:rPr>
          <w:rFonts w:ascii="arial" w:eastAsia="arial" w:hAnsi="arial" w:cs="arial"/>
          <w:b/>
          <w:color w:val="000000"/>
          <w:sz w:val="20"/>
          <w:lang w:val="en-US" w:eastAsia="en-US" w:bidi="ar-SA"/>
        </w:rPr>
        <w:t>$687,500</w:t>
      </w:r>
    </w:p>
    <w:p>
      <w:pPr>
        <w:numPr>
          <w:numId w:val="1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Diminution in value: </w:t>
      </w:r>
      <w:r>
        <w:rPr>
          <w:rFonts w:ascii="arial" w:eastAsia="arial" w:hAnsi="arial" w:cs="arial"/>
          <w:b/>
          <w:color w:val="000000"/>
          <w:sz w:val="20"/>
          <w:lang w:val="en-US" w:eastAsia="en-US" w:bidi="ar-SA"/>
        </w:rPr>
        <w:t>$0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Quantification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task of the court is to decide what discount if any in the market value of the property (the price the plaintiffs paid) arises from the defendant's non-disclosure of the contamination issue and, if a discount is warranted, to value it and order damages accordingly, thereby restoring the plaintiffs to the position they would have been in absent reliance on the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Based on Mr. Umlah's report, and his evidence given on cross-examination, it is clear that he was attempting to illustrate the concept of stigma and how the market reacts to stigma which, in this case, was created by the potential for contamination. He acknowledges that evaluation of real estate is not a science, but is based on, in his case, experience, intuition, analysis and judgment arising from that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As a result of his paired sales analysis involving marketed grow-op properties, and in assessing the diminution or loss of value of the property, Mr. Umlah concluded that stigma does in fact affect the market, that it does so negatively, and in this case, the stigma created by the contaminant issue, taken together with the consequent limitations of use as a result of the monitoring wells, the diminution in value of the property should be assessed at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Mr. Steele criticizes the Umlah Report on a number of bases, the primary ones being that Mr. Umlah used properties located in Surrey and Maple Ridge, not Victoria or a comparable market, and that the grow-up properties considered were inferior properties which, in a number of instances, were court ordered sales and unremediated when marketed.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Mr. Steele testified that in his view, Mr. Umlah's analysis of the stigma effect is entirely unreliable. He bases this conclusion, in part, on his discussions with at least one realtor who subsequently sold properties in the Fairfield neighbourhood. As a result, Mr. Steele satisfied himself that the contaminant issue in the neighbourhood has not amounted to a stigma negatively affecting the market. However, he agrees that he did not appraise these properties and made no attempt to determine directly, through the parties involved, whether or not the listing price and the price paid for these properties was impacted in any quantifiable way by the contaminant issue, or indeed whether, for example, active monitoring wells installed on all properties were a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Mr. Steele also criticizes Mr. Umlah's approach to the limitations on unrestricted use of the property as a result of the installation of the wells on the property, testifying that neither the fact nor location of the wells impacts the use of the property. Mr. Steele describes the testing wells as being similar to a sprinkler head, although this determination is based on his viewing of photographs, and not as a result of having attended the rear yard of the property as Mr. Umlah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Further, Mr. Steele suggests that the location of the wells would not unduly restrict the property owner's use of the backyard. For example, the property owner is able to work around the location of the wells if he/she chose to construct outbuildings or other things like swimming pools.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In Mr. Steele's opinion, a contaminant issue does not give rise to a stigma on the property and a consequent diminution in value. There is no restriction on the use of the property as a result of the testing wells or the contaminant issue generally, and consequently, the price the plaintiffs paid for the property is reflective of its fair market value on May 8,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There is no question that Mr. Umlah, in attempting to illustrate and define the concept of stigma and its negative effect on fair market value, did not have data to use regarding the sale of potentially chemically contaminated properties in Victoria sold in and around May of 2013. However, I am satisfied that he was not attempting, nor should he have been attempting, to equate the values of grow-op properties in Surrey and Maple Ridge with properties in Victoria generally, or Fairfield specifically.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On all of the evidence, I am persuaded by Mr. Umlah's assertion that stigma does arise when property is or may be contaminated, and conversely I reject Mr. Steele's opinion that no stigma arises in such a situation. In my view, the comparisons Mr. Umlah used in formulating his opinion are of some assistance and so substantiate his view of the concept of stigma and its effect on value. Apart from the opinion evidence offered by both Mr. Umlah and Mr. Steele, it seems to me a matter of common sense that property which is potentially contaminated by chemicals and is subject to ongoing environmental testing for the presence of such contaminants would be viewed as less desirable, and therefore as having a lesser market value than similar property, free and clear of such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Overall, I am satisfied on the evidence and find that the contaminants issue does create a stigma in respect of this property, that stigma negatively affects its fair market value, and did so on May 8, 2013. Further, I am satisfied that the location of the five wells on the property in the backyard diminishes the use and enjoyment of the property and certainly did so on May 8, 2013. The wells are exposed and are used for testing purposes once a month for approximately one hour each time. The fact that technicians come on to the property for the purpose of testing is an impediment to the privacy and enjoyment of the owners of the home. It is a far greater impediment, in my view, than Mr. Steele's suggestion that it is similar to a B.C. Hydro employee coming onto the property to read a meter periodically, or to the delivery of mail to the front door of the home by Canada Post.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plaintiffs have expressed concern that they will be unable to build a garage in the backyard or even a shed and I accept their evidence that while it may be as Mr. Steele says, possible to work around the location of the wells for such purposes, there is no question that the location of the wells on the property limits the unrestricted use of that property for purposes other than passive recreation. Similarly, I accept the plaintiffs' evidence that while they expected to be able to grow vegetables in their backyard, that potential enjoyment has been lost in that they will not eat food grown in contaminated or potentially contaminated soil.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In considering the measure of damages, I have also taken into account Mr. Umlah's evidence, which I accept, that stigma is more likely to have a negative impact on value in a stable real estate market which, in his view, the market was in May of 2013. The fact that this property is worth significantly more in 2017 than it was in 2013 is irrelevant to the question of what effect the undisclosed contaminant issue had on the fair market value of the property on May 8,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 accept Mr. Umlah's evidence that the concept of stigma and the possibility of its impact on value, is greater in respect of residential real estate transactions than it is in respect of commercial/investment real estate property transactions because, in Mr. Umlah's view, and I accept this as common sense, the residential real estate market is driven to a significant extent by emotion as well as economics. As he noted, emotion is a different motivator than that which drives commercial or industrial properties which may be less affected by the concept of stigma.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In conclusion, I am satisfied that the contaminant issue, had it been disclosed, would have amounted to stigma negatively affecting the fair market value of the property on May 8, 2013. I also agree with the submission of plaintiffs' counsel that stigma is more likely to be at its greatest when uncertainty is at its highest. In this case, the extent of contamination, if any, and the plan for its remediation, if any, is simply unknown and was unknown on May 8, 2013. Therefore, it would have negatively affected the fair market value on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As to use and enjoyment, I accept that passive recreational use of the property is unaffected by the contaminants issue. However, I find that the spectre of contamination, the fact of the presence of the wells and the monthly testing, restricts additional uses and overall enjoyment of the property to some degree.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 conclude that the plaintiffs are entitled to be compensated because they paid more for this property than it was worth.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In quantifying the plaintiffs' loss, I take into account that Mr. Umlah proposes an overall 20% reduction on the purchase price: a 15% discount for stigma and the balance for the loss of enjoyment and use of the property. The fact that the plaintiffs have not marketed this property for sale, four years after the fact and in a much changed market, has no impact on the finding or quantification of their loss on May 8,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An assessment of damages is simply that. The court is not required to do a precise scientific or mathematical calculation in the quantification of damages. I am satisfied that as a consequence of the negligent misrepresentation, damages should be assessed at $95,000.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Costs follow the event. If counsel consider they have legal arguments to raise as to why the usual order should not be made, they may arrange through the Supreme Court Scheduling office to make those submissions on or before July 24,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J.L. DORGAN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2" style="position:absolute;z-index:251774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4"/>
          <w:headerReference w:type="default" r:id="rId425"/>
          <w:footerReference w:type="even" r:id="rId426"/>
          <w:footerReference w:type="default" r:id="rId427"/>
          <w:headerReference w:type="first" r:id="rId428"/>
          <w:footerReference w:type="first" r:id="rId42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430" w:history="1">
        <w:r>
          <w:rPr>
            <w:rFonts w:ascii="arial" w:eastAsia="arial" w:hAnsi="arial" w:cs="arial"/>
            <w:b/>
            <w:bCs/>
            <w:i/>
            <w:color w:val="0077CC"/>
            <w:kern w:val="32"/>
            <w:sz w:val="28"/>
            <w:szCs w:val="32"/>
            <w:u w:val="single"/>
            <w:shd w:val="clear" w:color="auto" w:fill="FFFFFF"/>
            <w:lang w:val="en-US" w:eastAsia="en-US" w:bidi="ar-SA"/>
          </w:rPr>
          <w:t>Bardal v. Camosun College, [2003] B.C.J. No. 2675</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Shaw J. (In Chambers)</w:t>
      </w:r>
    </w:p>
    <w:p>
      <w:pPr>
        <w:spacing w:before="120" w:line="260" w:lineRule="atLeast"/>
        <w:jc w:val="center"/>
        <w:rPr>
          <w:lang w:val="en-US" w:eastAsia="en-US" w:bidi="ar-SA"/>
        </w:rPr>
      </w:pPr>
      <w:r>
        <w:rPr>
          <w:rFonts w:ascii="arial" w:eastAsia="arial" w:hAnsi="arial" w:cs="arial"/>
          <w:color w:val="000000"/>
          <w:sz w:val="20"/>
          <w:lang w:val="en-US" w:eastAsia="en-US" w:bidi="ar-SA"/>
        </w:rPr>
        <w:t>Oral judgment: November 7, 2003.</w:t>
      </w:r>
    </w:p>
    <w:p>
      <w:pPr>
        <w:spacing w:before="120" w:line="260" w:lineRule="atLeast"/>
        <w:jc w:val="center"/>
        <w:rPr>
          <w:lang w:val="en-US" w:eastAsia="en-US" w:bidi="ar-SA"/>
        </w:rPr>
      </w:pPr>
      <w:r>
        <w:rPr>
          <w:rFonts w:ascii="arial" w:eastAsia="arial" w:hAnsi="arial" w:cs="arial"/>
          <w:color w:val="000000"/>
          <w:sz w:val="20"/>
          <w:lang w:val="en-US" w:eastAsia="en-US" w:bidi="ar-SA"/>
        </w:rPr>
        <w:t>Victoria Registry No. 00 3489</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[2003] B.C.J. No. 2675</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2003 BCSC 1777</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127 A.C.W.S. (3d) 1264</w:t>
      </w:r>
    </w:p>
    <w:p>
      <w:pPr>
        <w:spacing w:before="120" w:line="260" w:lineRule="atLeast"/>
        <w:rPr>
          <w:lang w:val="en-US" w:eastAsia="en-US" w:bidi="ar-SA"/>
        </w:rPr>
      </w:pPr>
      <w:r>
        <w:rPr>
          <w:rFonts w:ascii="arial" w:eastAsia="arial" w:hAnsi="arial" w:cs="arial"/>
          <w:color w:val="000000"/>
          <w:sz w:val="20"/>
          <w:lang w:val="en-US" w:eastAsia="en-US" w:bidi="ar-SA"/>
        </w:rPr>
        <w:t>Between James Paul Bardal, plaintiff, and Camosun College and Saanich Upholstery &amp; Interiors,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(25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73" style="position:absolute;z-index:251673600"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77" w:name="Keywords"/>
      <w:bookmarkEnd w:id="77"/>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Standard of care, particular persons and relationships — Educational institutions and instructors.</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78" w:name="Case Summary"/>
            <w:bookmarkEnd w:id="78"/>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Bardal against Camosun College for damages for personal injuries. Bardal was sitting in a lecture hall at the College when the chair he was occupying collapsed. The chair was missing a bolt. The College had a process whereby it inspected the chairs on an annual basis. There was no evidence as to how the bolt became removed. </w:t>
            </w:r>
            <w:r>
              <w:rPr>
                <w:lang w:val="en-US" w:eastAsia="en-US" w:bidi="ar-SA"/>
              </w:rPr>
              <w:cr/>
            </w:r>
          </w:p>
          <w:p>
            <w:pPr>
              <w:spacing w:before="120" w:line="260" w:lineRule="atLeast"/>
              <w:ind w:left="240"/>
              <w:jc w:val="both"/>
              <w:rPr>
                <w:lang w:val="en-US" w:eastAsia="en-US" w:bidi="ar-SA"/>
              </w:rPr>
            </w:pPr>
            <w:bookmarkStart w:id="79" w:name="Holdings of Court"/>
            <w:bookmarkEnd w:id="79"/>
            <w:r>
              <w:rPr>
                <w:rFonts w:ascii="arial" w:eastAsia="arial" w:hAnsi="arial" w:cs="arial"/>
                <w:color w:val="000000"/>
                <w:sz w:val="20"/>
                <w:lang w:val="en-US" w:eastAsia="en-US" w:bidi="ar-SA"/>
              </w:rPr>
              <w:t>HELD: Action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inspection system was reasonable. The College met the required standard of care. </w:t>
            </w:r>
            <w:r>
              <w:rPr>
                <w:lang w:val="en-US" w:eastAsia="en-US" w:bidi="ar-SA"/>
              </w:rPr>
              <w:cr/>
            </w:r>
          </w:p>
          <w:p>
            <w:pPr>
              <w:rPr>
                <w:lang w:val="en-US" w:eastAsia="en-US" w:bidi="ar-SA"/>
              </w:rPr>
            </w:pPr>
          </w:p>
        </w:tc>
      </w:tr>
    </w:tbl>
    <w:p>
      <w:pPr>
        <w:jc w:val="both"/>
        <w:rPr>
          <w:lang w:val="en-US" w:eastAsia="en-US" w:bidi="ar-SA"/>
        </w:rPr>
      </w:pPr>
      <w:bookmarkStart w:id="80" w:name="Legislation Cited"/>
      <w:bookmarkEnd w:id="80"/>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074" style="position:absolute;z-index:25172480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British Columbia Supreme Court Rules, Rule 18A.</w:t>
      </w:r>
      <w:r>
        <w:rPr>
          <w:lang w:val="en-US" w:eastAsia="en-US" w:bidi="ar-SA"/>
        </w:rPr>
        <w:cr/>
      </w:r>
    </w:p>
    <w:p>
      <w:pPr>
        <w:keepNext/>
        <w:spacing w:before="240" w:line="340" w:lineRule="atLeast"/>
        <w:rPr>
          <w:lang w:val="en-US" w:eastAsia="en-US" w:bidi="ar-SA"/>
        </w:rPr>
      </w:pPr>
      <w:bookmarkStart w:id="81" w:name="Counsel_14"/>
      <w:bookmarkEnd w:id="81"/>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75" style="position:absolute;z-index:25177600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R. Dumonceaux, for the plaintiff. M.A. MacKenzie, for the defendant, Camosun College. C. Salomon, for the defendant, Saanich Upholstery.</w:t>
      </w:r>
      <w:r>
        <w:rPr>
          <w:lang w:val="en-US" w:eastAsia="en-US" w:bidi="ar-SA"/>
        </w:rPr>
        <w:cr/>
      </w:r>
    </w:p>
    <w:p>
      <w:pPr>
        <w:spacing w:after="240"/>
        <w:rPr>
          <w:lang w:val="en-US" w:eastAsia="en-US" w:bidi="ar-SA"/>
        </w:rPr>
      </w:pPr>
      <w:bookmarkStart w:id="82" w:name="Judgment_14"/>
      <w:bookmarkEnd w:id="82"/>
      <w:r>
        <w:pict>
          <v:line id="_x0000_s1076" style="position:absolute;z-index:251813888"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83" w:name="SHAW J. (orally)"/>
            <w:bookmarkEnd w:id="83"/>
            <w:r>
              <w:rPr>
                <w:rFonts w:ascii="arial" w:eastAsia="arial" w:hAnsi="arial" w:cs="arial"/>
                <w:b/>
                <w:color w:val="000000"/>
                <w:sz w:val="30"/>
                <w:lang w:val="en-US" w:eastAsia="en-US" w:bidi="ar-SA"/>
              </w:rPr>
              <w:t>SHAW J. (orally)</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action by a student at Camosun College who was injured when a chair he was occupying in a lecture hall collapsed. The action has been taken against not only the defendant, Camosun College, but also Saanich Upholstery &amp; Interiors.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action against Saanich Upholstery &amp; Interiors was dismissed by me earlier today. It was dismissed under a Rule 18A application by Saanich Upholstery &amp; Interiors, which was not opposed by the plaintiff, Mr. Bardal. Saanich Upholstery &amp; Interiors was the enterprise that was used to carry out inspections on an annual basis of the chairs in the lecture hall.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key issue before me is whether Camosun College set up an inspection system that was of a nature as to make the chairs in the lecture hall reasonably safe for use.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evidence indicates that the nut and bolt attached to the right side of the chair for its support was missing, and the chair, therefore, collapsed when the plaintiff sat in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Why it was missing is not known. There is no evidence one way or the other as to whether it was an act of vandalism, whether it was something that slowly took place over a period of time or whatever other explanation there might be for what occurred. It simply happened.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inspection system was substantially this: On an annual basis Saanich Upholstery &amp; Interiors was brought in to carry out a thorough inspection. The last inspection was about nine or ten months before the accident occurred.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There is no suggestion that the inspection carried out by Saanich Upholstery &amp; Interiors was anything but a proper and adequate inspection.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addition to that, the staff of Camosun College that carried out the cleaning in the lecture room was instructed to report to their supervisor any deficiency or signs of failure or unsafe conditions that they encountered. The evidence is that they, in fact, did carry out their duties and that this led to repairs being made from time to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Another aspect of inspection, if this may be labelled that, is that the maintenance staff would act upon any complaints made by any users of the lecture hall. Presumably if the chair had actually come loose and partially fallen before Mr. Bardal sat in it, that would have been noted by the staff and probably there would have been a complaint about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However, what likely occurred in this case is that the chair rested on the mechanism which held it in place, but the bolt was missing and the chair slid off the mechanism and thereby fell.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 must ask myself whether the system was reasonable in all the circumstances.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One of the circumstances is that after several years of usage there has never been an incident similar to the one which occurred in this case. There has never been an incident where a bolt has been found missing, or where a chair has fallen in this manner.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There have been incidents where the bolts of the chairs to the floor have come loose. They are attached by bolts to the concrete beneath the chairs. However, that is not what I am dealing with in the present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My view is that in all the circumstances the inspection system was reasonable. It was, no doubt, short of being foolproof, but as the case law indicates the standard is not perfection. The standard is reasonableness.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 am sorry I must dismiss this action because I have no doubt that the plaintiff was caught by total surprise when his chair slipped and he fell with it, but on the evidence before me, I can come to no other conclusion but that in all the circumstances the particular system that was devised and used by Camosun College was reasonable.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Accordingly, the action is dismissed.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Is there any claim for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MacKENZIE: Yes, My Lord. We would like costs of the action in the application, please.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COURT: All right. Do you have any submission as to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DUMONCEAUX: My Lord, I can't -- I can't come up with a reason why costs shouldn't follow in the ordinary course.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COURT: Nor can I.</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DUMONCEAUX: Yeah. I'm just thinking, I'm usually pretty inventive, I can come up with something.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COURT: In that case, costs will follow the event.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[DISCUSSION RE THE FORMAL ORDER]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COURT: The usual practice will prevail on the signing of the order.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All right, thank you both for your thorough and good presentations. I do not see how either of you could have done better.</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SHAW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7" style="position:absolute;z-index:2518272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31"/>
          <w:headerReference w:type="default" r:id="rId432"/>
          <w:footerReference w:type="even" r:id="rId433"/>
          <w:footerReference w:type="default" r:id="rId434"/>
          <w:headerReference w:type="first" r:id="rId435"/>
          <w:footerReference w:type="first" r:id="rId43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37" w:history="1">
        <w:r>
          <w:rPr>
            <w:rFonts w:ascii="arial" w:eastAsia="arial" w:hAnsi="arial" w:cs="arial"/>
            <w:b/>
            <w:bCs/>
            <w:i/>
            <w:color w:val="0077CC"/>
            <w:kern w:val="32"/>
            <w:sz w:val="28"/>
            <w:szCs w:val="32"/>
            <w:u w:val="single"/>
            <w:shd w:val="clear" w:color="auto" w:fill="FFFFFF"/>
            <w:lang w:val="en-US" w:eastAsia="en-US" w:bidi="ar-SA"/>
          </w:rPr>
          <w:t>British Columbia v. Salt Spring Ventures Inc., [2012] B.C.J. No. 2612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E.J. Adair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19-23, 26-29 and December 3,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12,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11 1259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2612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38" w:history="1">
        <w:r>
          <w:rPr>
            <w:rFonts w:ascii="arial" w:eastAsia="arial" w:hAnsi="arial" w:cs="arial"/>
            <w:i/>
            <w:color w:val="0077CC"/>
            <w:sz w:val="20"/>
            <w:u w:val="single"/>
            <w:shd w:val="clear" w:color="auto" w:fill="FFFFFF"/>
            <w:lang w:val="en-US" w:eastAsia="en-US" w:bidi="ar-SA"/>
          </w:rPr>
          <w:t>2012 BCSC 1862</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38" w:history="1">
        <w:r>
          <w:rPr>
            <w:rFonts w:ascii="arial" w:eastAsia="arial" w:hAnsi="arial" w:cs="arial"/>
            <w:i/>
            <w:color w:val="0077CC"/>
            <w:sz w:val="20"/>
            <w:u w:val="single"/>
            <w:shd w:val="clear" w:color="auto" w:fill="FFFFFF"/>
            <w:lang w:val="en-US" w:eastAsia="en-US" w:bidi="ar-SA"/>
          </w:rPr>
          <w:t>224 A.C.W.S. (3d) 232</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38" w:history="1">
        <w:r>
          <w:rPr>
            <w:rFonts w:ascii="arial" w:eastAsia="arial" w:hAnsi="arial" w:cs="arial"/>
            <w:i/>
            <w:color w:val="0077CC"/>
            <w:sz w:val="20"/>
            <w:u w:val="single"/>
            <w:shd w:val="clear" w:color="auto" w:fill="FFFFFF"/>
            <w:lang w:val="en-US" w:eastAsia="en-US" w:bidi="ar-SA"/>
          </w:rPr>
          <w:t>41 B.C.L.R. (5th) 409</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38" w:history="1">
        <w:r>
          <w:rPr>
            <w:rFonts w:ascii="arial" w:eastAsia="arial" w:hAnsi="arial" w:cs="arial"/>
            <w:i/>
            <w:color w:val="0077CC"/>
            <w:sz w:val="20"/>
            <w:u w:val="single"/>
            <w:shd w:val="clear" w:color="auto" w:fill="FFFFFF"/>
            <w:lang w:val="en-US" w:eastAsia="en-US" w:bidi="ar-SA"/>
          </w:rPr>
          <w:t>2012 CarswellBC 3946</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Her Majesty the Queen in Right of the Province of British Columbia and the BC Transportation Financing Authority, Plaintiffs, and Salt Spring Ventures Incorporated and Eric Booth,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(57 paras.)</w:t>
      </w:r>
    </w:p>
    <w:p>
      <w:pPr>
        <w:jc w:val="both"/>
        <w:rPr>
          <w:rFonts w:ascii="arial" w:eastAsia="arial" w:hAnsi="arial" w:cs="arial"/>
          <w:sz w:val="20"/>
          <w:lang w:val="en-US" w:eastAsia="en-US" w:bidi="ar-SA"/>
        </w:rPr>
      </w:pPr>
      <w:bookmarkStart w:id="84" w:name="Counsel_15"/>
      <w:bookmarkEnd w:id="8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8" style="position:absolute;z-index:251674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L. Lee and K. Evans.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Richard S. Margetts, Q.C.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5" w:name="Judgment_15"/>
      <w:bookmarkEnd w:id="85"/>
      <w:r>
        <w:pict>
          <v:line id="_x0000_s1079" style="position:absolute;z-index:25172582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6" w:name="E.J. ADAIR J."/>
            <w:bookmarkEnd w:id="86"/>
            <w:r>
              <w:rPr>
                <w:rFonts w:ascii="arial" w:eastAsia="arial" w:hAnsi="arial" w:cs="arial"/>
                <w:b/>
                <w:color w:val="000000"/>
                <w:sz w:val="30"/>
                <w:lang w:val="en-US" w:eastAsia="en-US" w:bidi="ar-SA"/>
              </w:rPr>
              <w:t>E.J. ADAIR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concerns land and water on Salt Spring Island.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claim the defendants unlawfully diverted water from the defendants' property onto the plaintiffs' property, causing property damage and expense. The claim is brought in nuisance. The defendants deny that they have any liability to the plaintiffs, and deny that their actions have caused the plaintiffs to suffer any loss or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For the reasons that follow, I have concluded that the plaintiffs' nuisance claim must fail and that the action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background facts are straightforward.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2006, the defendant Salt Spring Ventures Incorporated ("SSVI") purchased a parcel of undeveloped property ("Lot 10") on Salt Spring Island. The defendant Eric Booth, who has lived on Salt Spring Island virtually his entire life, is the president and sole director of SSVI. SSVI purchased Lot 10 with the intention of developing it by building a seniors' residence. Park Drive is to the north of Lot 10, and Kanaka Road is to the south. The eastern boundary is Gustaf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As of 2006, there had been a man-made body of water on Lot 10 for about 50 years. This body of water was known locally as "Swanson's Pond." Swanson's Pond was fed by an inlet known locally as "Swanson's Creek."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plaintiff BC Transportation Financing Authority (the "BCTFA") is an agent of the plaintiff Her Majesty the Queen in right of the Province of British Columbia (the "Province"). By virtue of provisions of the </w:t>
      </w:r>
      <w:r>
        <w:rPr>
          <w:rFonts w:ascii="arial" w:eastAsia="arial" w:hAnsi="arial" w:cs="arial"/>
          <w:b/>
          <w:i/>
          <w:color w:val="000000"/>
          <w:sz w:val="20"/>
          <w:lang w:val="en-US" w:eastAsia="en-US" w:bidi="ar-SA"/>
        </w:rPr>
        <w:t>Transportation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2004, c. 44</w:t>
      </w:r>
      <w:r>
        <w:rPr>
          <w:rFonts w:ascii="arial" w:eastAsia="arial" w:hAnsi="arial" w:cs="arial"/>
          <w:color w:val="000000"/>
          <w:sz w:val="20"/>
          <w:lang w:val="en-US" w:eastAsia="en-US" w:bidi="ar-SA"/>
        </w:rPr>
        <w:t xml:space="preserve">, and in its capacity as agent for the Province, the BCTFA holds the rights to Park Drive, Gustaf Road and Kanaka Road. All three roads fall within the definition of a "highway" under the </w:t>
      </w:r>
      <w:r>
        <w:rPr>
          <w:rFonts w:ascii="arial" w:eastAsia="arial" w:hAnsi="arial" w:cs="arial"/>
          <w:b/>
          <w:i/>
          <w:color w:val="000000"/>
          <w:sz w:val="20"/>
          <w:lang w:val="en-US" w:eastAsia="en-US" w:bidi="ar-SA"/>
        </w:rPr>
        <w:t>Transportation Act</w:t>
      </w:r>
      <w:r>
        <w:rPr>
          <w:rFonts w:ascii="arial" w:eastAsia="arial" w:hAnsi="arial" w:cs="arial"/>
          <w:color w:val="000000"/>
          <w:sz w:val="20"/>
          <w:lang w:val="en-US" w:eastAsia="en-US" w:bidi="ar-SA"/>
        </w:rPr>
        <w:t>. There are ditches in the rights of way along Park Drive, Gustaf Road and Kanaka Road. For purposes of this action, the BCTFA, again in its capacity as agent, is also the holder of those rights of way, including the ditches. For purposes of this action, therefore, the Province (as principal) is the owner of the roads and rights of way, including ditches. The Ministry of Transportation and Highways ("Highways") has the responsibility for maintaining the roads, rights of way and ditches.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For many years prior to August 2007, water from the Province's culverts underneath Park Drive discharged into the ditch in the right of way on the south side of Park Drive at the north-west corner of Lot 10, and then onto Lot 10 at the north-west corner of the property. The water ended up in Swanson's Pond, and then drained into the Province's drainage works at the south-east corner of Lot 10, near Kanaka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For the purposes of this action, the parties formally agreed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parties agree that the ditches and drains, being the inlet to Swansons [sic] Pond, and Swansons Pond convey surface water, and were not a natural watercourse, for all purposes related to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Thus, "Swanson's Creek" - the inlet carrying water onto Lot 10 - was therefore not a natural watercourse. Rather, it was carrying surface water, and draining water from the Province's property onto and into Lot 10, rather than into the Province's ditch along Park Drive.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August 2007, Mr. Booth built a sandbag dam (the "Dam") at the north-west corner of Lot 10. The Dam prevented water from the Province's culverts and ditch from coming onto Lot 10. Instead, the water flowed into the Park Drive ditch. The water flowed east, down the Park Drive ditch to ditches along the west and east sides of Gustaf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Around the same time, Mr. Booth installed a residential driveway access to Lot 10. This included installing a culvert in the Park Drive ditch. In carrying out the installation, Mr. Booth followed the instructions on the "Residential Highways Information Sheet" (the "Information Sheet") published on Highways' webpage. There is no dispute that following the instructions in the Information Sheet is all that is required in connection with installation of a residential driveway access. No permit is necessary to carry out the installation.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Under the heading "Drainage," the instructions 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there is an existing ditch, you will need a culvert. . . . We require that you provide a minimum 400-mm (16-inch) diameter corrugated steel pipe (CSP). In coastal areas or areas of high rain runoff, a larger diameter pipe will be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There is also no dispute that Salt Spring Island is in an area where a larger diameter pipe would be required. Mr. Booth used a 600-mm pipe.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the section headed "Construction," the instructions say that:</w:t>
      </w:r>
      <w:r>
        <w:rPr>
          <w:rFonts w:ascii="arial" w:eastAsia="arial" w:hAnsi="arial" w:cs="arial"/>
          <w:sz w:val="20"/>
          <w:lang w:val="en-US" w:eastAsia="en-US" w:bidi="ar-SA"/>
        </w:rPr>
        <w:cr/>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culvert should be placed slightly below the invert or lowest point in the ditch. Consider the implications of ditch maintenance and cleaning by the ministry maintenance contractor.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Following the instructions on the Information Sheet necessarily involves the person doing the installation working in the ditch in the road right of way. The work can involve excavation, especially where necessary to ensure an adequate slope for proper drainage. Thus, such work in and on ditches is done with express (or at the very least implied) permission of the Province and Highways.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As of August 2007, the ditch along the west side of Gustaf Road, adjacent to Lot 10, had never been maintained. In fact, Gustaf Road had been omitted altogether from Highways' maintenance inventory, something that was not discovered by Highways until sometime in 2010 or 2011. The ditch was choked with bushes and brush. Moreover, fair-sized alder trees were growing in and along the banks of the ditch. Mr. Greg Galpin, Highways' area manager for the South Island District (including Salt Spring Island) at the relevant time, referred to these trees as "weeds."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Predictably, once the Dam was constructed, the Park Drive and Gustaf Road ditches carried more water than they had in the past. In an exchange of e-mail with Mr. Booth in October 2007, Mr. Galpin said that "it appears that you have redirected drainage down the highway ditch through the damming of the natural drainage leading to Swanson's Pond. We do not accept this additional flow". Mr. Galpin confirmed during trial that, based on his observations at the time, Mr. Booth had not done any illegal or unauthorized work within the road right of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Once the Dam was in place, Mr. Galpin instructed Highways' maintenance contractor not to do any maintenance on the Park Drive and Gustaf Road ditches that bordered Lot 10, until issues were resolved with Mr. Booth. The engineering firm Stantec Consulting Ltd. ("Stantec"), whose members had expertise in roadway construction projects and water systems design, was on an "as and when" contract with Highways during this time, and could have been consulted for advice and assistance. However, Stantec was not consulted about the water and drainage issues along Park Drive and Gustaf Road until some time in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During particularly rainy periods in the fall and winter of 2007 and 2008, there was some flooding in the neighbourhood. Neighbours living in the vicinity of Lot 10 were upset at Mr. Booth's activities and complained to Highways. At least one neighbour, Mr. Andrew Rokeby-Thomas, blamed Mr. Booth for flooding on Mr. Rokeby-Thomas's property and elsewhere. Mr. Rokeby-Thomas went so far as to destroy the Dam. He also blocked the culvert Mr. Booth had installed in the Park Drive ditch, cementing rocks into place. The police were called.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early December 2007, after exchanging e-mail correspondence with Mr. Galpin about the lack of maintenance on the Gustaf Road ditch, Mr. Booth formally applied for a permit to clean the ditch along Park Drive and to clear and clean the ditch along Gustaf Road, where the ditches bordered Lot 10. In his application, Mr. Booth offered to do all of this work all at his own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Highways' position was eventually communicated in a letter to Mr. Booth dated March 5, 2008. Mr. Booth's application was described as one to "divert water from Lot 10 . . . into our roadside ditches," rather than an application to clear and clean the ditches. Highways advised that the application had been referred to "local government [i.e., the Islands Trust] for their input," and informed Mr. Booth that, if a favourable response was received from local government, then Mr. Booth would be required to provide "a detailed drainage report to address what remedial work will be required to prevent any damage to downstream properties and facilities." Mr. Booth had major concerns about Highways' response, and requested a site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Although in March 2008, maintenance work was done on the ditch along the north side of Park Drive, Highways refused to have any maintenance work done on the ditches along the south side of Park Drive and down Gustaf Road. This was in keeping with the instructions Mr. Galpin had given to Highways' contractor in the fall of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Despite a meeting on the Lot 10 site between Mr. Booth and Highways' representatives (including Mr. Galpin) later in March 2008, nothing was resolved. Highways' position was (and remained) that the water that had been flowing onto Lot 10 and into Swanson's Pond and was now blocked by the Dam was Mr. Booth's to deal with, and that it would not accept responsibility for the "additional water" now in its ditches. Mr. Booth did not pursue his application to clean and clear the Park Drive and Gustaf Road ditches any further.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September 2009, Mr. Booth installed a new residential driveway access to Lot 10. This was done at least in part because of Mr. Rokeby-Thomas's actions in blocking the culvert for the driveway access installed in 2007. Mr. Booth had asked Highways to remove the blockage, but Highways refused.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Again, Mr. Booth followed the instructions in the Information Sheet. Proper installation of the driveway access (including the culvert), in accordance with the instructions in the Information Sheet, required that Mr. Booth carry out some work in the ditches along Park Drive and Gustaf Road, including excavation to ensure a proper slope.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Before starting the work, Mr. Booth took the extra step of sending an e-mail to a Highways' district manager, Mr. Thomas Hubner, with a description and design sketch of what he proposed to do. Mr. Booth's message to Mr. Hubner reads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I know MoTI policy is not to have standing water in the ditches, and the minimum slope of ditches should be 1% to allow for proper drainage, is there any problem with us feathering out the ditchline on the outlet side of the culvert at a 1% slope, until it meets with the existing ditchline?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Booth's design sketch noted: "Feathering ends where proposed ditchline at 1% slope meets with existing ditchline."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Hubner's response was that "the design as you have described it should be just fine."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plaintiffs read into evidence as part of their case Mr. Booth's discovery evidence concerning his communications with Mr. Hubner and his reasons for contacting Mr. Hubner (who was not a district manager in the Salt Spring area), rather than one of Highways' staff for the Salt Spring area. Mr. Booth's discovery evidence was consistent with his evidence at trial. Mr. Booth explained that he wanted to get an objective answer about his plans, and he felt he would not likely receive one from Highways' staff in the Salt Spring area. I think that, given the history of his dealings since August 2007 with Highways' staff in the Salt Spring area, Mr. Booth's concerns about staff not being objective about his plans were quite justified.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Booth's activities in September 2009 again upset Mr. Rokeby-Thomas, who called police to complain.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Based on the evidence at trial, I find that Mr. Booth constructed both the first and the second driveway access in accordance with the directions contained in the Information Sheet, and that, in addition, the second driveway access was constructed in accordance with the description and design sketch he provided to Mr. Hubner. I find further that, in September 2009, Mr. Booth (and his contractor) were legally entitled to do the work and excavation done in the ditches bordering Lot 10 along the south side of Park Drive and the west side of Gustaf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Shortly after this work was done by Mr. Booth, and probably around late September or early October 2009, Mr. Bob Webb, an operations manager with Highways who had taken over dealing with issues concerning Lot 10 from Mr. Galpin, paid a visit to the area. Mr. Webb asked another employee, Mr. Larry Griffith, whose job it was to assess whether trees were "dangerous", to go out and assess the trees along Gustaf Road. Mr. Griffith walked through the area several times and tagged and taped thirty-four alder trees as "dangerous." However, Mr. Griffith made no notes and did not complete any documentation. He agreed on cross-examination that he did not do a final assessment of the trees, which would have involved a substantive evaluation and completion of a "danger tree assessment field data" worksheet. When shown photographs taken in 2008, Mr. Griffith also agreed that trees along and in the ditch ought to have been removed, as part of proper ditch maintenance.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Province claims the costs (about $5,800) of dealing with the 34 trees identified by Mr. Griffith, as part of its damage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By October 2009, Highways had been provided with a report from Stantec, who had been asked by Highways "to review the existing drainage system upstream and immediately downstream of an empty lot [Lot 10] . . . and to provide recommendations to address flooding concerns after the empty lot is developed." In the report, Stantec makes this observation: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important to mention that several ditches were overgrown by dense vegetation, which decreases their conveyance/storage capacity. All ditches and culverts should be cleared of dense weeds and plants and maintained regularly to prevent blockage and to ensure adequate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With respect to the ditches on either side of Gustaf Road, Stantec observed that these two ditches provided an outlet for the entire upstream drainage area, and as such, "it is imperative that they are maintained cleared of all overgrown vegetation." Stantec made recommendations to ensure the existing drainage system was approximately equivalent to a 2-year design storm level of service, a minimum level of service. One of the recommendations was to "clear all existing ditches and culverts of debris and vegetation regularly to ensure positive drainage and adequate capacity." Stantec also provided recommendations for drainage system improvements for 5-year and 10-year levels of service. These recommendations included upgrading and re-configuring some of the ditches. Proper ditch maintenance was a component of all of Stantec's recommendations.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According to Mr. Webb, Highways implemented Stantec's recommendations for a 10-year level of service, by having its maintenance contractor carry out upgrades. The Province claims the costs of these upgrades (about $32,000 including tax) as part of its damage claim. However, the invoice from the contractor is lacking in details. The description of the work is simply "Swanson's Pond." Mr. Webb's evidence was likewise lacking in details. The links between the defendants' activities in connection with Lot 10 and whatever work was done by Highways' maintenance contractor were weak at best.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turn then to discuss the parties' arguments, the applicable legal principles and my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plaintiffs say that the construction of the Dam was an unreasonable use of Lot 10, and constituted a nuisance. Although, in addition to the nuisance claim, the plaintiffs originally advanced causes of action in trespass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those claims were formally abandoned during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plaintiffs claim that the construction of the Dam caused them to suffer damages, in particular: the expenses to deal with the 34 alder trees, the expenses associated with Stantec's report and the expenses of implementing Stantec's recommendations. In addition, the plaintiffs seek a mandatory injunction requiring the defendants to remove the Dam.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defendants say that the construction of the Dam was a reasonable use of Lot 10 and, in any event, did not cause any physical injury to or substantial interference with the plaintiffs' lands that might be construed as being unreasonable. The defendants argue further that their actions have not caused the plaintiffs to suffer any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defendants say that, since (based on the parties' formal agreement as to the facts) the inlet to Lot 10 from the Province's land was not a natural watercourse, they had every right to block water from the Province's land from coming onto Lot 10. They rely in particular on </w:t>
      </w:r>
      <w:r>
        <w:rPr>
          <w:rFonts w:ascii="arial" w:eastAsia="arial" w:hAnsi="arial" w:cs="arial"/>
          <w:b/>
          <w:i/>
          <w:color w:val="000000"/>
          <w:sz w:val="20"/>
          <w:lang w:val="en-US" w:eastAsia="en-US" w:bidi="ar-SA"/>
        </w:rPr>
        <w:t>Caplin v. Gill</w:t>
      </w:r>
      <w:r>
        <w:rPr>
          <w:rFonts w:ascii="arial" w:eastAsia="arial" w:hAnsi="arial" w:cs="arial"/>
          <w:color w:val="000000"/>
          <w:sz w:val="20"/>
          <w:lang w:val="en-US" w:eastAsia="en-US" w:bidi="ar-SA"/>
        </w:rPr>
        <w:t xml:space="preserve"> </w:t>
      </w:r>
      <w:hyperlink r:id="rId439" w:history="1">
        <w:r>
          <w:rPr>
            <w:rFonts w:ascii="arial" w:eastAsia="arial" w:hAnsi="arial" w:cs="arial"/>
            <w:i/>
            <w:color w:val="0077CC"/>
            <w:sz w:val="20"/>
            <w:u w:val="single"/>
            <w:shd w:val="clear" w:color="auto" w:fill="FFFFFF"/>
            <w:lang w:val="en-US" w:eastAsia="en-US" w:bidi="ar-SA"/>
          </w:rPr>
          <w:t>(1977), 84 D.L.R. (3d) 765</w:t>
        </w:r>
      </w:hyperlink>
      <w:r>
        <w:rPr>
          <w:rFonts w:ascii="arial" w:eastAsia="arial" w:hAnsi="arial" w:cs="arial"/>
          <w:color w:val="000000"/>
          <w:sz w:val="20"/>
          <w:lang w:val="en-US" w:eastAsia="en-US" w:bidi="ar-SA"/>
        </w:rPr>
        <w:t xml:space="preserve"> (B.C.S.C.), 1977 CanLII 253, where Berger J. said at p. 766: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British Columbia, in such a case, there is no cause of action. Until surface water reaches a watercourse the lower of two proprietors owes no servitude to the upper to receive the water naturally draining off the latter's land. He is at liberty to protect his own land, and is not liable for the damage which the other suffers from the exercise of such right: </w:t>
      </w:r>
      <w:r>
        <w:rPr>
          <w:rFonts w:ascii="arial" w:eastAsia="arial" w:hAnsi="arial" w:cs="arial"/>
          <w:i/>
          <w:color w:val="000000"/>
          <w:sz w:val="20"/>
          <w:lang w:val="en-US" w:eastAsia="en-US" w:bidi="ar-SA"/>
        </w:rPr>
        <w:t>Graham v. Lister</w:t>
      </w:r>
      <w:r>
        <w:rPr>
          <w:rFonts w:ascii="arial" w:eastAsia="arial" w:hAnsi="arial" w:cs="arial"/>
          <w:color w:val="000000"/>
          <w:sz w:val="20"/>
          <w:lang w:val="en-US" w:eastAsia="en-US" w:bidi="ar-SA"/>
        </w:rPr>
        <w:t xml:space="preserve"> </w:t>
      </w:r>
      <w:hyperlink r:id="rId440" w:history="1">
        <w:r>
          <w:rPr>
            <w:rFonts w:ascii="arial" w:eastAsia="arial" w:hAnsi="arial" w:cs="arial"/>
            <w:i/>
            <w:color w:val="0077CC"/>
            <w:sz w:val="20"/>
            <w:u w:val="single"/>
            <w:shd w:val="clear" w:color="auto" w:fill="FFFFFF"/>
            <w:lang w:val="en-US" w:eastAsia="en-US" w:bidi="ar-SA"/>
          </w:rPr>
          <w:t>(1908), 14 B.C.R. 211</w:t>
        </w:r>
      </w:hyperlink>
      <w:r>
        <w:rPr>
          <w:rFonts w:ascii="arial" w:eastAsia="arial" w:hAnsi="arial" w:cs="arial"/>
          <w:color w:val="000000"/>
          <w:sz w:val="20"/>
          <w:lang w:val="en-US" w:eastAsia="en-US" w:bidi="ar-SA"/>
        </w:rPr>
        <w:t xml:space="preserve"> (Full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water in the case at bar had been running in a natural channel, the defendants would have had no right to divert it. But this is surface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basic principles applicable to a nuisance claim are well-settled.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At common law, nuisance is a field of liability that focuses on the harm suffered rather than on prohibited conduct: see </w:t>
      </w:r>
      <w:r>
        <w:rPr>
          <w:rFonts w:ascii="arial" w:eastAsia="arial" w:hAnsi="arial" w:cs="arial"/>
          <w:b/>
          <w:i/>
          <w:color w:val="000000"/>
          <w:sz w:val="20"/>
          <w:lang w:val="en-US" w:eastAsia="en-US" w:bidi="ar-SA"/>
        </w:rPr>
        <w:t>St. Lawrence Cement Inc. v. Barrette</w:t>
      </w:r>
      <w:r>
        <w:rPr>
          <w:rFonts w:ascii="arial" w:eastAsia="arial" w:hAnsi="arial" w:cs="arial"/>
          <w:color w:val="000000"/>
          <w:sz w:val="20"/>
          <w:lang w:val="en-US" w:eastAsia="en-US" w:bidi="ar-SA"/>
        </w:rPr>
        <w:t xml:space="preserve">, </w:t>
      </w:r>
      <w:hyperlink r:id="rId441" w:history="1">
        <w:r>
          <w:rPr>
            <w:rFonts w:ascii="arial" w:eastAsia="arial" w:hAnsi="arial" w:cs="arial"/>
            <w:i/>
            <w:color w:val="0077CC"/>
            <w:sz w:val="20"/>
            <w:u w:val="single"/>
            <w:shd w:val="clear" w:color="auto" w:fill="FFFFFF"/>
            <w:lang w:val="en-US" w:eastAsia="en-US" w:bidi="ar-SA"/>
          </w:rPr>
          <w:t>2008 SCC 64</w:t>
        </w:r>
      </w:hyperlink>
      <w:r>
        <w:rPr>
          <w:rFonts w:ascii="arial" w:eastAsia="arial" w:hAnsi="arial" w:cs="arial"/>
          <w:color w:val="000000"/>
          <w:sz w:val="20"/>
          <w:lang w:val="en-US" w:eastAsia="en-US" w:bidi="ar-SA"/>
        </w:rPr>
        <w:t xml:space="preserve">, </w:t>
      </w:r>
      <w:hyperlink r:id="rId441" w:history="1">
        <w:r>
          <w:rPr>
            <w:rFonts w:ascii="arial" w:eastAsia="arial" w:hAnsi="arial" w:cs="arial"/>
            <w:i/>
            <w:color w:val="0077CC"/>
            <w:sz w:val="20"/>
            <w:u w:val="single"/>
            <w:shd w:val="clear" w:color="auto" w:fill="FFFFFF"/>
            <w:lang w:val="en-US" w:eastAsia="en-US" w:bidi="ar-SA"/>
          </w:rPr>
          <w:t>[2008] 3 S.C.R. 392</w:t>
        </w:r>
      </w:hyperlink>
      <w:r>
        <w:rPr>
          <w:rFonts w:ascii="arial" w:eastAsia="arial" w:hAnsi="arial" w:cs="arial"/>
          <w:color w:val="000000"/>
          <w:sz w:val="20"/>
          <w:lang w:val="en-US" w:eastAsia="en-US" w:bidi="ar-SA"/>
        </w:rPr>
        <w:t xml:space="preserve">, at para. 77. In </w:t>
      </w:r>
      <w:r>
        <w:rPr>
          <w:rFonts w:ascii="arial" w:eastAsia="arial" w:hAnsi="arial" w:cs="arial"/>
          <w:b/>
          <w:i/>
          <w:color w:val="000000"/>
          <w:sz w:val="20"/>
          <w:lang w:val="en-US" w:eastAsia="en-US" w:bidi="ar-SA"/>
        </w:rPr>
        <w:t>St. Pierre v. Ontario (Minister of Transportation and Communications)</w:t>
      </w:r>
      <w:r>
        <w:rPr>
          <w:rFonts w:ascii="arial" w:eastAsia="arial" w:hAnsi="arial" w:cs="arial"/>
          <w:color w:val="000000"/>
          <w:sz w:val="20"/>
          <w:lang w:val="en-US" w:eastAsia="en-US" w:bidi="ar-SA"/>
        </w:rPr>
        <w:t xml:space="preserve">, </w:t>
      </w:r>
      <w:hyperlink r:id="rId442" w:history="1">
        <w:r>
          <w:rPr>
            <w:rFonts w:ascii="arial" w:eastAsia="arial" w:hAnsi="arial" w:cs="arial"/>
            <w:i/>
            <w:color w:val="0077CC"/>
            <w:sz w:val="20"/>
            <w:u w:val="single"/>
            <w:shd w:val="clear" w:color="auto" w:fill="FFFFFF"/>
            <w:lang w:val="en-US" w:eastAsia="en-US" w:bidi="ar-SA"/>
          </w:rPr>
          <w:t>[1987] 1 S.C.R. 906</w:t>
        </w:r>
      </w:hyperlink>
      <w:r>
        <w:rPr>
          <w:rFonts w:ascii="arial" w:eastAsia="arial" w:hAnsi="arial" w:cs="arial"/>
          <w:color w:val="000000"/>
          <w:sz w:val="20"/>
          <w:lang w:val="en-US" w:eastAsia="en-US" w:bidi="ar-SA"/>
        </w:rPr>
        <w:t xml:space="preserve">, at pp. 914-915, the Court referred with approval to the following definition of the tort of nuisance from Street, </w:t>
      </w:r>
      <w:r>
        <w:rPr>
          <w:rFonts w:ascii="arial" w:eastAsia="arial" w:hAnsi="arial" w:cs="arial"/>
          <w:b/>
          <w:i/>
          <w:color w:val="000000"/>
          <w:sz w:val="20"/>
          <w:lang w:val="en-US" w:eastAsia="en-US" w:bidi="ar-SA"/>
        </w:rPr>
        <w:t>The Law of Torts</w:t>
      </w:r>
      <w:r>
        <w:rPr>
          <w:rFonts w:ascii="arial" w:eastAsia="arial" w:hAnsi="arial" w:cs="arial"/>
          <w:color w:val="000000"/>
          <w:sz w:val="20"/>
          <w:lang w:val="en-US" w:eastAsia="en-US" w:bidi="ar-SA"/>
        </w:rPr>
        <w:t xml:space="preserve"> (6th ed., 1976) at p. 219: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person, then, may be said to have committed the tort of private nuisance when he is held to be responsible for an act indirectly causing physical injury to land or substantially interfering with the use or enjoyment of land or of an interest in land, where, in the light of all the surrounding circumstances, this injury or interference is held to be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also </w:t>
      </w:r>
      <w:r>
        <w:rPr>
          <w:rFonts w:ascii="arial" w:eastAsia="arial" w:hAnsi="arial" w:cs="arial"/>
          <w:b/>
          <w:i/>
          <w:color w:val="000000"/>
          <w:sz w:val="20"/>
          <w:lang w:val="en-US" w:eastAsia="en-US" w:bidi="ar-SA"/>
        </w:rPr>
        <w:t>Royal Anne Hotel Co. Ltd. v. Village of Ashcroft</w:t>
      </w:r>
      <w:r>
        <w:rPr>
          <w:rFonts w:ascii="arial" w:eastAsia="arial" w:hAnsi="arial" w:cs="arial"/>
          <w:color w:val="000000"/>
          <w:sz w:val="20"/>
          <w:lang w:val="en-US" w:eastAsia="en-US" w:bidi="ar-SA"/>
        </w:rPr>
        <w:t xml:space="preserve"> </w:t>
      </w:r>
      <w:hyperlink r:id="rId443" w:history="1">
        <w:r>
          <w:rPr>
            <w:rFonts w:ascii="arial" w:eastAsia="arial" w:hAnsi="arial" w:cs="arial"/>
            <w:i/>
            <w:color w:val="0077CC"/>
            <w:sz w:val="20"/>
            <w:u w:val="single"/>
            <w:shd w:val="clear" w:color="auto" w:fill="FFFFFF"/>
            <w:lang w:val="en-US" w:eastAsia="en-US" w:bidi="ar-SA"/>
          </w:rPr>
          <w:t>(1979), 95 D.L.R. (3d) 756</w:t>
        </w:r>
      </w:hyperlink>
      <w:r>
        <w:rPr>
          <w:rFonts w:ascii="arial" w:eastAsia="arial" w:hAnsi="arial" w:cs="arial"/>
          <w:color w:val="000000"/>
          <w:sz w:val="20"/>
          <w:lang w:val="en-US" w:eastAsia="en-US" w:bidi="ar-SA"/>
        </w:rPr>
        <w:t xml:space="preserve"> (B.C.C.A.), at p. 760.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In another leading case, </w:t>
      </w:r>
      <w:r>
        <w:rPr>
          <w:rFonts w:ascii="arial" w:eastAsia="arial" w:hAnsi="arial" w:cs="arial"/>
          <w:b/>
          <w:i/>
          <w:color w:val="000000"/>
          <w:sz w:val="20"/>
          <w:lang w:val="en-US" w:eastAsia="en-US" w:bidi="ar-SA"/>
        </w:rPr>
        <w:t>Tock v. St. John's Metropolitan Area Board</w:t>
      </w:r>
      <w:r>
        <w:rPr>
          <w:rFonts w:ascii="arial" w:eastAsia="arial" w:hAnsi="arial" w:cs="arial"/>
          <w:color w:val="000000"/>
          <w:sz w:val="20"/>
          <w:lang w:val="en-US" w:eastAsia="en-US" w:bidi="ar-SA"/>
        </w:rPr>
        <w:t xml:space="preserve">, </w:t>
      </w:r>
      <w:hyperlink r:id="rId444" w:history="1">
        <w:r>
          <w:rPr>
            <w:rFonts w:ascii="arial" w:eastAsia="arial" w:hAnsi="arial" w:cs="arial"/>
            <w:i/>
            <w:color w:val="0077CC"/>
            <w:sz w:val="20"/>
            <w:u w:val="single"/>
            <w:shd w:val="clear" w:color="auto" w:fill="FFFFFF"/>
            <w:lang w:val="en-US" w:eastAsia="en-US" w:bidi="ar-SA"/>
          </w:rPr>
          <w:t>[1989] 2 S.C.R. 1181</w:t>
        </w:r>
      </w:hyperlink>
      <w:r>
        <w:rPr>
          <w:rFonts w:ascii="arial" w:eastAsia="arial" w:hAnsi="arial" w:cs="arial"/>
          <w:color w:val="000000"/>
          <w:sz w:val="20"/>
          <w:lang w:val="en-US" w:eastAsia="en-US" w:bidi="ar-SA"/>
        </w:rPr>
        <w:t>, Mr. Justice La Forest wrote, at pp. 1190-1192: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Generically, as </w:t>
      </w:r>
      <w:r>
        <w:rPr>
          <w:rFonts w:ascii="arial" w:eastAsia="arial" w:hAnsi="arial" w:cs="arial"/>
          <w:i/>
          <w:color w:val="000000"/>
          <w:sz w:val="20"/>
          <w:lang w:val="en-US" w:eastAsia="en-US" w:bidi="ar-SA"/>
        </w:rPr>
        <w:t>Salmond on the Law of Torts</w:t>
      </w:r>
      <w:r>
        <w:rPr>
          <w:rFonts w:ascii="arial" w:eastAsia="arial" w:hAnsi="arial" w:cs="arial"/>
          <w:color w:val="000000"/>
          <w:sz w:val="20"/>
          <w:lang w:val="en-US" w:eastAsia="en-US" w:bidi="ar-SA"/>
        </w:rPr>
        <w:t>, 17th ed. by R. F. V. Heuston, at p. 50, notes, "nuisances are caused by an act or omission, whereby a person is unlawfully annoyed, prejudiced or disturbed in the enjoyment of land". .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assessment whether a given interference should be characterized as a nuisance turns on the question, simple to state but difficult to resolve, whether in the circumstances it is reasonable to deny compensation to the aggrieved party. . . . In effect, the law would only intervene to shield persons from interferences to their enjoyment of property that were unreasonable in the light of all the circumstances.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In the presence of actual physical damage to property, the courts have been quick to conclude that the interference does indeed constitute a substantial and unreasonable interference with the enjoyment of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onus of proof that the defendant caused an unreasonable interference with the use and enjoyment of the plaintiff's land rests on the plaintiff, but once that is shown, the onus is on the defendant to establish that the use of the land is reasonable: see Linden and Feldthusen, </w:t>
      </w:r>
      <w:r>
        <w:rPr>
          <w:rFonts w:ascii="arial" w:eastAsia="arial" w:hAnsi="arial" w:cs="arial"/>
          <w:b/>
          <w:i/>
          <w:color w:val="000000"/>
          <w:sz w:val="20"/>
          <w:lang w:val="en-US" w:eastAsia="en-US" w:bidi="ar-SA"/>
        </w:rPr>
        <w:t>Canadian Tort Law</w:t>
      </w:r>
      <w:r>
        <w:rPr>
          <w:rFonts w:ascii="arial" w:eastAsia="arial" w:hAnsi="arial" w:cs="arial"/>
          <w:color w:val="000000"/>
          <w:sz w:val="20"/>
          <w:lang w:val="en-US" w:eastAsia="en-US" w:bidi="ar-SA"/>
        </w:rPr>
        <w:t xml:space="preserve"> (8th ed., 2006), at p. 569.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plaintiffs argue that Mr. Booth did not contact Highways before construction of the Dam and say that the only reason that Mr. Booth installed a 600-mm culvert in connection with the installation of the driveway access in 2007 was to handle the increased flow of water that resulted from the Dam. However, since the inlet carrying the water onto Lot 10 was not a natural watercourse, Mr. Booth had no legal obligation to contact Highways before constructing the Dam, and the installation of a 600-mm culvert was entirely consistent with the instructions in the Instruction Sheet. In any event, these points do not assist the plaintiffs in making out a claim in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plaintiffs argue that the principle stated in </w:t>
      </w:r>
      <w:r>
        <w:rPr>
          <w:rFonts w:ascii="arial" w:eastAsia="arial" w:hAnsi="arial" w:cs="arial"/>
          <w:b/>
          <w:i/>
          <w:color w:val="000000"/>
          <w:sz w:val="20"/>
          <w:lang w:val="en-US" w:eastAsia="en-US" w:bidi="ar-SA"/>
        </w:rPr>
        <w:t>Caplin</w:t>
      </w:r>
      <w:r>
        <w:rPr>
          <w:rFonts w:ascii="arial" w:eastAsia="arial" w:hAnsi="arial" w:cs="arial"/>
          <w:color w:val="000000"/>
          <w:sz w:val="20"/>
          <w:lang w:val="en-US" w:eastAsia="en-US" w:bidi="ar-SA"/>
        </w:rPr>
        <w:t xml:space="preserve"> is limited to repelling water, whereas what the defendants did was to </w:t>
      </w:r>
      <w:r>
        <w:rPr>
          <w:rFonts w:ascii="arial" w:eastAsia="arial" w:hAnsi="arial" w:cs="arial"/>
          <w:color w:val="000000"/>
          <w:sz w:val="20"/>
          <w:u w:val="single"/>
          <w:lang w:val="en-US" w:eastAsia="en-US" w:bidi="ar-SA"/>
        </w:rPr>
        <w:t>redirect</w:t>
      </w:r>
      <w:r>
        <w:rPr>
          <w:rFonts w:ascii="arial" w:eastAsia="arial" w:hAnsi="arial" w:cs="arial"/>
          <w:color w:val="000000"/>
          <w:sz w:val="20"/>
          <w:lang w:val="en-US" w:eastAsia="en-US" w:bidi="ar-SA"/>
        </w:rPr>
        <w:t xml:space="preserve"> water into the Park Drive ditch, rather than repel water from Lot 10. The plaintiffs say that the work Mr. Booth did in the ditches after construction of the Dam were all done with a view to facilitate the </w:t>
      </w:r>
      <w:r>
        <w:rPr>
          <w:rFonts w:ascii="arial" w:eastAsia="arial" w:hAnsi="arial" w:cs="arial"/>
          <w:color w:val="000000"/>
          <w:sz w:val="20"/>
          <w:u w:val="single"/>
          <w:lang w:val="en-US" w:eastAsia="en-US" w:bidi="ar-SA"/>
        </w:rPr>
        <w:t>additional</w:t>
      </w:r>
      <w:r>
        <w:rPr>
          <w:rFonts w:ascii="arial" w:eastAsia="arial" w:hAnsi="arial" w:cs="arial"/>
          <w:color w:val="000000"/>
          <w:sz w:val="20"/>
          <w:lang w:val="en-US" w:eastAsia="en-US" w:bidi="ar-SA"/>
        </w:rPr>
        <w:t xml:space="preserve"> flow of water in the ditches. The plaintiffs argue that the right of a defendant to block surface water from coming onto his land is not absolute or unqualified, citing </w:t>
      </w:r>
      <w:r>
        <w:rPr>
          <w:rFonts w:ascii="arial" w:eastAsia="arial" w:hAnsi="arial" w:cs="arial"/>
          <w:b/>
          <w:i/>
          <w:color w:val="000000"/>
          <w:sz w:val="20"/>
          <w:lang w:val="en-US" w:eastAsia="en-US" w:bidi="ar-SA"/>
        </w:rPr>
        <w:t>Di Gregorio v. Osborne</w:t>
      </w:r>
      <w:r>
        <w:rPr>
          <w:rFonts w:ascii="arial" w:eastAsia="arial" w:hAnsi="arial" w:cs="arial"/>
          <w:color w:val="000000"/>
          <w:sz w:val="20"/>
          <w:lang w:val="en-US" w:eastAsia="en-US" w:bidi="ar-SA"/>
        </w:rPr>
        <w:t xml:space="preserve">, </w:t>
      </w:r>
      <w:hyperlink r:id="rId445" w:history="1">
        <w:r>
          <w:rPr>
            <w:rFonts w:ascii="arial" w:eastAsia="arial" w:hAnsi="arial" w:cs="arial"/>
            <w:i/>
            <w:color w:val="0077CC"/>
            <w:sz w:val="20"/>
            <w:u w:val="single"/>
            <w:shd w:val="clear" w:color="auto" w:fill="FFFFFF"/>
            <w:lang w:val="en-US" w:eastAsia="en-US" w:bidi="ar-SA"/>
          </w:rPr>
          <w:t>[2004] O.J. No. 2156</w:t>
        </w:r>
      </w:hyperlink>
      <w:r>
        <w:rPr>
          <w:rFonts w:ascii="arial" w:eastAsia="arial" w:hAnsi="arial" w:cs="arial"/>
          <w:color w:val="000000"/>
          <w:sz w:val="20"/>
          <w:lang w:val="en-US" w:eastAsia="en-US" w:bidi="ar-SA"/>
        </w:rPr>
        <w:t xml:space="preserve"> (S.C.J.), </w:t>
      </w:r>
      <w:hyperlink r:id="rId445" w:history="1">
        <w:r>
          <w:rPr>
            <w:rFonts w:ascii="arial" w:eastAsia="arial" w:hAnsi="arial" w:cs="arial"/>
            <w:i/>
            <w:color w:val="0077CC"/>
            <w:sz w:val="20"/>
            <w:u w:val="single"/>
            <w:shd w:val="clear" w:color="auto" w:fill="FFFFFF"/>
            <w:lang w:val="en-US" w:eastAsia="en-US" w:bidi="ar-SA"/>
          </w:rPr>
          <w:t>20 R.P.R. (4th) 181</w:t>
        </w:r>
      </w:hyperlink>
      <w:r>
        <w:rPr>
          <w:rFonts w:ascii="arial" w:eastAsia="arial" w:hAnsi="arial" w:cs="arial"/>
          <w:color w:val="000000"/>
          <w:sz w:val="20"/>
          <w:lang w:val="en-US" w:eastAsia="en-US" w:bidi="ar-SA"/>
        </w:rPr>
        <w:t>, at paras. 43-45, in support. The plaintiffs say that, accordingly, and in the light of all of the circumstances, the defendants have interfered with the plaintiffs' land in a manner that is unreasonable and that has caused them damage and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do not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In my opinion, the plaintiffs had no legal right to discharge surface water from the Province's lands onto Lot 10, and (in accordance with the principle stated in </w:t>
      </w:r>
      <w:r>
        <w:rPr>
          <w:rFonts w:ascii="arial" w:eastAsia="arial" w:hAnsi="arial" w:cs="arial"/>
          <w:b/>
          <w:i/>
          <w:color w:val="000000"/>
          <w:sz w:val="20"/>
          <w:lang w:val="en-US" w:eastAsia="en-US" w:bidi="ar-SA"/>
        </w:rPr>
        <w:t>Caplin</w:t>
      </w:r>
      <w:r>
        <w:rPr>
          <w:rFonts w:ascii="arial" w:eastAsia="arial" w:hAnsi="arial" w:cs="arial"/>
          <w:color w:val="000000"/>
          <w:sz w:val="20"/>
          <w:lang w:val="en-US" w:eastAsia="en-US" w:bidi="ar-SA"/>
        </w:rPr>
        <w:t>), the defendants had no legal obligation to accept it. The problem - the "additional water" now in the Province's ditches and about which the plaintiffs complain - comes from the Province's own land. Highways may well have found it inconvenient to have to deal with the additional water, especially given the lack of maintenance on the ditches along Park Drive and Gustaf Road, and inconvenient and stressful to have to deal with complaints from neighbours in the area. But I do not think the plaintiffs can put the burden of dealing with water from the Province's own land on the defendants. It is unreasonable for the plaintiffs to attempt to do so. The plaintiffs have the responsibility for dealing with the water on their own land. In the circumstances, the defendants did not act unreasonably in constructing the Dam to prevent surface water from the Province's land coming onto Lot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my view, the plaintiffs have also failed to show that the construction of the Dam caused physical injury to land or substantially interfered with the plaintiffs' use or enjoyment of land. Apart from the evidence concerning some damage to some trees - the "weeds" as Mr. Galpin described them - there was really no evidence to support the conclusion that the construction of the Dam interfered with the plaintiffs' use or enjoyment of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Highways' ditches were there to carry water. The ditches needed to be maintained in order to do their job. In case it was not obvious, this basic fact was confirmed by the report Highways received from Stantec in October 2009. The ditch along Gustaf Road had never been maintained. Since Mr. Griffith never did a final assessment of the 34 trees he had tagged, I have real doubt about how many of them would in fact qualify as "dangerous" trees. In any event, proper maintenance would require removal of alder trees growing in and along the ditch. In my view, the "damage" (such as it was) to the trees in this case is not the type of physical injury that should be compensable in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With respect to the expenses claimed as damages, I agree with the defendants' submission that the plaintiffs have failed to prove the defendants' actions caused the plaintiffs to suffer any loss or damage. The expenses claimed in connection with the preparation of the Stantec report and whatever subsequent work was done to implement Stantec's recommendations were a function of the plaintiffs being required to deal with water on the Province's land. No final assessment was done of whether the 34 trees Mr. Griffith had marked needed to be removed as "danger trees." They were simply removed or topped. To the extent that the increased flow of water in the Gustaf Road ditch meant that weed trees needed to be removed, removal of such trees was going to have to be done - and should have been done - as part of proper ditch maintenance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conclude, therefore, that the plaintiffs have failed to show that the defendants' actions, in all the circumstances, either caused physical injury to the plaintiffs' land or substantially and unreasonably interfered with the plaintiffs' use or enjoyment of their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Finally, I wish to address a practice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When this action was filed in July 2010, Her Majesty the Queen in right of the Province of British Columbia was the only plaintiff named. An order was made in September 2010 adding the BCTFA as a plaintiff and amending the style of cause. However, no corresponding amendments were made to the notice of civil claim. As a result, we began the trial with a named plaintiff (the BCTFA) who had not pleaded any cause of action. This meant that, in addition to all of the many urgent items that demand attention during a trial, plaintiffs' counsel had to deal with amending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think it is safe to say that the addition of a party to an action will always - or almost always - require pleadings to be amended at the same time. Moreover, the amendment will probably involve something more than simply lumping everyone together as "the plaintiffs" or "the defendants." At the very least, the pleader needs to turn his or her mind to these points.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Pleadings are the foundation on which the case rests. A plaintiff who has not pleaded a cause of action has no claim to be adjudicated. It is not a good way to start a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summary, the action is dismissed. Unless there are relevant matters about which I am unaware, costs will follow the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E.J. ADAIR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0" style="position:absolute;z-index:2517770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52" w:history="1">
        <w:r>
          <w:rPr>
            <w:rFonts w:ascii="arial" w:eastAsia="arial" w:hAnsi="arial" w:cs="arial"/>
            <w:b/>
            <w:bCs/>
            <w:i/>
            <w:color w:val="0077CC"/>
            <w:kern w:val="32"/>
            <w:sz w:val="28"/>
            <w:szCs w:val="32"/>
            <w:u w:val="single"/>
            <w:shd w:val="clear" w:color="auto" w:fill="FFFFFF"/>
            <w:lang w:val="en-US" w:eastAsia="en-US" w:bidi="ar-SA"/>
          </w:rPr>
          <w:t>Carter v. B.C. Federation of Foster Parents Assn., [2004] B.C.J. No. 192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Prince George,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Taylor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7 and 8, and August 29,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2,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Prince George Registry No. 15267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192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137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7 W.W.R. 319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27 B.C.L.R. (4th) 123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21 C.C.L.T. (3d) 307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128 A.C.W.S. (3d) 1034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Liza Carter, plaintiff, and B.C. Federation of Foster Parents Association, Kim Dupont, Penny Seguin, Bill Reid, Pauline Reid, Heather Murphy, Stephen Hakes, Glenn LaFrance, Audrey Anger, Kay Dahl, John Humphrey, Karen Humphrey, Blue Frogg Enterprises Inc., John Doe, Jane Doe, Robert Doe, Richard Doe and Mary Doe,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(114 paras.)</w:t>
      </w:r>
    </w:p>
    <w:p>
      <w:pPr>
        <w:jc w:val="both"/>
        <w:rPr>
          <w:rFonts w:ascii="arial" w:eastAsia="arial" w:hAnsi="arial" w:cs="arial"/>
          <w:sz w:val="20"/>
          <w:lang w:val="en-US" w:eastAsia="en-US" w:bidi="ar-SA"/>
        </w:rPr>
      </w:pPr>
      <w:bookmarkStart w:id="87" w:name="Counsel_16"/>
      <w:bookmarkEnd w:id="8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1" style="position:absolute;z-index:2516756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C.G. Fletcher and M. Katerburg, for plaintiff. D.T. McKnight, for defendant, B.C. Federation of Foster Parents Association. E. Chesterly, for defendants, Kim Dupont, Bill Reid, Pauline Reid, Audrey Anger, Kay Dahl.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8" w:name="Judgment_16"/>
      <w:bookmarkEnd w:id="88"/>
      <w:r>
        <w:pict>
          <v:line id="_x0000_s1082" style="position:absolute;z-index:25172684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9" w:name="TAYLOR J."/>
            <w:bookmarkEnd w:id="89"/>
            <w:r>
              <w:rPr>
                <w:rFonts w:ascii="arial" w:eastAsia="arial" w:hAnsi="arial" w:cs="arial"/>
                <w:b/>
                <w:color w:val="000000"/>
                <w:sz w:val="30"/>
                <w:lang w:val="en-US" w:eastAsia="en-US" w:bidi="ar-SA"/>
              </w:rPr>
              <w:t>TAYLOR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These are applications brought by both the plaintiff and the defendant B.C. Federation of Foster Parents Association (the "Federation") in an action for defamation begun by the plaintiff against the Federation and other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Federation applies pursuant to Rule 18A for an order that the plaintiff's claims be dismissed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applies for an order for a declaration that:</w:t>
      </w:r>
      <w:r>
        <w:rPr>
          <w:rFonts w:ascii="arial" w:eastAsia="arial" w:hAnsi="arial" w:cs="arial"/>
          <w:sz w:val="20"/>
          <w:lang w:val="en-US" w:eastAsia="en-US" w:bidi="ar-SA"/>
        </w:rPr>
        <w:cr/>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Federation republished statements made in the "Bopeeps Forum" by sending the defendant Dupont's correspondence to other persons by means of the Federation Forum and by means of the Federation's Newsletter. This will be referred to as "Bopeep's comments."</w:t>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Federation published words defamatory to the plaintiff in that it published the following words on the Federation Forum:</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Yet another scandal with a government-funded association.</w:t>
      </w:r>
    </w:p>
    <w:p>
      <w:pPr>
        <w:numPr>
          <w:numId w:val="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president of the BCFPA, Kay Dahl, quits and is under investigation [sic] but most of the board cheer.</w:t>
      </w:r>
    </w:p>
    <w:p>
      <w:pPr>
        <w:numPr>
          <w:numId w:val="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AGM soon approaching and ex-president Liza Carter thinking of running. Do you remember how she ran things temper tantrums, a foul mouth and a private contract with the MC &amp; F. (conflict of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This will be referred to as the "Dberlane comment."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While not the mirror of each other a determination of one of the applications becomes despositive of the other in terms of the claims being made against the Federation.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By agreement of counsel, the Federation's application proceeded first although the issues were argued in an interrelated manner in respect of the plaintiff's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Chesterly, counsel for the defendants Kim Dupont ("Dupont"), Audrey Anger ("Anger"), Bill &amp; Pauline Reid ("Reids"), and Kay Dahl ("Dahl") sought to intervene to support the position of the Federation although any determination of the issues raised in the applications of the plaintiff and the Federation would not resolve the plaintiff's claims as against the defendants represented by Mr. Chesterly.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 permitted Mr. Chesterly to make submissions on the basis that any resolution of the issues raised by these applications may have an effect on his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hearing of these applications began in Prince George on July 7 &amp; 8 and was adjourned for continuation on August 29 in Vancouver. Plaintiff's counsel on July 7, 2003, filed a motion to amend the statement of claim and on August 29, 2003. He informed me that he was not proceeding at that time to make submissions on the application to amend but would set such application down for hearing at a future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November, 2002, the plaintiff discontinued against Blue Frogg Enterprises Inc. (Blue Frogg), the forum provider for the Federation. The defendants, represented by Mr. McKnight (the Federation) and Mr. Chesterly (Dupont, Anger, Reids and Dahl) have issued third-party proceedings against Blue Frogg but have not yet served these proceedings upon Blue Frogg pending the outcome of these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Counsel further informed me that the trial date which had been scheduled for December 3, 2003, would be adjourned.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FACTUAL MATRIX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Federation is a registered society and is a province-wide organisation of foster parents, by foster parents, for the purpose of bringing together such parents, social workers and other interested persons in the care of foster children. The Federation provides training, education and support for foster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has been involved in the work of the Federation since becoming a foster parent in 1992 and has held office in the Federation, most recently, as its president from May, 2000, to May,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Network is an unincorporated group of foster parents consisting of the defendants Dupont, Reids, Penny Seguin, Stephen Hakes, Heather Murphy and Glenn LaFrance. This Network has existed since 1996. It is not affiliated with the Federation.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Network periodically published a "Network newsletter," copies of which were sent to the Federation board members and others by Dupont. This newsletter was widely distributed by Dupont to others including media outlets and government agencies such as the Ministry of Children and Families.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Network newsletter contains within it, among other information, an address for a Network forum website at http://www.delphi.com/bcffp/start.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This website has been referred to as the "Bopeep's Forum."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on her examination for discovery, testified that the Bopeep's Forum was a website outside of the Federation's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assertions of defamatory statements ("Bopeep's comments") alleged by the plaintiff were to be found on the Bopeep Forum.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staff of the Federation would, as a matter of practice, forward to individual board members any documents addressed to the Federation board of directors. These included the Network newsletter.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1999 the Federation created its own website and in early 2000 Joan Weinstob, the then executive director of the Federation, proposed the formation of a "chat room" to provide foster parents a medium by which they could directly discuss issues of concern between themselves.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This chat room, once established, was referred to as the Federation Forum.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This chat room was established and run by an internet service provider, Blue Frogg.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chat room allowed those having access to it to anonymously post materials on the Federation Forum, thus allowing foster parents to discuss matters freely and without any concerns that what they were discussing was censored (or would be censored) by the Federation.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February 24, 2000, the "Dberlane comment" was posted on the Federation Forum and shortly thereafter the plaintiff posted her own response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By the Spring of 2000, the Board of the Federation became aware of the Dberlane comment being posted on the Forum. In order to assert a degree of responsibility on those using the chat room, the Federation decided to post what is referred to as "netiquette rules" and requested the server, Blue Frogg, to edit the postings on the Federation Forum as needed and to post the rules within 24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Federation staff and board members did not access the Forum after May, 2000, believing that the offensive material had been removed from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or about February 4, 2002, the plaintiff became aware that the Federation Forum was still an active website, one which as she deposes "was still visible to a worldwide audience."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By May 11, 2002, the abuse of the right to post material on the Federation Forum became a matter of concern to the executive officers of the Federation and they determined that the Federation Forum site should be temporarily 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By May 19, 2002, the board of directors confirmed the action by the executive officers to close the Federation Forum until a secure method could be implemented to ensure that defamatory material was not posted and that all offensive material would be removed from the Forum.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Following the passing of the resolution of the board of directors on May 19, 2002, Phil Mynott, a board member, contacted Diana Ospina, the host of the Federation Forum, and informed her of the board's decision and asked her to implement it. Mr. Mynott thereafter believed that these instructions had been carried out. Ms. Ospina thereafter advised all concerned that the executive of the Federation had ordered that the Federation Forum be 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 as president of the Federation, also believed after May, 2000, that the Forum had been 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fact, the Forum was not closed, but was only altered to a "read-only" state that prohibited any new posting.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 issued her original statement of claim in September 18, 2001. That statement of claim was based on the allegations with respect to the Bopeeps' comment. It did not refer to the Dberlane comment.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On March 12, 2002, the plaintiff's solicitor, responding to a demand for particulars set forth the plaintiff's claims against the Federation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 Carter v. BCFFPA et 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further answer to your demand for particulars, and further to our telephone conversation of March 12, 2002, you may rely on our representation that the complaint against your client is that your client forwarded letters to its members, which letters were prepared by the Network, and which letters contained the address of the forum. To the best of our knowledge, none of those letters which were forwarded contained comments which, in themselves, were defamatory. Of course, if such should surface during discovery of your client, our pleadings and our position might well then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As will be noted, no reference is made in that correspondence to the Dberlane comment.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 testified at her examination for discovery that she learned in March, 2002, that the Federation Forum had not been closed and that it was still in "read only" 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On May 27, 2002, the statement of claim was amended in part by the additions of paragraph 53 to 56 which included allegations of defamation based upon the continued posting of the Dberlane comment on the Federation Forum.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Its service upon the Federation was the first notice that the Federation had that the Forum had not been closed as it had directed in its resolution of May 19, 2000, and that the Dberlane comment had remained on the Forum.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amended statement of defence filed October 10, 2002, in paras. 9 to 11 specifically, denies the plaintiff's allegation with respect to the Dberlane comment and in para. 12 raises the Limitation Act </w:t>
      </w:r>
      <w:hyperlink r:id="rId453"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as a defence to these claims based upon the Dberlane comment.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As I observed earlier, an application was filed on July 7, 2003, to further amend the statement of claim. At plaintiff's counsel's behest, that was not proceeded with. The effect of such an amendment, if allowed, would have been to amend the pleadings to reflect the dates of publication that if found to be established, would bring the plaintiff under the curtain of the Limitation Act (supra) in terms of the Dberlane comment.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Over the objection of defence counsel, I permitted the plaintiff's affidavit of July 7, 2003, to be filed. That affidavit merely added to the narrative contained in the plaintiff's affidavit No. 3. This was the inclusion of the specific Bopeep postings of February 23 &amp; 24, 2000. It adds little to what was previously deposed save for the actual text of the postings to the Network forum.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statement of claim in its amended form or proposed amended form makes no reference to the date of posting of the Dberlane comment to the Federation's Forum.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Upon being served with the May 27, 2002, amended statement of claim, the Federation learned that the Federation Forum had not been "cleansed" as had been requested of the server, Blue Frogg, following the May 19, resolution. Rather, it learned that it had only been altered so that further postings could not be made to it and that Blue Frogg had left the Forum in a read-only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Thereafter, the Federation sought to contact the server, Blue Frogg, to close the Forum site entirely. The server, from emails attached to the affidavits of staff of the Federation appears to have been less than enthusiastic to do so and replied to the Federation on November 4, 2002,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host of the Forum can do this. You may want to contact the host and make the same request. We have no reason to close the Forum.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Thereafter, through the assistance of counsel for both the Federation and Blue Frogg the Federation Forum was closed in early December,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 as I observed earlier, was the Federation's president in the two-year period ending May, 2002. The plaintiff asserts that she requested the Federation staff to delete the Network Rorum's address from the Network newsletter.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Nowhere in the records of the Federation is such a request noted, and the plaintiff agrees that no motion was made to the board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liability with respect to the Bopeep's comments arises only from the fact that the Federation forwarded copies of the Network's newsletters to members of the Federation's board of directors. These newsletters, while containing no defamatory comments themselves, did contain the address for the Network's Forum which did contain, among other innocent comments, the Bopeep comment alleged to have been defamatory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essence of a successful claim of defamation is founded upon the establishment of three factors:</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words are defamatory.</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defendant was responsible for the publishing of the words to another person.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plaintiff was a person defamed.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See Clement Gatley on Liable and Slander, 8th ed., (London: Suite &amp; Maxwell 1981, at p. 123. See also Raymond Brown, The Law of Defamation in Canada, 2d ed., (Scarborough, Ont.: Carswell, 1994) at p. 345.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Publication of the Bopeep Forum Link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On the evidence before me, there is nothing in the network newsletter to suggest a defamatory comment if a reader of the network newsletter did not more than read the newsletter. In order to read the alleged defamatory comments, it was necessary to go to the Bopeep Forum. The address of the Bopeep Forum was listed in the Network newsletter. This comment was contained among a myriad of other unobjectionable comments posted on that site (i.e. the Bopeep Forum).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law has held liable those who perpetuate defamatory comments by permitting such comments to remain at premises controlled by them even though they did not author or authorize the original publication. See Byrne v. Deane, [1937] 2 All E.R. 204, Hellar v. Biancol 111 Cal. App. 2d 424 (Cal. 1952), Tacket v. General Motors Corp. 836 F.2d 1042 (7th Cir. 1987).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Additionally, liability has been found where a defendant wilfully directed others to defamatory statements when he neither authored nor authorized their publications on premises not controlled by him. See Hird v. Wood (1894), 38 S.J. 234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Common to each of these two lines of authorities is that the defendant had knowledge of the defamatory words and it lay within his power to remove the offending words and he failed to do so or he directed others to the words.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It is argued by the plaintiff that merely informing others in the context of forwarding a newsletter that makes reference to a website without reference or knowledge of its contents constitutes the publication of the defamatory words contained within the Bopeep Forum which was at the referred website.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Some analogous assistance may be found in cases where reference was made to a magazine article that contains the defamatory words without repetition of the article.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MacFadden v. Anthony, 117 N.Y.S. (2d) 520 (Sup. Ct. N.Y. 1952), Eder, J. of the New York County Supreme Court held that such reference did not amount to a republication of the libel contained in the magazine article.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Eder, J. relied upon an earlier New York Court of Appeal decision in Kline v. Biben, 296 N.Y. 638 (N.Y. Ct. App. 1946) that held that the simple mention of an article that contained defamatory comments without reference to the comments could not amount to a republication of the defamatory comments.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If in such cases such mention of a magazine article could not constitute a republishing of a defamatory comment contained in the article, then what occurred here was even more remote as a reference was made to a website that contained all manner of participants' comments including the Bopeep comment.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am supported in this view by the fact that there is no evidence that those in the Federation responsible for the forwarding of the newsletter itself and its reference to the forum website had any knowledge of the offending comments contained in the website itself. In this respect the Federation was an innocent disseminator.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As held by Romer, L.J. in Vizetelly v. Mudie's Select Library Ltd., [1900] 2 Q.B. 170, at p. 180: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.The result of the cases is I think that, as regards a person who is not the printer or the first or main publisher of a work which contains a libel, but has only taken, what I may call, a subordinate part in disseminating it, in considering whether there has been publication of it by him, the particular circumstances under which he disseminated the work must be considered. If he did it in the ordinary way of his business, the nature of the business and the way in which it was conducted must be looked at; and, if he succeeds in shewing [sic] (1.) that he was innocent of any knowledge of the libel contained in the work disseminated by him, (2.) that there was nothing in the work or the circumstances under which it came to him or was disseminated by him which ought to have led him to suppose that it contained a libel, and (3.) that when the work was disseminated by him, it was not by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his part that he did not know that it contained libel, the, although the dissemination of the work by him was prima facie publication of it, he may nevertheless, on proof of the before-mentioned facts, be held not to have published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The essence of that view was adopted by Fedah, J. in Slack v. Ad-Rite Associates Ltd., </w:t>
      </w:r>
      <w:hyperlink r:id="rId454" w:history="1">
        <w:r>
          <w:rPr>
            <w:rFonts w:ascii="arial" w:eastAsia="arial" w:hAnsi="arial" w:cs="arial"/>
            <w:i/>
            <w:color w:val="0077CC"/>
            <w:sz w:val="20"/>
            <w:u w:val="single"/>
            <w:shd w:val="clear" w:color="auto" w:fill="FFFFFF"/>
            <w:lang w:val="en-US" w:eastAsia="en-US" w:bidi="ar-SA"/>
          </w:rPr>
          <w:t>[1998] O.J. No. 5446</w:t>
        </w:r>
      </w:hyperlink>
      <w:r>
        <w:rPr>
          <w:rFonts w:ascii="arial" w:eastAsia="arial" w:hAnsi="arial" w:cs="arial"/>
          <w:color w:val="000000"/>
          <w:sz w:val="20"/>
          <w:lang w:val="en-US" w:eastAsia="en-US" w:bidi="ar-SA"/>
        </w:rPr>
        <w:t xml:space="preserve"> (Ont. Gen. Div.), at para. 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general, every person who takes part in the publication of defamatory material bears responsibility for its publication, including writers, editors, printers and distributors. However, a person who acts merely as a distributor may be able to rely on the defence of innocent dissemination. In the Law of Defamation in Canada Toronto: Carswell, 1987) at pages 283-4, Brown explains the defence: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Persons who play a "subordinate role" in the dissemination of defamatory material, such as vendors of books, magazines, and newspapers, or carriers, librarians and other distributors are not liable for its publication where they are totally ignorant of the defamatory contents of the material, and have no reason to suspect it is libellous. .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rationale underlying this defence is that distributors have no opportunity to read all the material that passes through their hands: see Goldsmith v. Sperrings Ltd., [1977] 1 W.L.R. 478 (C.A.). Likewise, liability does not affect person in the chain of distribution who do only mechanical or menial acts: see Lobay v. Workers and Farmers Publishing Association Ltd., </w:t>
      </w:r>
      <w:hyperlink r:id="rId455" w:history="1">
        <w:r>
          <w:rPr>
            <w:rFonts w:ascii="arial" w:eastAsia="arial" w:hAnsi="arial" w:cs="arial"/>
            <w:i/>
            <w:color w:val="0077CC"/>
            <w:sz w:val="20"/>
            <w:u w:val="single"/>
            <w:shd w:val="clear" w:color="auto" w:fill="FFFFFF"/>
            <w:lang w:val="en-US" w:eastAsia="en-US" w:bidi="ar-SA"/>
          </w:rPr>
          <w:t>[1939] 2 D.L.R. 272</w:t>
        </w:r>
      </w:hyperlink>
      <w:r>
        <w:rPr>
          <w:rFonts w:ascii="arial" w:eastAsia="arial" w:hAnsi="arial" w:cs="arial"/>
          <w:color w:val="000000"/>
          <w:sz w:val="20"/>
          <w:lang w:val="en-US" w:eastAsia="en-US" w:bidi="ar-SA"/>
        </w:rPr>
        <w:t xml:space="preserve"> (Man. Q.B.).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Thus, while the onus of proof lies upon the defendant, on the uncontroverted evidence contained in the affidavits, the Federation, I am satisfied, has established the criteria necessary to absolve itself of any responsibility with respect to any publication of the offending Bopeep's comments.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newsletters contain nothing in and of themselves that is suggestive of defamatory comments and thus nothing existed to lead the Federation through its staff to suppose that there was a defamatory reference contained within the Bopeep Forum.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Likewise, there was no basis to suggest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Federation staff in not knowing about the defamatory comments contained within the Bopeep website, essentially a chat room for members of the Network who were not necessarily members of the Federation or expressed views of the Federation.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respect to this Bopeep comment, I am satisfied there can be no basis for liability on the part of the Federation.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Dberlane Comment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now turn to the Dberlane comment. The pleadings in respect to this alleged act of defamation are found in paragraphs 53 to 56 of the amended statement of claim.</w:t>
      </w:r>
      <w:r>
        <w:rPr>
          <w:rFonts w:ascii="arial" w:eastAsia="arial" w:hAnsi="arial" w:cs="arial"/>
          <w:sz w:val="20"/>
          <w:lang w:val="en-US" w:eastAsia="en-US" w:bidi="ar-SA"/>
        </w:rPr>
        <w:cr/>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Federation created and maintained its own discussion forum on the Internet ("the Federation site").</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following statement posted on the Federation site and published of the plaintiff is such as to disparage the reputation of the plaintiff, and tends to lower her in the estimation of right-thinking members of society generally and to expose her to hatred, ridicule, scandal, odium, contempt and similar feelings: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Yet another scandal with the Government funded association</w:t>
      </w:r>
    </w:p>
    <w:p>
      <w:pPr>
        <w:numPr>
          <w:numId w:val="7"/>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President of BCFFPA Kay Dahl quits and is under investigation but most of the board cheer.</w:t>
      </w:r>
    </w:p>
    <w:p>
      <w:pPr>
        <w:numPr>
          <w:numId w:val="7"/>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AGM soon approaching and ex-President Liza Carter thinking of running. Do you remember how she ran things, temper tantrums [sic], a foul mouth and a private contract with the MC&amp;F (Conflict of interest).</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reasonably knowledgeable person would know that the impugned statement found on the Federation site refers to the plaintiff.</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the knowledge of the Federation, the Federation site advertises the forum and urges the reader to go to the forum. As such, the Federation has republished the defamatory and threatening statements contained on the forum.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Federation argues that the plaintiff's claims in respect of this allegation of defamation are statute barred.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Section 3(2)(c) of the Limitation Act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 After the expiration of 2 years after the date on which the right to do so arose a person may not bring any of the following actions: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numPr>
          <w:numId w:val="1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 defamation.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statement of claim makes no reference to when the Federation purportedly published this libel or when the plaintiff says she discovered the comment on the Federation Forum.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evidence in the affidavit material is that the Dberlane comments were posted on the Federation Forum on February 24, 2000, and that by March 2, 2000, the plaintiff had read them and had posted her own response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plaintiff's evidence is that as of February 4, 2002, she became aware, despite the Federation having taken the steps that I described in May, 2000, that the Federation Forum was still active in a read-only form and as such the Dberlane comments were still posted to be read by those accessing the Federation Forum.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plaintiff first advanced her claims in respect of the Dberlane comment in her amended statement of claim filed on May 27, 2002, a point in time more than two years after she first became aware of their existence on the Federation Forum.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plaintiff argues that each time the posted defamatory comments were accessed there is a republication. In short, to use the jargon of the internet, a "hit" occurs whenever someone accesses the website and may read the Dberlane comment. The plaintiff argues that whenever a "hit" occurs there is a republication and thus the limitation period commences the moment of the most recent "hit" occurring. This, the plaintiff argues, occurred when she accessed the Federation Forum on February 4, 2002, to learn that the Dberlane comments were still posted on the Forum and that the Federation Forum had remained in a read-only format.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issues at this stage are two fold:</w:t>
      </w:r>
      <w:r>
        <w:rPr>
          <w:rFonts w:ascii="arial" w:eastAsia="arial" w:hAnsi="arial" w:cs="arial"/>
          <w:sz w:val="20"/>
          <w:lang w:val="en-US" w:eastAsia="en-US" w:bidi="ar-SA"/>
        </w:rPr>
        <w:cr/>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start of the limitation period run from when the comments were admittedly posted in February 24, 2000, and discovered by the plaintiff shortly thereafter?</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continued existence of the posted comments amount to a republication whenever anyone accesses the website (Forum) thus revealing the offending comments to the viewer as occurred to the plaintiff on February 4,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Similar questions arose in Firth v. The State of New York, 731 N.Y.S. (2d) 244 (N.Y. App. Div. 2001). The defendant, in December, 1996, posted to its website a report which included allegedly defamatory comments about the plaintiff. The plaintiff filed a notice of intention to file a claim relating to these comments as required by the statute of limitations in the State of New York but did not commence the action until March, 1998. Under the New York statute the action had to be commenced within one year of publication.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plaintiff argued that the republication of the libel occurred each time the report was accessed by an internet user. The appeal court concluded absent evidence, that the State had modified its website that access to the website did not constitute republication and the limitation period began to run from the date of the posting to the website as noted in the plaintiff's notice of intention to make a claim. Subsequent access did not recommence the running of the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issue of discoverability, accordingly, did not arise given that the plaintiff had filed a notice of intention to file a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A different view was expressed in the judgment of Horland, J. in Godfrey v. Demon Internet Ltd., [1999] 4 All E.R. 342 in a case that dealt with the issue of republication of material posted on a news server of the defendant. At para. 33 Horland J. held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judgment the defendant, whenever they transmit and whenever there is transmitted from the storage of its news server a defamatory posting, publish that posting to any subscriber to its ISP [internet server provider] who accesses the newsgroup containing that posting. Thus every time one of the defendant's customers accesses 'soc cultre thai' and sees that posting defamatory of the plaintiff there is a publication to that customer.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I referred earlier to the proposed but as of yet unargued application to amend the statement of claim for a second time. I accept the observations of McEachern, C.J.B.C. in Bow Valley Resource Services v. Kansa General Insurance Company </w:t>
      </w:r>
      <w:hyperlink r:id="rId456" w:history="1">
        <w:r>
          <w:rPr>
            <w:rFonts w:ascii="arial" w:eastAsia="arial" w:hAnsi="arial" w:cs="arial"/>
            <w:i/>
            <w:color w:val="0077CC"/>
            <w:sz w:val="20"/>
            <w:u w:val="single"/>
            <w:shd w:val="clear" w:color="auto" w:fill="FFFFFF"/>
            <w:lang w:val="en-US" w:eastAsia="en-US" w:bidi="ar-SA"/>
          </w:rPr>
          <w:t>(1991), 56 B.C.L.R. (2d) 337</w:t>
        </w:r>
      </w:hyperlink>
      <w:r>
        <w:rPr>
          <w:rFonts w:ascii="arial" w:eastAsia="arial" w:hAnsi="arial" w:cs="arial"/>
          <w:color w:val="000000"/>
          <w:sz w:val="20"/>
          <w:lang w:val="en-US" w:eastAsia="en-US" w:bidi="ar-SA"/>
        </w:rPr>
        <w:t xml:space="preserve">, </w:t>
      </w:r>
      <w:hyperlink r:id="rId456" w:history="1">
        <w:r>
          <w:rPr>
            <w:rFonts w:ascii="arial" w:eastAsia="arial" w:hAnsi="arial" w:cs="arial"/>
            <w:i/>
            <w:color w:val="0077CC"/>
            <w:sz w:val="20"/>
            <w:u w:val="single"/>
            <w:shd w:val="clear" w:color="auto" w:fill="FFFFFF"/>
            <w:lang w:val="en-US" w:eastAsia="en-US" w:bidi="ar-SA"/>
          </w:rPr>
          <w:t>[1991] B.C.J. No. 2012</w:t>
        </w:r>
      </w:hyperlink>
      <w:r>
        <w:rPr>
          <w:rFonts w:ascii="arial" w:eastAsia="arial" w:hAnsi="arial" w:cs="arial"/>
          <w:color w:val="000000"/>
          <w:sz w:val="20"/>
          <w:lang w:val="en-US" w:eastAsia="en-US" w:bidi="ar-SA"/>
        </w:rPr>
        <w:t xml:space="preserve"> (B.C.C.A), that in litigation such amendments may logically be expected to occur as the litigation proceeds to, or is, in trial in order to provide a complete and proper basis for the resolution of the issues between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In this sense, the pleadings, albeit unamended as illustrated by the various affidavits, raised quite clearly what the issue with respect to the Dberlane comment and the limitation defence is or will be: When did the publication of these alleged defamatory comments occur? Did it occur when first posted to the Federation Forum and discovered by the plaintiff (i.e. March, 2000), or did it occur when the last access to the Forum was made? Such an amendment of the pleadings as proposed may be reasonably anticipated as occurring.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If it is the earlier date, then the limitation defence applies. If it is the latter, then it would not as the last "hit" would have been made February 24, 2002, and the amended statement of claim, which first pleaded the Dberlane comment, was issued in May 27,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There seems no issue that in between these two dates the Federation Forum was changed to a "read-only" status so that new postings could not be made. No change was made to the postings even though it had been the intention and instructions of the Federation to close the Federation Forum entirely. Those instructions were not complied with by the service provider.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If the plaintiff is correct in terms of a republication occurring each time a user accesses the forum and such a user was able to read the Dberlane comment, quite apart from the myriad of other innocent postings, then a site provider (as opposed to a service provider such as Blue Frogg) such as the Federation could never avail itself of any limitation period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There is simply no evidence of any access to the Forum in the period following February, 2000, by the plaintiff until the discovery on February 2, 2002, that the Federation Forum was in a format other than what the board of directors had resolved it to be by its resolution of May 19,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There is evidence that Mr. Mynott and Ms. Ashby as board members both believed that the site was closed as had been ordered by the board. The plaintiff herself was also of that belief during the period of her presidency with the Federation.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But I would not wish to determine this question of the applicability of the limitations defence upon the basis of a dirth of evidence as to the access to the Forum in the period of time following May 19, 2000, up to and including February, 2002, or when the plaintiff deposes she discovered the Dberlane posting still existed on the Forum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For the purpose of this issue I assume that at some time in that time frame there was access to the Forum and that whoever accessed the Forum viewed the posted Dberlane comments quite apart from whatever other postings may have existed on the Federation Forum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my view, to extend the limitation period beyond May 19, 2000, by when the plaintiff and the Federation were aware of the comments and the latter took steps to remediate it, would be to say that there can be no limitation period for a provider of a chat room such as the Federation Forum.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plaintiff discovered the comments and put the Federation on notice effectively by May 12, 2000. This resulted in the executive committee's decision to close the website and was subsequently ratified a week later by the board of directors.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my view, the very latest it can be said that the plaintiff discovered the alleged libel was May 19, 2000, and the amended statement of claim was filed on May 27,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That others may have accessed the Federation Forum does not amount to a republication given that the Forum was never modified and that there was the reasonably held belief by the board and the plaintiff that it had been shut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English cases, referred to in argument, have an important and underlying distinction from those decided in the United States and the wording of the limitation legislation in Canada. In particular, the provinces of Ontario and British Columbia have the concept of discoverability that is absent in the English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In British Columbia that is set out in s. 6(4)(a) of the Limitation Act, </w:t>
      </w:r>
      <w:hyperlink r:id="rId453"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Time does not begin to run against a plaintiff with respect to an action referred to in subsection (3) until the identity of the defendant is known to the plaintiff and those facts within the plaintiff's means of knowledge are such that a reasonable person, knowing those facts and having taken the appropriate advice a reasonable person would seek on those facts, would regard those facts as showing that</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action on the cause of action would, apart from the effect of the expiration of a limitation period, have a reasonable prospect of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In the realm of Internet there is good reason for the application of s. 6(4)(a) in that a defamed person might be unaware of such comments long after they have been posted to a forum or chat room. But once aware, it is incumbent upon those affected by such comments to take steps to clear their name. They simply cannot let the defamation perpetuate itself without commencing their actions within the requisite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That the board was in error in believing its instructions to its server had been complied with, in my view, does not detract from that concept.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Here the plaintiff, if offended in February, 2000, or at the very latest May 19, 2000, to the extent that she felt aggrieved, was required to commence her action at that time or within two years of that date. She did not do so, and subsequently, her claims with respect to Dberlane comment are barred from further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Federation raised an alternate argument if the limitation defence did not apply. Given my conclusions that it is applicable, I nevertheless feel obliged to comment upon that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That submission is that a "chat room" (i.e. the Federation Forum) operated not as publisher of comments made by third-party in the "chat room," but rather as a telephone company which is not liable for comments made by those who use its telephone 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That analogy, in my view, is flawed in that the chat room provides a form of archiving comments which are accessible by those who use the chat 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There is no Canadian jurisprudence on the subject, but American courts have considered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In Cubby v. CompuServe Inc., 776 F. Supp. 135 (U.S. Dist. Ct. 1991) Leisure, J. held that the defendant as a provider of access to Forum's chat rooms exercised no control over the contents of the chat room and thus it was not a publisher, but rather a distributor. As a distributor that neither knew nor had reason to know of the contents, it was an innocent disseminator and therefore not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That decision was followed by the enactment of the Telecommunications Act of 1996, Pub.L.104-104, 110 Stat.56 (1996) [short title: Communications Decency Act] which amended 47 U.S.C. by adding Section 230. Section 230(c)(1) provides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provider or user of an interactive computer service shall be treated as the publisher or speaker of any information provided by another information content provider.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In Lunney v. Prodigy Services Company 94 N.Y. (2d) 242 (N.Y. Ct. App. 1991) a five-judge panel of the New York Court of Appeal declined to apply retroactive provisions of the Communications Decency Act to an internet chat room provider who provided accounts to an impostor who used them to transmit offensive material in the plaintiff's name. While concluding that the defendant had reserved his right to screen chat rooms or the bulletin board messages, the Court of Appeal held that the defendant had a passive role with respect to the messages posted and could not be concluded to be a publisher.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Here, the Federation provided the chat room, i.e. the Federation Forum, through an internet provider, Blue Frogg Enterprises Inc., and although "it was hosted by a volunteer of the Federation," it did not exercise any editorial role over the forum and until others began to post offensive material such as the Dberlane comment, it played a passive role.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Once aware of the Dberlane comment, the defendant took steps to close the forum and eliminate the postings. It proceeded after its executive resolution of May 12, 2000, and the board of director's resolution of May 19, 2000, on the basis that that had in fact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There is no authority as to the dispatch with which offensive material must be removed from such a facility as a chat room once discovered by the chat room provider. However, in Tacket (supra), Easterbrook, J. referred to the Restatement (Second) of Torts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One who intentionally and unreasonably fails to remove defamatory matter that he knows to be exhibited on lands or chattels in his possession or under his control is subject to liability for its continued publication.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Here, the Federation knew of the postings in 2000, but believed they had been eliminated only to discover in 2002 that despite its efforts to close or purge the postings in 2000, the Federation Forum remained in a read-only format. The failure, to see that its directions of May 19, 2000, were implemented cannot amount to intentional, and or unreasonable failure given that the plaintiff herself was the president of the Federation and also believed that board's resolution of May 19, 2000, had been acted upon as did other members of the Federation's Board of Directors.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In my view, the Federation in 2000 acted reasonably and when informed in 2002 of the continued existence of the Dberlane comments being available to be read by those who accessed the Forum in its then read-only format, took reasonable steps to effect the complete closure of the Forum delayed in part by the obduration of the service provider Blue Frogg.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Accordingly, if I am incorrect with respect to the preliminary position with respect to the limitation defence, the Federation is nevertheless entitled to the relief sought on this secondary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In summary, I find that the Federation is not liable for publication of the Bopeep Forum link as there was nothing to suggest that the Federation knew or ought to have known of the alleged libellous material contained in the forum.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As for the Dberlane comment posted on the Federation Forum, I find that the plaintiff's claims in this regard are barred by the Limitation Act. In the alternative, I would dismiss the plaintiff's claim given the Federation's reasonable efforts to shut the forum down and their reasonable belief that this was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Having come to these conclusions on the Federation's application, it is not necessary to specifically deal with the plaintiff's application sought for in the declarations as against the Federation.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Counsel did not argue the questions of costs. If counsel wish to make submissions, they may do so in writing. Counsel should in such case discuss among themselves a schedule if submissions are to be made in writing and if unable to agree, should contact the trial coordinator in Prince George.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TAYLOR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3" style="position:absolute;z-index:2517780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57"/>
          <w:headerReference w:type="default" r:id="rId458"/>
          <w:footerReference w:type="even" r:id="rId459"/>
          <w:footerReference w:type="default" r:id="rId460"/>
          <w:headerReference w:type="first" r:id="rId461"/>
          <w:footerReference w:type="first" r:id="rId46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63" w:history="1">
        <w:r>
          <w:rPr>
            <w:rFonts w:ascii="arial" w:eastAsia="arial" w:hAnsi="arial" w:cs="arial"/>
            <w:b/>
            <w:bCs/>
            <w:i/>
            <w:color w:val="0077CC"/>
            <w:kern w:val="32"/>
            <w:sz w:val="28"/>
            <w:szCs w:val="32"/>
            <w:u w:val="single"/>
            <w:shd w:val="clear" w:color="auto" w:fill="FFFFFF"/>
            <w:lang w:val="en-US" w:eastAsia="en-US" w:bidi="ar-SA"/>
          </w:rPr>
          <w:t>Costello v. Hornby Island (Local Trust Committee), [2008] B.C.J. No. 2270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P. Keighley</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7,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24,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S100043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2270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1608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Joan Costello, Plaintiff, and Hornby Island Local Trust Committee and The Islands Trust and The Islands Trust Council,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4" style="position:absolute;z-index:251676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90" w:name="Keywords_0"/>
      <w:bookmarkEnd w:id="90"/>
      <w:r>
        <w:rPr>
          <w:rFonts w:ascii="arial" w:eastAsia="arial" w:hAnsi="arial" w:cs="arial"/>
          <w:b/>
          <w:color w:val="000000"/>
          <w:sz w:val="20"/>
          <w:lang w:val="en-US" w:eastAsia="en-US" w:bidi="ar-SA"/>
        </w:rPr>
        <w:t>Civil litigation — Civil procedure — Parties — Adding or substituting — Pleadings — Amendment of — Statement of claim — Application by the plaintiff Costello to add Law and Griggs as defendants to the proceeding and for leave to file an amended writ of summons and statement of claim allowed — Law and Griggs were Islands Trust trustees at the time Costello's request for variance was denied — There was no evidence of prejudice to Law or Griggs resulting from any delay that had occurred — Therefore, it was in the interests of justice to grant Costello the orders that she sought — Rules of Court, Rule 15(5).</w:t>
      </w:r>
    </w:p>
    <w:p>
      <w:pPr>
        <w:jc w:val="both"/>
        <w:rPr>
          <w:rFonts w:ascii="arial" w:eastAsia="arial" w:hAnsi="arial" w:cs="arial"/>
          <w:sz w:val="20"/>
          <w:lang w:val="en-US" w:eastAsia="en-US" w:bidi="ar-SA"/>
        </w:rPr>
      </w:pPr>
      <w:bookmarkStart w:id="91" w:name="Legislation Cited_0"/>
      <w:bookmarkEnd w:id="9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85" style="position:absolute;z-index:2517278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Limitation Act, RSBC 1996, CHAPTER 266, s. 3(2)(a), s.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Local Government Act, RSBC 1996, CHAPTER 323, s. 287, s. 287(1) (k), s. 287(2), s. 287(3), s. 287(4)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Rules of Court, Rule 15(5)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92" w:name="Counsel_17"/>
      <w:bookmarkEnd w:id="9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6" style="position:absolute;z-index:2517790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L.E. Pierce.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A.D.C. Kask.</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3" w:name="Judgment_17"/>
      <w:bookmarkEnd w:id="93"/>
      <w:r>
        <w:pict>
          <v:line id="_x0000_s1087" style="position:absolute;z-index:25181491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4" w:name="MASTER P. KEIGHLEY"/>
            <w:bookmarkEnd w:id="94"/>
            <w:r>
              <w:rPr>
                <w:rFonts w:ascii="arial" w:eastAsia="arial" w:hAnsi="arial" w:cs="arial"/>
                <w:b/>
                <w:color w:val="000000"/>
                <w:sz w:val="30"/>
                <w:lang w:val="en-US" w:eastAsia="en-US" w:bidi="ar-SA"/>
              </w:rPr>
              <w:t>MASTER P. KEIGHLEY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or about 1999, the plaintiff moved a residential building onto her property at 7000 Anderson Drive, Hornby Island with, she says, the permission of the Islands Trust Council. Some two years later, she was advised by the Trust Council or the Hornby Island Local Trust Committee ("LTC"), or both of these entities, that the building did not comply with the bylaw then in force with respect to height.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Over the next three years, the plaintiff made several attempts to achieve a variance of the bylaw. At a meeting of the LTC held February 20, 2004, her application was "put on hold". The minutes of that meeting read, in part,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Trustee Law spoke to the issue by making the following points:</w:t>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 of height is connected to many other issues of width, appearance and scale.</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He acknowledged that the height issue is important to the neighbourhood.</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All submissions have been read.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would like to try and create a "win-win" resolution and build trust among the neighbours.</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Development Variance Permit does not allow for conditions to be placed upon it.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better solution at this time seems to be to set aside the application for six months and to ask the applicants to advance their plans to change the appearance of the building. If in six months constructive actions have actually been seen to be taken, the application will be reconsidered.</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He would like to see the personal conflicts resolved as much as possible.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Trustee Griggs also spoke to motion indicating that she would also like to see some concrete actions taken by the applicant to ameliorate the appearance of the building to lessen its impact on the neighbourhood. She supports the idea of a six-month waiting period to see if the applicant will make some changes.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September 13, 2004, the LTC denied the plaintiff's request for variance in the following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was MOVED and SECONDED that the Hornby Island Local Trust Committee DENY development variance permit HO-DVP-2003.4 to Joan Costello for a maximum dwelling height of 9.08 metres (29.79 feet) at 7000 Anderson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takes the position that, as the bylaw dealt only with height, it was improper for the LTC, to first postpone the hearing of her application, and then deny it, on the basis of "appearance" and other aesthetic concerns not the subject of the bylaw. In her Second Amended Statement of Claim, she alleges bad faith, abuse of public office and abuse of process against the LTC. She alleges that the other defendants are vicariously liable for the actions of the trustees.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filed her Writ and Statement of Claim on July 12, 2006 and amended these pleadings on January 24, 2008. She has since filed a Second Amended Statement of Claim. All of the amendments are of a technical nature and do not affect the factual bases of her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trial was initially scheduled to proceed on February 11, 2008. I adjourned the trial on January 31, on application by the defendants. The matter is now scheduled to be heard beginning March 16, 2009 for 15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defendants' representatives were examined for discovery on May 7, 8, June 14, 2007 and January 7, 2008. The plaintiff was examined for discovery on January 7 and 8, 2008. On August 22, 2008, Master Tokarek granted the plaintiff's request to examine Tony Law, a member of the Hornby Island Trust Committee and a local trustee, for discovery. Master Tokarek denied the plaintiff's application to examine Penelope Griggs, also a trustee at the material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this application, the plaintiff asks for the following orders:</w:t>
      </w:r>
      <w:r>
        <w:rPr>
          <w:rFonts w:ascii="arial" w:eastAsia="arial" w:hAnsi="arial" w:cs="arial"/>
          <w:sz w:val="20"/>
          <w:lang w:val="en-US" w:eastAsia="en-US" w:bidi="ar-SA"/>
        </w:rPr>
        <w:cr/>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Tony Law and Penny Griggs be added as Defendants to this proceeding pursuant to Rule 15(5) and that the style of proceedings be amended accordingly; and</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Plaintiff be given leave to file an Amended Writ of Summons and Amended Statement of Claim in the form attached hereto as Schedule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application is brought pursuant to Rule 15(5)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On such an application, the plaintiff must show that there exists between herself and the party she seeks to add, an issue or question relating to a matter at issue in this proceeding: </w:t>
      </w:r>
      <w:r>
        <w:rPr>
          <w:rFonts w:ascii="arial" w:eastAsia="arial" w:hAnsi="arial" w:cs="arial"/>
          <w:b/>
          <w:i/>
          <w:color w:val="000000"/>
          <w:sz w:val="20"/>
          <w:lang w:val="en-US" w:eastAsia="en-US" w:bidi="ar-SA"/>
        </w:rPr>
        <w:t>Lawrence Construction v. Fong</w:t>
      </w:r>
      <w:r>
        <w:rPr>
          <w:rFonts w:ascii="arial" w:eastAsia="arial" w:hAnsi="arial" w:cs="arial"/>
          <w:color w:val="000000"/>
          <w:sz w:val="20"/>
          <w:lang w:val="en-US" w:eastAsia="en-US" w:bidi="ar-SA"/>
        </w:rPr>
        <w:t xml:space="preserve">, </w:t>
      </w:r>
      <w:hyperlink r:id="rId464" w:history="1">
        <w:r>
          <w:rPr>
            <w:rFonts w:ascii="arial" w:eastAsia="arial" w:hAnsi="arial" w:cs="arial"/>
            <w:i/>
            <w:color w:val="0077CC"/>
            <w:sz w:val="20"/>
            <w:u w:val="single"/>
            <w:shd w:val="clear" w:color="auto" w:fill="FFFFFF"/>
            <w:lang w:val="en-US" w:eastAsia="en-US" w:bidi="ar-SA"/>
          </w:rPr>
          <w:t>[2001] B.C.J. No. 1440</w:t>
        </w:r>
      </w:hyperlink>
      <w:r>
        <w:rPr>
          <w:rFonts w:ascii="arial" w:eastAsia="arial" w:hAnsi="arial" w:cs="arial"/>
          <w:color w:val="000000"/>
          <w:sz w:val="20"/>
          <w:lang w:val="en-US" w:eastAsia="en-US" w:bidi="ar-SA"/>
        </w:rPr>
        <w:t xml:space="preserve">, </w:t>
      </w:r>
      <w:hyperlink r:id="rId464" w:history="1">
        <w:r>
          <w:rPr>
            <w:rFonts w:ascii="arial" w:eastAsia="arial" w:hAnsi="arial" w:cs="arial"/>
            <w:i/>
            <w:color w:val="0077CC"/>
            <w:sz w:val="20"/>
            <w:u w:val="single"/>
            <w:shd w:val="clear" w:color="auto" w:fill="FFFFFF"/>
            <w:lang w:val="en-US" w:eastAsia="en-US" w:bidi="ar-SA"/>
          </w:rPr>
          <w:t>2001 BCSC 813</w:t>
        </w:r>
      </w:hyperlink>
      <w:r>
        <w:rPr>
          <w:rFonts w:ascii="arial" w:eastAsia="arial" w:hAnsi="arial" w:cs="arial"/>
          <w:color w:val="000000"/>
          <w:sz w:val="20"/>
          <w:lang w:val="en-US" w:eastAsia="en-US" w:bidi="ar-SA"/>
        </w:rPr>
        <w:t xml:space="preserve"> at para. 29, cited with approval in </w:t>
      </w:r>
      <w:r>
        <w:rPr>
          <w:rFonts w:ascii="arial" w:eastAsia="arial" w:hAnsi="arial" w:cs="arial"/>
          <w:b/>
          <w:i/>
          <w:color w:val="000000"/>
          <w:sz w:val="20"/>
          <w:lang w:val="en-US" w:eastAsia="en-US" w:bidi="ar-SA"/>
        </w:rPr>
        <w:t>Strata Plan LMS 1212 v. Coquitlam (City)</w:t>
      </w:r>
      <w:r>
        <w:rPr>
          <w:rFonts w:ascii="arial" w:eastAsia="arial" w:hAnsi="arial" w:cs="arial"/>
          <w:color w:val="000000"/>
          <w:sz w:val="20"/>
          <w:lang w:val="en-US" w:eastAsia="en-US" w:bidi="ar-SA"/>
        </w:rPr>
        <w:t xml:space="preserve">, </w:t>
      </w:r>
      <w:hyperlink r:id="rId465" w:history="1">
        <w:r>
          <w:rPr>
            <w:rFonts w:ascii="arial" w:eastAsia="arial" w:hAnsi="arial" w:cs="arial"/>
            <w:i/>
            <w:color w:val="0077CC"/>
            <w:sz w:val="20"/>
            <w:u w:val="single"/>
            <w:shd w:val="clear" w:color="auto" w:fill="FFFFFF"/>
            <w:lang w:val="en-US" w:eastAsia="en-US" w:bidi="ar-SA"/>
          </w:rPr>
          <w:t>[2004] B.C.J. No. 1307</w:t>
        </w:r>
      </w:hyperlink>
      <w:r>
        <w:rPr>
          <w:rFonts w:ascii="arial" w:eastAsia="arial" w:hAnsi="arial" w:cs="arial"/>
          <w:color w:val="000000"/>
          <w:sz w:val="20"/>
          <w:lang w:val="en-US" w:eastAsia="en-US" w:bidi="ar-SA"/>
        </w:rPr>
        <w:t xml:space="preserve">, </w:t>
      </w:r>
      <w:hyperlink r:id="rId465" w:history="1">
        <w:r>
          <w:rPr>
            <w:rFonts w:ascii="arial" w:eastAsia="arial" w:hAnsi="arial" w:cs="arial"/>
            <w:i/>
            <w:color w:val="0077CC"/>
            <w:sz w:val="20"/>
            <w:u w:val="single"/>
            <w:shd w:val="clear" w:color="auto" w:fill="FFFFFF"/>
            <w:lang w:val="en-US" w:eastAsia="en-US" w:bidi="ar-SA"/>
          </w:rPr>
          <w:t>2004 BCSC 852</w:t>
        </w:r>
      </w:hyperlink>
      <w:r>
        <w:rPr>
          <w:rFonts w:ascii="arial" w:eastAsia="arial" w:hAnsi="arial" w:cs="arial"/>
          <w:color w:val="000000"/>
          <w:sz w:val="20"/>
          <w:lang w:val="en-US" w:eastAsia="en-US" w:bidi="ar-SA"/>
        </w:rPr>
        <w:t xml:space="preserve">. Thus the plaintiff need only establish the possibility of an action against either or both of these proposed defendants. She is not obliged to prove her allegations beyond demonstrating that such a cause of action may exist. Although the threshold might be low, the court must be satisfied that the claim is not entirely frivolous: </w:t>
      </w:r>
      <w:r>
        <w:rPr>
          <w:rFonts w:ascii="arial" w:eastAsia="arial" w:hAnsi="arial" w:cs="arial"/>
          <w:b/>
          <w:i/>
          <w:color w:val="000000"/>
          <w:sz w:val="20"/>
          <w:lang w:val="en-US" w:eastAsia="en-US" w:bidi="ar-SA"/>
        </w:rPr>
        <w:t>Strata Plan LMS 1212</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 good starting point may be to consider the allegations raised in the proposed pleadings. In substance, the Third Amended Statement of Claim differs little from the prior version. It adds the two proposed defendants, alleging that both were, at the material time, elected trustees for Hornby Island, with the Islands Trust. The same allegations are raised against them as are raised against the LTC: namely that, in the denial of the plaintiff's application for variance, they acted in bad faith, acted with malice and in abuse of office. She provides no details.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tort of "abuse of public office" was described in the case of </w:t>
      </w:r>
      <w:r>
        <w:rPr>
          <w:rFonts w:ascii="arial" w:eastAsia="arial" w:hAnsi="arial" w:cs="arial"/>
          <w:b/>
          <w:i/>
          <w:color w:val="000000"/>
          <w:sz w:val="20"/>
          <w:lang w:val="en-US" w:eastAsia="en-US" w:bidi="ar-SA"/>
        </w:rPr>
        <w:t>Three Rivers District Council v. Bank of England (No. 3)</w:t>
      </w:r>
      <w:r>
        <w:rPr>
          <w:rFonts w:ascii="arial" w:eastAsia="arial" w:hAnsi="arial" w:cs="arial"/>
          <w:color w:val="000000"/>
          <w:sz w:val="20"/>
          <w:lang w:val="en-US" w:eastAsia="en-US" w:bidi="ar-SA"/>
        </w:rPr>
        <w:t>, [2000] H.L.J. No. 32, [2000] 3 All E.R. 1, [2000] 2 W.L.R. 1220, in the following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rationale of the tort is that in a legal system based on the rule of law executive or administrative power "may be exercised only for the public good" and not for ulterior and improper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In the case of </w:t>
      </w:r>
      <w:r>
        <w:rPr>
          <w:rFonts w:ascii="arial" w:eastAsia="arial" w:hAnsi="arial" w:cs="arial"/>
          <w:b/>
          <w:i/>
          <w:color w:val="000000"/>
          <w:sz w:val="20"/>
          <w:lang w:val="en-US" w:eastAsia="en-US" w:bidi="ar-SA"/>
        </w:rPr>
        <w:t>B.K. Tree Services Ltd. v. B.C. Hydro &amp; Power Authority</w:t>
      </w:r>
      <w:r>
        <w:rPr>
          <w:rFonts w:ascii="arial" w:eastAsia="arial" w:hAnsi="arial" w:cs="arial"/>
          <w:color w:val="000000"/>
          <w:sz w:val="20"/>
          <w:lang w:val="en-US" w:eastAsia="en-US" w:bidi="ar-SA"/>
        </w:rPr>
        <w:t xml:space="preserve"> </w:t>
      </w:r>
      <w:hyperlink r:id="rId466" w:history="1">
        <w:r>
          <w:rPr>
            <w:rFonts w:ascii="arial" w:eastAsia="arial" w:hAnsi="arial" w:cs="arial"/>
            <w:i/>
            <w:color w:val="0077CC"/>
            <w:sz w:val="20"/>
            <w:u w:val="single"/>
            <w:shd w:val="clear" w:color="auto" w:fill="FFFFFF"/>
            <w:lang w:val="en-US" w:eastAsia="en-US" w:bidi="ar-SA"/>
          </w:rPr>
          <w:t>2002 BCSC 1432</w:t>
        </w:r>
      </w:hyperlink>
      <w:r>
        <w:rPr>
          <w:rFonts w:ascii="arial" w:eastAsia="arial" w:hAnsi="arial" w:cs="arial"/>
          <w:color w:val="000000"/>
          <w:sz w:val="20"/>
          <w:lang w:val="en-US" w:eastAsia="en-US" w:bidi="ar-SA"/>
        </w:rPr>
        <w:t xml:space="preserve">, Slade J. was obliged to consider whether B.K. had pleaded facts sufficient, if proven, to demonstrate a breach of public duty sufficient to give rise to a claim of abuse of public office. He noted the elements of the tort were set out in the </w:t>
      </w:r>
      <w:r>
        <w:rPr>
          <w:rFonts w:ascii="arial" w:eastAsia="arial" w:hAnsi="arial" w:cs="arial"/>
          <w:b/>
          <w:i/>
          <w:color w:val="000000"/>
          <w:sz w:val="20"/>
          <w:lang w:val="en-US" w:eastAsia="en-US" w:bidi="ar-SA"/>
        </w:rPr>
        <w:t>Three Rivers</w:t>
      </w:r>
      <w:r>
        <w:rPr>
          <w:rFonts w:ascii="arial" w:eastAsia="arial" w:hAnsi="arial" w:cs="arial"/>
          <w:color w:val="000000"/>
          <w:sz w:val="20"/>
          <w:lang w:val="en-US" w:eastAsia="en-US" w:bidi="ar-SA"/>
        </w:rPr>
        <w:t xml:space="preserve"> case and were as follows:</w:t>
      </w:r>
      <w:r>
        <w:rPr>
          <w:rFonts w:ascii="arial" w:eastAsia="arial" w:hAnsi="arial" w:cs="arial"/>
          <w:sz w:val="20"/>
          <w:lang w:val="en-US" w:eastAsia="en-US" w:bidi="ar-SA"/>
        </w:rPr>
        <w:cr/>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must be a public officer;</w:t>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an exercise of power as a public officer;</w:t>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state of mind must be such that he acted with targeted malice or he must have acted with knowledge of, or with reckless indifference to, the legality of his act and in the knowledge of, or with reckless indifference to, the probability of injury to the plaintiff;</w:t>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a duty owed to the plaintiff; not to conduct himself in the manner complained of;</w:t>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must have suffered loss as a result of the wrongful exercise of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allegations that the proposed plaintiffs are public officers exercising power as such appear to be supportable. Similarly, the plaintiff, as a member of the public, should be entitled to a principled exercise of public authority. Damages are alleged, although not particularized.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With respect to the third requirement of the </w:t>
      </w:r>
      <w:r>
        <w:rPr>
          <w:rFonts w:ascii="arial" w:eastAsia="arial" w:hAnsi="arial" w:cs="arial"/>
          <w:b/>
          <w:i/>
          <w:color w:val="000000"/>
          <w:sz w:val="20"/>
          <w:lang w:val="en-US" w:eastAsia="en-US" w:bidi="ar-SA"/>
        </w:rPr>
        <w:t>Three Rivers</w:t>
      </w:r>
      <w:r>
        <w:rPr>
          <w:rFonts w:ascii="arial" w:eastAsia="arial" w:hAnsi="arial" w:cs="arial"/>
          <w:color w:val="000000"/>
          <w:sz w:val="20"/>
          <w:lang w:val="en-US" w:eastAsia="en-US" w:bidi="ar-SA"/>
        </w:rPr>
        <w:t xml:space="preserve"> test, it is noteworthy that s. 287 of the </w:t>
      </w:r>
      <w:r>
        <w:rPr>
          <w:rFonts w:ascii="arial" w:eastAsia="arial" w:hAnsi="arial" w:cs="arial"/>
          <w:b/>
          <w:i/>
          <w:color w:val="000000"/>
          <w:sz w:val="20"/>
          <w:lang w:val="en-US" w:eastAsia="en-US" w:bidi="ar-SA"/>
        </w:rPr>
        <w:t>Local Government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323</w:t>
      </w:r>
      <w:r>
        <w:rPr>
          <w:rFonts w:ascii="arial" w:eastAsia="arial" w:hAnsi="arial" w:cs="arial"/>
          <w:color w:val="000000"/>
          <w:sz w:val="20"/>
          <w:lang w:val="en-US" w:eastAsia="en-US" w:bidi="ar-SA"/>
        </w:rPr>
        <w:t>, defines a "public officer" as including:</w:t>
      </w:r>
      <w:r>
        <w:rPr>
          <w:rFonts w:ascii="arial" w:eastAsia="arial" w:hAnsi="arial" w:cs="arial"/>
          <w:sz w:val="20"/>
          <w:lang w:val="en-US" w:eastAsia="en-US" w:bidi="ar-SA"/>
        </w:rPr>
        <w:cr/>
      </w:r>
    </w:p>
    <w:p>
      <w:pPr>
        <w:numPr>
          <w:numId w:val="1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trustee of a body of the Islands Trust under the </w:t>
      </w:r>
      <w:r>
        <w:rPr>
          <w:rFonts w:ascii="arial" w:eastAsia="arial" w:hAnsi="arial" w:cs="arial"/>
          <w:b/>
          <w:i/>
          <w:color w:val="000000"/>
          <w:sz w:val="20"/>
          <w:lang w:val="en-US" w:eastAsia="en-US" w:bidi="ar-SA"/>
        </w:rPr>
        <w:t>Islands Trust Act</w:t>
      </w:r>
      <w:r>
        <w:rPr>
          <w:rFonts w:ascii="arial" w:eastAsia="arial" w:hAnsi="arial" w:cs="arial"/>
          <w:color w:val="000000"/>
          <w:sz w:val="20"/>
          <w:lang w:val="en-US" w:eastAsia="en-US" w:bidi="ar-SA"/>
        </w:rPr>
        <w:t>;</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 action for damages lies or may be instituted against a municipal public officer or former municipal public officer</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anything said or done or omitted to be said or done by that person in the performance or intended performance of the person's duty or the exercise of the person's power, or</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any alleged neglect or default in the performance or intended performance of that person's duty or exercise of that person's power.</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 (2) does not provide a defence if</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municipal public officer has, in relation to the conduct that is the subject matter of the action, been guilty of dishonesty,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malicious or wilful misconduct, or</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cause of action is libel or slander.</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 (2) does not absolve any of the corporations or bodies referred to in subsection (1)(a) to (k) from vicarious liability arising out of a tort committed by any of the individuals referred to in subsection (1) for which the corporation or body would have been liable had this section not been in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plaintiff has not, in the proposed Amended Statement of Claim, expanded the claims against the proposed defendants to include allegations of specific acts of dishonesty,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wilful or malicious conduct. It is not clear and obvious, however, that these pleadings, perhaps with some thoughtful amendment to further particularize the motivation for and manner of misconduct, fail to disclose reasonable claims against the proposed defendants and I would not dismiss the application on this basis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proposed defendants say that the plaintiff was aware of facts at the outset of this litigation which would have allowed her to proceed against them at first instance. By delaying until now, they say a presumption of prejudice arises from the passage of time and the expiration of the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It would seem that, for the purposes of this application, at least, the plaintiff is alleging damages resulting from the rejection of her variance application in September of 2004. The defendants say that while not particularized, these damages must be "damages in respect of injury to person or property, including economic loss arising from the injury, whether based on contract, tort or statutory duty" as set forth in s. 3(2)(a) of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w:t>
      </w:r>
      <w:hyperlink r:id="rId453"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As a result, say the defendants, these claims are subject to a two year limitation and are, therefore, statute-barred.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plaintiff says that the limitation on advancing claims of the sort pursued by the plaintiffs in this litigation is six years, on the basis of s. 3(5) of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which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Any other action not specifically provided for in this Act or any other Act may not be brought after the expiration of 6 years after the date on which the right to do so arose.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this basis, the plaintiff says, the limitation period has not yet run.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It seems to me to be at least arguable that the applicable limitation period is two years and for the purposes of this application, I will assume that it is. In that event, the presumption of prejudice does not arise until the passage of the limitation period and an additional period of one year during which the issued Writ might be served: </w:t>
      </w:r>
      <w:r>
        <w:rPr>
          <w:rFonts w:ascii="arial" w:eastAsia="arial" w:hAnsi="arial" w:cs="arial"/>
          <w:b/>
          <w:i/>
          <w:color w:val="000000"/>
          <w:sz w:val="20"/>
          <w:lang w:val="en-US" w:eastAsia="en-US" w:bidi="ar-SA"/>
        </w:rPr>
        <w:t>McIntosh v. Nilsson Bros. Inc.</w:t>
      </w:r>
      <w:r>
        <w:rPr>
          <w:rFonts w:ascii="arial" w:eastAsia="arial" w:hAnsi="arial" w:cs="arial"/>
          <w:color w:val="000000"/>
          <w:sz w:val="20"/>
          <w:lang w:val="en-US" w:eastAsia="en-US" w:bidi="ar-SA"/>
        </w:rPr>
        <w:t xml:space="preserve">, </w:t>
      </w:r>
      <w:hyperlink r:id="rId37" w:history="1">
        <w:r>
          <w:rPr>
            <w:rFonts w:ascii="arial" w:eastAsia="arial" w:hAnsi="arial" w:cs="arial"/>
            <w:i/>
            <w:color w:val="0077CC"/>
            <w:sz w:val="20"/>
            <w:u w:val="single"/>
            <w:shd w:val="clear" w:color="auto" w:fill="FFFFFF"/>
            <w:lang w:val="en-US" w:eastAsia="en-US" w:bidi="ar-SA"/>
          </w:rPr>
          <w:t>2005 BCCA 297</w:t>
        </w:r>
      </w:hyperlink>
      <w:r>
        <w:rPr>
          <w:rFonts w:ascii="arial" w:eastAsia="arial" w:hAnsi="arial" w:cs="arial"/>
          <w:color w:val="000000"/>
          <w:sz w:val="20"/>
          <w:lang w:val="en-US" w:eastAsia="en-US" w:bidi="ar-SA"/>
        </w:rPr>
        <w:t>. By this analysis the presumption of prejudice would arise after September of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McIntosh</w:t>
      </w:r>
      <w:r>
        <w:rPr>
          <w:rFonts w:ascii="arial" w:eastAsia="arial" w:hAnsi="arial" w:cs="arial"/>
          <w:color w:val="000000"/>
          <w:sz w:val="20"/>
          <w:lang w:val="en-US" w:eastAsia="en-US" w:bidi="ar-SA"/>
        </w:rPr>
        <w:t xml:space="preserve"> Lambert J.A. goes on to say that the same considerations apply to actual prejudice resulting from the failure of recollection or destruction of evidence. If these events occur within the limitation period plus one year allowed for service of the Writ, then any prejudice alleged by the defendant cannot be laid at the feet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her affidavit sworn October 9, 2008, Penelope Griggs says:</w:t>
      </w:r>
      <w:r>
        <w:rPr>
          <w:rFonts w:ascii="arial" w:eastAsia="arial" w:hAnsi="arial" w:cs="arial"/>
          <w:sz w:val="20"/>
          <w:lang w:val="en-US" w:eastAsia="en-US" w:bidi="ar-SA"/>
        </w:rPr>
        <w:cr/>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resigned as a trustee in August or September 2004. Can't remember exactly when the by-election was, but residents knew I would be unavailable once my son started 1st grade in Nanaimo. A few asked me to consider representing from abroad, but I wanted only to close that chapter of my life.</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not held elected office since September 2004.</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Since leaving Hornby I have attempted to forget about that period in my life. I'm happy to be away from the island and closer to amenities for my son and my aging parents. My mom has MS (late stage) and my dad is getting on. I have done my best to care for them but it was tiring and expensive to get to them (Cowichan Bay) when I as living on Hornby. I am also relieved to have stable housing, which was hard to find on Hornby and when I initially moved Nanaimo.</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returned nearly all the paper documents/files, computer equipment, and electronic data that I was given during my tenure as a trustee in September 2004. Thereafter in my woodstove I burned all the leftover duplicate copies, and old generic documents that the new trustee would be given upon taking office, and my notes from meetings.</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passage of time and the significant life changes I have experienced over the last 4 years, it is difficult to remember details of events that took place during my term as a trustee on the Hornby Island Local Trust Committee. That being said I believe I was equally fair and considerate to all issues and applications that came before me during the roughly 2 years that I was trustee.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With respect to the issue of prejudice, Tony Law says in his affidavit sworn June 24, 2008:</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I noted in my Examination for Discovery testimony, I had a computer from the Islands Trust that I utilized. When I ceased being a trustee and member of the LTC, I returned that computer.</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also used my partner's computer from time to time for reading and sending e-mails. As I stated in the Examination for Discovery, we stopped using that computer some time in December 2005 and did not save the e-mail messages on it. I had used my partner's computer exclusively for trustee-related email correspondence until the Islands Trust provided me with a computer and thereafter mostly used the Islands Trust computer for such correspondence.</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December 2005 I disposed of copies of the paperwork I obtained as a local trustee and as a member of the LTC and Trust Council because copies of official documents were already held by the Islands Trust.</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reviewed about a dozen binders of documents relating to this proceeding as part of preparation for Examination for Discovery. This process took many hours. While conducting this review I did not recall any documents that I had written or received that were not contained within the binders.</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local trustee and member of the LTC I would write many emails on most days and also receive many messages. It is not possible for me to remember every single message I have written or specifically what e-mails I have written or received on a specific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Griggs has disposed of materials she had in her possession relating to her tenure as a trustee either at the time she left the position by returning some, in the case of paper documents/files, computer equipment and electronic data, or "thereafter" in the case duplicate copies and "old generic materials", by burning them in her woodstove. To the extent that these materials would have assisted her in recollecting the circumstances of the claim, they have been unavailable to her for quite some time: certainly from a date within the three year period ending September of 2007. Her recollection, it appears, may have been degraded not only by the passage of time, but also by her wish to "forget about that period in my life". In the circumstances, I cannot see that she has been prejudiced by the plaintiff's delay in bringing this application. It seems likely that she will be called as a witness at trial, perhaps by the plaintiff, if not the defendants, given her involvement in the process which gave rise to the plaintiff's claim, whether she is joined as a defendant or not. Even as a witness, her preparation for trial would require an opportunity to consider and review all documentation relating to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Neither is Mr. Law able to establish any actual prejudice after the period ending September, 2007. It appears that he returned the computer provided to him by the Islands Trust to that body in 2005. He has been examined for discovery and has reviewed documentation in preparation for that procedure. He does not indicate that his memory of events has suffered as a result of the delay in bringing this application. It is likely that he, too, will be called as a witness at trial and will be obliged to prepare to more or less the same degree as if he were a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Delay in and of itself, that is, apart from any limitation issue, is not determinative, but is a factor which the court should take into account on an application of this nature. The defendants point out that there is no evidence in support of this application to explain the delay in bringing a motion or why these defendants were not included as parties in the first place. I note that there does not appear to be any suggestion by the defendants that the plaintiff or her counsel have unreasonably delayed the progress of this litigation. I have already referred to the application last January which saw the trial adjourned at the request of and over the objections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At paragraph 10 of his decision in </w:t>
      </w:r>
      <w:r>
        <w:rPr>
          <w:rFonts w:ascii="arial" w:eastAsia="arial" w:hAnsi="arial" w:cs="arial"/>
          <w:b/>
          <w:i/>
          <w:color w:val="000000"/>
          <w:sz w:val="20"/>
          <w:lang w:val="en-US" w:eastAsia="en-US" w:bidi="ar-SA"/>
        </w:rPr>
        <w:t>McIntosh</w:t>
      </w:r>
      <w:r>
        <w:rPr>
          <w:rFonts w:ascii="arial" w:eastAsia="arial" w:hAnsi="arial" w:cs="arial"/>
          <w:color w:val="000000"/>
          <w:sz w:val="20"/>
          <w:lang w:val="en-US" w:eastAsia="en-US" w:bidi="ar-SA"/>
        </w:rPr>
        <w:t>, Lambert J.A.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like to add one further point. The question of what is "just and convenient to determine as between the person and that party" within the concluding words of Rule 15(5)(a)(iii) requires a close focus on balancing the interests of the existing parties and the person sought to be added. It is important not to be diverted from the conduct of the parties to the conduct of their lawyers, except to the extent that the conduct of the lawyers may be at the heart of real prejudice to the other side. In this case, the plaintiffs were neither the cause of the failure to add Bavaria in the first instance nor the cause of any of the delays. They should not be prejudiced because of conduct on the part of their lawyer unless that conduct was the cause of irremediable prejudice to the other side. As I have said, that is not so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the absence of evidence of irremediable prejudice to either of the defendants as a result of the delay which </w:t>
      </w:r>
      <w:r>
        <w:rPr>
          <w:rFonts w:ascii="arial" w:eastAsia="arial" w:hAnsi="arial" w:cs="arial"/>
          <w:i/>
          <w:color w:val="000000"/>
          <w:sz w:val="20"/>
          <w:lang w:val="en-US" w:eastAsia="en-US" w:bidi="ar-SA"/>
        </w:rPr>
        <w:t>has</w:t>
      </w:r>
      <w:r>
        <w:rPr>
          <w:rFonts w:ascii="arial" w:eastAsia="arial" w:hAnsi="arial" w:cs="arial"/>
          <w:color w:val="000000"/>
          <w:sz w:val="20"/>
          <w:lang w:val="en-US" w:eastAsia="en-US" w:bidi="ar-SA"/>
        </w:rPr>
        <w:t xml:space="preserve"> occurred, whether such delay is attributable either to the plaintiff or her counsel, the interests of justice favour the granting of the orders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defendants say that the defendants will not be prejudiced should I decline to add these two proposed defendants; that the claims may proceed against the other defendants on the basis of vicarious liability. But what if the plaintiff fails on that issue? Surely the plaintiff will be prejudiced if she is obliged to incur the costs of starting a separate proceeding or proceedings against either or both of the proposed defendants. She will then likely be obliged to bring an application to have those claims joined with this claim for trial. On the other hand, even though this litigation is at a "mature" stage, it is unlikely that joinder of these additional claims would add significant length to the trial scheduled to begin in March.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It seems to me that the circumstances of this case reflect the very purpose for which Rule 15(5) was enacted, consistent with the considerations invoked by Rule 1(5)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which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object of these rules is to secure the just, speedy and inexpensive determination of every proceeding on its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am satisfied that it is in the interests of justice to grant the orders sought. Tony Law and Penelope Griggs will added as defendants to this proceeding and the plaintiff will have leave to amend her Writ and Statement of Claim in the form attached as Schedule "A" to the Notice of Motion dated September 29,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Costs will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P. KEIGHLEY</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8" style="position:absolute;z-index:251828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7"/>
          <w:headerReference w:type="default" r:id="rId468"/>
          <w:footerReference w:type="even" r:id="rId469"/>
          <w:footerReference w:type="default" r:id="rId470"/>
          <w:headerReference w:type="first" r:id="rId471"/>
          <w:footerReference w:type="first" r:id="rId47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473" w:history="1">
        <w:r>
          <w:rPr>
            <w:rFonts w:ascii="arial" w:eastAsia="arial" w:hAnsi="arial" w:cs="arial"/>
            <w:b/>
            <w:bCs/>
            <w:i/>
            <w:color w:val="0077CC"/>
            <w:kern w:val="32"/>
            <w:sz w:val="28"/>
            <w:szCs w:val="32"/>
            <w:u w:val="single"/>
            <w:shd w:val="clear" w:color="auto" w:fill="FFFFFF"/>
            <w:lang w:val="en-US" w:eastAsia="en-US" w:bidi="ar-SA"/>
          </w:rPr>
          <w:t>Cridge v. de Vooght, [2004] B.C.J. No. 1255</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Satanove J.</w:t>
      </w:r>
    </w:p>
    <w:p>
      <w:pPr>
        <w:spacing w:before="120" w:line="260" w:lineRule="atLeast"/>
        <w:jc w:val="center"/>
        <w:rPr>
          <w:lang w:val="en-US" w:eastAsia="en-US" w:bidi="ar-SA"/>
        </w:rPr>
      </w:pPr>
      <w:r>
        <w:rPr>
          <w:rFonts w:ascii="arial" w:eastAsia="arial" w:hAnsi="arial" w:cs="arial"/>
          <w:color w:val="000000"/>
          <w:sz w:val="20"/>
          <w:lang w:val="en-US" w:eastAsia="en-US" w:bidi="ar-SA"/>
        </w:rPr>
        <w:t>Oral judgment: May 20, 2004</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C960559</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[2004] B.C.J. No. 1255</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2004 BCSC 836</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133 A.C.W.S. (3d) 43</w:t>
      </w:r>
    </w:p>
    <w:p>
      <w:pPr>
        <w:spacing w:before="120" w:line="260" w:lineRule="atLeast"/>
        <w:rPr>
          <w:lang w:val="en-US" w:eastAsia="en-US" w:bidi="ar-SA"/>
        </w:rPr>
      </w:pPr>
      <w:r>
        <w:rPr>
          <w:rFonts w:ascii="arial" w:eastAsia="arial" w:hAnsi="arial" w:cs="arial"/>
          <w:color w:val="000000"/>
          <w:sz w:val="20"/>
          <w:lang w:val="en-US" w:eastAsia="en-US" w:bidi="ar-SA"/>
        </w:rPr>
        <w:t>Between Josephine Lovey Cridge, plaintiff, and Harper Grey Easton &amp; Company,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(19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89" style="position:absolute;z-index:251677696"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95" w:name="Keywords_1"/>
      <w:bookmarkEnd w:id="95"/>
      <w:r>
        <w:rPr>
          <w:rFonts w:ascii="arial" w:eastAsia="arial" w:hAnsi="arial" w:cs="arial"/>
          <w:b/>
          <w:color w:val="000000"/>
          <w:sz w:val="20"/>
          <w:lang w:val="en-US" w:eastAsia="en-US" w:bidi="ar-SA"/>
        </w:rPr>
        <w:t>Civil procedure — Costs -- offers to settle — Amount of offer v. award — Legal profession — Barristers and solicitors - - Liability — Liability for costs — Professional responsibility — Professions — Legal — Lawyers.</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96" w:name="Case Summary_0"/>
            <w:bookmarkEnd w:id="96"/>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Application by the defendant law firm Harper Grey Easton for variation of an order denying it costs. Cridge succeeded in an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Harper, but was awarded only nominal damages. The court held that Harper was not entitled to costs because of the disrespectful manner in which it handled Cridge's file. Harper submitted that it had made an offer to settle, and that Cridge had recovered less than the offered amount. It submitted that Rule 17 dictated an award of costs under such circumstances. </w:t>
            </w:r>
            <w:r>
              <w:rPr>
                <w:lang w:val="en-US" w:eastAsia="en-US" w:bidi="ar-SA"/>
              </w:rPr>
              <w:cr/>
            </w:r>
          </w:p>
          <w:p>
            <w:pPr>
              <w:spacing w:before="120" w:line="260" w:lineRule="atLeast"/>
              <w:ind w:left="240"/>
              <w:jc w:val="both"/>
              <w:rPr>
                <w:lang w:val="en-US" w:eastAsia="en-US" w:bidi="ar-SA"/>
              </w:rPr>
            </w:pPr>
            <w:bookmarkStart w:id="97" w:name="Holdings of Court_0"/>
            <w:bookmarkEnd w:id="97"/>
            <w:r>
              <w:rPr>
                <w:rFonts w:ascii="arial" w:eastAsia="arial" w:hAnsi="arial" w:cs="arial"/>
                <w:color w:val="000000"/>
                <w:sz w:val="20"/>
                <w:lang w:val="en-US" w:eastAsia="en-US" w:bidi="ar-SA"/>
              </w:rPr>
              <w:t>HELD: Application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court had equitable discretionary jurisdiction over costs awards. Harper's behavior merited the refusal to award costs. </w:t>
            </w:r>
            <w:r>
              <w:rPr>
                <w:lang w:val="en-US" w:eastAsia="en-US" w:bidi="ar-SA"/>
              </w:rPr>
              <w:cr/>
            </w:r>
          </w:p>
          <w:p>
            <w:pPr>
              <w:rPr>
                <w:lang w:val="en-US" w:eastAsia="en-US" w:bidi="ar-SA"/>
              </w:rPr>
            </w:pPr>
          </w:p>
        </w:tc>
      </w:tr>
    </w:tbl>
    <w:p>
      <w:pPr>
        <w:jc w:val="both"/>
        <w:rPr>
          <w:lang w:val="en-US" w:eastAsia="en-US" w:bidi="ar-SA"/>
        </w:rPr>
      </w:pPr>
      <w:bookmarkStart w:id="98" w:name="Legislation Cited_1"/>
      <w:bookmarkEnd w:id="98"/>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090" style="position:absolute;z-index:25172889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British Columbia Supreme Court Rules, Rule 37.</w:t>
      </w:r>
      <w:r>
        <w:rPr>
          <w:lang w:val="en-US" w:eastAsia="en-US" w:bidi="ar-SA"/>
        </w:rPr>
        <w:cr/>
      </w:r>
    </w:p>
    <w:p>
      <w:pPr>
        <w:keepNext/>
        <w:spacing w:before="240" w:line="340" w:lineRule="atLeast"/>
        <w:rPr>
          <w:lang w:val="en-US" w:eastAsia="en-US" w:bidi="ar-SA"/>
        </w:rPr>
      </w:pPr>
      <w:bookmarkStart w:id="99" w:name="Counsel_18"/>
      <w:bookmarkEnd w:id="99"/>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91" style="position:absolute;z-index:25178009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In Person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I.D. Mackie</w:t>
      </w:r>
      <w:r>
        <w:rPr>
          <w:lang w:val="en-US" w:eastAsia="en-US" w:bidi="ar-SA"/>
        </w:rPr>
        <w:cr/>
      </w:r>
    </w:p>
    <w:p>
      <w:pPr>
        <w:spacing w:after="240"/>
        <w:rPr>
          <w:lang w:val="en-US" w:eastAsia="en-US" w:bidi="ar-SA"/>
        </w:rPr>
      </w:pPr>
      <w:bookmarkStart w:id="100" w:name="Judgment_18"/>
      <w:bookmarkEnd w:id="100"/>
      <w:r>
        <w:pict>
          <v:line id="_x0000_s1092" style="position:absolute;z-index:251815936"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3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01" w:name="SATANOVE J. (orally)"/>
            <w:bookmarkEnd w:id="101"/>
            <w:r>
              <w:rPr>
                <w:rFonts w:ascii="arial" w:eastAsia="arial" w:hAnsi="arial" w:cs="arial"/>
                <w:b/>
                <w:color w:val="000000"/>
                <w:sz w:val="30"/>
                <w:lang w:val="en-US" w:eastAsia="en-US" w:bidi="ar-SA"/>
              </w:rPr>
              <w:t>SATANOVE J. (orally)</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January 27, 2004, I granted judgment to the plaintiff for nominal damages only of $100. I found that the defendant law firm had breached its standard of care owed to her, but that no real damages flowed as a result.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 also concluded that the defendant was not entitled to its costs because of the disrespectful manner in which it handled the plaintiff's file. I did not know of any offers of settlement between the parties, nor, in my view, did I need to know of any.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 brings this application to vary my order, which has not been entered, so as to recognize the defendant's offer to settle made pursuant to Rule 37 and award the defendant its costs accordingly. This raises the interesting issue whether a trial judge has any discretion to refuse to order costs in light of a properly made, not withdrawn, but unaccepted, offer to settle under Rule 37 where the plaintiff has recovered less than the offered amount.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defendant submits that the case law relied upon by it states I have no such discretion. In particular, counsel submits that the leading authority of Brown v. Lowe </w:t>
      </w:r>
      <w:hyperlink r:id="rId474" w:history="1">
        <w:r>
          <w:rPr>
            <w:rFonts w:ascii="arial" w:eastAsia="arial" w:hAnsi="arial" w:cs="arial"/>
            <w:i/>
            <w:color w:val="0077CC"/>
            <w:sz w:val="20"/>
            <w:u w:val="single"/>
            <w:shd w:val="clear" w:color="auto" w:fill="FFFFFF"/>
            <w:lang w:val="en-US" w:eastAsia="en-US" w:bidi="ar-SA"/>
          </w:rPr>
          <w:t>(2002), 14 C.P.C. (5th) 13</w:t>
        </w:r>
      </w:hyperlink>
      <w:r>
        <w:rPr>
          <w:rFonts w:ascii="arial" w:eastAsia="arial" w:hAnsi="arial" w:cs="arial"/>
          <w:color w:val="000000"/>
          <w:sz w:val="20"/>
          <w:lang w:val="en-US" w:eastAsia="en-US" w:bidi="ar-SA"/>
        </w:rPr>
        <w:t xml:space="preserve"> (B.C.C.A.) stands for the proposition that Rule 37 is a complete code. However, the comments of the Court of Appeal in Brown v. Lowe, were in the context of deciding whether an offer made outside the ambit of Rule 37 could have any effect.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 do not read Brown v. Lowe as meaning that the general equitable discretion, which this court has always held to refuse costs to an undeserving party, has been displaced by the operation of Rule 37. In fact, Madam Justice Southin, in Brown v. Lowe, set aside the costs award in that case because of a defendant's conduct during the pre-trial discovery process. She said on that footing the double costs issue in Rule 37 did not arise, and that implicit in the words "unless the court otherwise orders" found in Rule 57(9) is a judicial discretion to be exercised upon sound principle.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Justice Crawford, in Port Coquitlam Building Supplies Ltd. v. Borysiak, </w:t>
      </w:r>
      <w:hyperlink r:id="rId475" w:history="1">
        <w:r>
          <w:rPr>
            <w:rFonts w:ascii="arial" w:eastAsia="arial" w:hAnsi="arial" w:cs="arial"/>
            <w:i/>
            <w:color w:val="0077CC"/>
            <w:sz w:val="20"/>
            <w:u w:val="single"/>
            <w:shd w:val="clear" w:color="auto" w:fill="FFFFFF"/>
            <w:lang w:val="en-US" w:eastAsia="en-US" w:bidi="ar-SA"/>
          </w:rPr>
          <w:t>[2004] B.C.J. No. 291</w:t>
        </w:r>
      </w:hyperlink>
      <w:r>
        <w:rPr>
          <w:rFonts w:ascii="arial" w:eastAsia="arial" w:hAnsi="arial" w:cs="arial"/>
          <w:color w:val="000000"/>
          <w:sz w:val="20"/>
          <w:lang w:val="en-US" w:eastAsia="en-US" w:bidi="ar-SA"/>
        </w:rPr>
        <w:t xml:space="preserve">, </w:t>
      </w:r>
      <w:hyperlink r:id="rId475" w:history="1">
        <w:r>
          <w:rPr>
            <w:rFonts w:ascii="arial" w:eastAsia="arial" w:hAnsi="arial" w:cs="arial"/>
            <w:i/>
            <w:color w:val="0077CC"/>
            <w:sz w:val="20"/>
            <w:u w:val="single"/>
            <w:shd w:val="clear" w:color="auto" w:fill="FFFFFF"/>
            <w:lang w:val="en-US" w:eastAsia="en-US" w:bidi="ar-SA"/>
          </w:rPr>
          <w:t>2004 BCSC 216</w:t>
        </w:r>
      </w:hyperlink>
      <w:r>
        <w:rPr>
          <w:rFonts w:ascii="arial" w:eastAsia="arial" w:hAnsi="arial" w:cs="arial"/>
          <w:color w:val="000000"/>
          <w:sz w:val="20"/>
          <w:lang w:val="en-US" w:eastAsia="en-US" w:bidi="ar-SA"/>
        </w:rPr>
        <w:t>, was also of the view that he retained an equitable discretion to refuse costs in a case where an offer covered by Rule 37 had been made. He said at paras. 14 and 17:</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In considering the cases that come before it, this Court has a duty to search for truth and justice.</w:t>
      </w:r>
    </w:p>
    <w:p>
      <w:pPr>
        <w:spacing w:before="120" w:line="260" w:lineRule="atLeast"/>
        <w:ind w:left="720"/>
        <w:rPr>
          <w:lang w:val="en-US" w:eastAsia="en-US" w:bidi="ar-SA"/>
        </w:rPr>
      </w:pPr>
      <w:r>
        <w:rPr>
          <w:rFonts w:ascii="arial" w:eastAsia="arial" w:hAnsi="arial" w:cs="arial"/>
          <w:color w:val="000000"/>
          <w:sz w:val="20"/>
          <w:lang w:val="en-US" w:eastAsia="en-US" w:bidi="ar-SA"/>
        </w:rPr>
        <w:t>...</w:t>
      </w:r>
    </w:p>
    <w:p>
      <w:pPr>
        <w:spacing w:before="120" w:line="260" w:lineRule="atLeast"/>
        <w:ind w:left="720"/>
        <w:rPr>
          <w:lang w:val="en-US" w:eastAsia="en-US" w:bidi="ar-SA"/>
        </w:rPr>
      </w:pPr>
      <w:r>
        <w:rPr>
          <w:rFonts w:ascii="arial" w:eastAsia="arial" w:hAnsi="arial" w:cs="arial"/>
          <w:color w:val="000000"/>
          <w:sz w:val="20"/>
          <w:lang w:val="en-US" w:eastAsia="en-US" w:bidi="ar-SA"/>
        </w:rPr>
        <w:t>To then argue that having made an Offer under Rule 37 would automatically entitle a defendant to double costs without regard for the prior behaviour of the party, would suggest that Rule 37 had priority to the general principle found in Rule 57(9). I find to the contrary.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Port Coquitlam Building Supplies Ltd. v. Borysiak, Justice Crawford found that the party seeking costs had lied. Let me quickly say, I do not suggest anyone from the defendant firm has lied in the case as bar. But there are other forms of conduct or misconduct that might in certain cases have the same effect on an award of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other words, if there are sound equitable reasons for a court to refuse to award costs, then I say Rule 37 does not come into play.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 take some comfort from the words of the Supreme Court of Canada in British Columbia (Minister of Forests) v. Okanagan Indian Band, </w:t>
      </w:r>
      <w:hyperlink r:id="rId476" w:history="1">
        <w:r>
          <w:rPr>
            <w:rFonts w:ascii="arial" w:eastAsia="arial" w:hAnsi="arial" w:cs="arial"/>
            <w:i/>
            <w:color w:val="0077CC"/>
            <w:sz w:val="20"/>
            <w:u w:val="single"/>
            <w:shd w:val="clear" w:color="auto" w:fill="FFFFFF"/>
            <w:lang w:val="en-US" w:eastAsia="en-US" w:bidi="ar-SA"/>
          </w:rPr>
          <w:t>[2003] 3 S.C.R. 371</w:t>
        </w:r>
      </w:hyperlink>
      <w:r>
        <w:rPr>
          <w:rFonts w:ascii="arial" w:eastAsia="arial" w:hAnsi="arial" w:cs="arial"/>
          <w:color w:val="000000"/>
          <w:sz w:val="20"/>
          <w:lang w:val="en-US" w:eastAsia="en-US" w:bidi="ar-SA"/>
        </w:rPr>
        <w:t>, that an equitable discretion is still available to me. I quote from para. 19:</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Courts of equity had an entirely discretionary</w:t>
      </w:r>
    </w:p>
    <w:p>
      <w:pPr>
        <w:spacing w:before="120" w:line="260" w:lineRule="atLeast"/>
        <w:ind w:left="720"/>
        <w:rPr>
          <w:lang w:val="en-US" w:eastAsia="en-US" w:bidi="ar-SA"/>
        </w:rPr>
      </w:pPr>
      <w:r>
        <w:rPr>
          <w:rFonts w:ascii="arial" w:eastAsia="arial" w:hAnsi="arial" w:cs="arial"/>
          <w:color w:val="000000"/>
          <w:sz w:val="20"/>
          <w:lang w:val="en-US" w:eastAsia="en-US" w:bidi="ar-SA"/>
        </w:rPr>
        <w:t>jurisdiction to order costs according to the dictates of conscience .... In the modern Canadian legal system, this equitable and discretionary power survives, and is recognized by the various provincial statues and rules of civil procedure which make costs a matter for the court's discretion.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the case before me, the reason for refusing to grant costs to the defendant is found halfway through paragraph 44 of my reasons for judgment, where I stated: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This is a straightforward case of inexcusable delay, procrastination and neglect of the plaintiff as a client, which did not meet the standard of care of the ordinary prudent solicitor. A plaintiff's claim cannot be allowed to languish for 18 years. It must be dealt with in a reasonably timely manner, either by proceeding to settlement, trial, or discontinuance.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 would also add that I was impressed, negatively, by the disrespectful memo of Mr. De Vooght referring to the plaintiff, who had hired him, and paid him, as "crazy" and the apparent indifference of the current partnership to take the plaintiff's complaints or this trial seriously. By these comments, I am in no way suggesting Mr. Mackie conducted himself in anything but a serious, patient and polite manner. It is the conduct of his client to which I am referring.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So I am dismissing the application for costs, but there still remains now the issue of the appeal books. A request has been made of me to produce my notes of the plaintiff's evidence which were recorded on November 18th, 2003, between 2:00 o'clock and 4:00 o'clock p.m., and apparently are not transcribable from the tape, for reasons which I do not know.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 am happy to produce those notes. I am not sure of what assistance they will be, but I will make an order that they shall become part of the official transcript. I will ask madam registrar to file those notes. If the parties wish they may have copies, which no doubt they will want, but I think the original should remain in the file.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MRS. CRIDGE: May I ask for costs for today?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COURT: What do you say about that, Mr. Mackie?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MACKIE: My Lady, I would say that she's not entitled to costs. The point that's made by the court denying costs here goes in the face of quite a number of authorities. Rule 37 is to promote settlement. We offered a sum substantially more than that was recovered and had it been accepted, of course, it wouldn't have been necessary to have a 10 day trial. We have every right to proceed today to make the application, and there should be no award for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COURT: I think under the circumstances, because it certainly is a live issue within our courts, I am looking forward to hear what the Court of Appeal has to say about it, and I think it is consistent with my ruling that I have an equitable discretion with respect to these matters to say that because there was a truly arguable issue that was properly brought before me, I am not going to order costs to either party with respect to this application.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MACKIE: Thank you, my Lady.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COURT: Now, hopefully that covers everything, and we will adjourn.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SATANOVE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3" style="position:absolute;z-index:2518292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77"/>
          <w:headerReference w:type="default" r:id="rId478"/>
          <w:footerReference w:type="even" r:id="rId479"/>
          <w:footerReference w:type="default" r:id="rId480"/>
          <w:headerReference w:type="first" r:id="rId481"/>
          <w:footerReference w:type="first" r:id="rId48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83" w:history="1">
        <w:r>
          <w:rPr>
            <w:rFonts w:ascii="arial" w:eastAsia="arial" w:hAnsi="arial" w:cs="arial"/>
            <w:b/>
            <w:bCs/>
            <w:i/>
            <w:color w:val="0077CC"/>
            <w:kern w:val="32"/>
            <w:sz w:val="28"/>
            <w:szCs w:val="32"/>
            <w:u w:val="single"/>
            <w:shd w:val="clear" w:color="auto" w:fill="FFFFFF"/>
            <w:lang w:val="en-US" w:eastAsia="en-US" w:bidi="ar-SA"/>
          </w:rPr>
          <w:t>Davidson v. British Columbia (Workers' Compensation Board), [2003] B.C.J. No. 1754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Masuhara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26 and 27,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18,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L030524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1754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1147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17 B.C.L.R. (4th) 372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126 A.C.W.S. (3d) 181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Douglas Davidson, petitioner, and Workers' Compensation Board of British Columbia, Kokanee Park Marine Ltd., Leonard Casimer Filbert and Catherine Mary Filbert, respondents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(66 paras.)</w:t>
      </w:r>
    </w:p>
    <w:p>
      <w:pPr>
        <w:jc w:val="both"/>
        <w:rPr>
          <w:rFonts w:ascii="arial" w:eastAsia="arial" w:hAnsi="arial" w:cs="arial"/>
          <w:sz w:val="20"/>
          <w:lang w:val="en-US" w:eastAsia="en-US" w:bidi="ar-SA"/>
        </w:rPr>
      </w:pPr>
      <w:bookmarkStart w:id="102" w:name="Counsel_19"/>
      <w:bookmarkEnd w:id="10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4" style="position:absolute;z-index:251678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Timothy W. Pearkes, for petitioner. Gerald W. Massing, for respondent, Workers' Compensation Board. Judith P. Kennedy, for respondents, Kokanee Park Marine Ltd., Leonard Casimer Filbert and Catherine Mary Filbert.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3" w:name="Judgment_19"/>
      <w:bookmarkEnd w:id="103"/>
      <w:r>
        <w:pict>
          <v:line id="_x0000_s1095" style="position:absolute;z-index:25172992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4" w:name="MASUHARA J."/>
            <w:bookmarkEnd w:id="104"/>
            <w:r>
              <w:rPr>
                <w:rFonts w:ascii="arial" w:eastAsia="arial" w:hAnsi="arial" w:cs="arial"/>
                <w:b/>
                <w:color w:val="000000"/>
                <w:sz w:val="30"/>
                <w:lang w:val="en-US" w:eastAsia="en-US" w:bidi="ar-SA"/>
              </w:rPr>
              <w:t>MASUHARA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petitioner, Mr. Davidson, applies under the Judicial Review Procedure Act, </w:t>
      </w:r>
      <w:r>
        <w:rPr>
          <w:rFonts w:ascii="arial" w:eastAsia="arial" w:hAnsi="arial" w:cs="arial"/>
          <w:i/>
          <w:color w:val="000000"/>
          <w:sz w:val="20"/>
          <w:lang w:val="en-US" w:eastAsia="en-US" w:bidi="ar-SA"/>
        </w:rPr>
        <w:t>R.S.B.C. 1996, c. 241</w:t>
      </w:r>
      <w:r>
        <w:rPr>
          <w:rFonts w:ascii="arial" w:eastAsia="arial" w:hAnsi="arial" w:cs="arial"/>
          <w:color w:val="000000"/>
          <w:sz w:val="20"/>
          <w:lang w:val="en-US" w:eastAsia="en-US" w:bidi="ar-SA"/>
        </w:rPr>
        <w:t>, to quash a ruling of the Appeal Division of the Workers' Compensation Board (the "Appeal Division"), which found among other things, that he was a worker whose injury arose out of and in the course of his employment with his employer, Kokanee Park Marine Ltd. ("Kokanee") and a ruling of the reconsideration panel of the Appeal Division (the "Reconsideration Panel") that denied an application for review of the Appeal Division decision. The petitioner asserts that the Appeal Division made a jurisdictional error in declining to apply abuse of process doctrines to the proceedings and that its decision was patently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subject ruling by the Workers' Compensation Board (the "WCB") arises from a certification under s. 11 of the Workers Compensation Act, </w:t>
      </w:r>
      <w:r>
        <w:rPr>
          <w:rFonts w:ascii="arial" w:eastAsia="arial" w:hAnsi="arial" w:cs="arial"/>
          <w:i/>
          <w:color w:val="000000"/>
          <w:sz w:val="20"/>
          <w:lang w:val="en-US" w:eastAsia="en-US" w:bidi="ar-SA"/>
        </w:rPr>
        <w:t>R.S.B.C. 1996, c. 492</w:t>
      </w:r>
      <w:r>
        <w:rPr>
          <w:rFonts w:ascii="arial" w:eastAsia="arial" w:hAnsi="arial" w:cs="arial"/>
          <w:color w:val="000000"/>
          <w:sz w:val="20"/>
          <w:lang w:val="en-US" w:eastAsia="en-US" w:bidi="ar-SA"/>
        </w:rPr>
        <w:t xml:space="preserve">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unusual aspect of this case is that the ruling of the Appeal Division was delivered after a jury trial awarded Mr. Davidson approximately $463,390 for the very injuries he originally claimed for workers' compensation benefits under the Act. The ruling that Mr. Davidson seeks to quash would serve to negate the result obtained from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From the outset, counsel for Mr. Davidson conceded that he faced a high hurdle in order to overturn the decision. He acknowledged that there was narrow scope for review by the court. The respondents agreed and stated that the standard for review was one of patent unreasonableness. I have set out later in these Reasons my own determination of the appropriate standard for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Davidson was an employee of Kokanee, a company owned by Leonard and Catherine Filbert (the "Filberts"). Kokanee owns and operates a marina in Nelson, B.C. On July 27, 1990, Mr. Davidson began working for Kokanee performing general duties. In October 1990, he entered into a four-year apprenticeship agreement with Kokanee to become an outboard/inboard mechanic. On December 2, 1990, Mr. Davidson was involved in activities at the marina. In the course of these activities, he injured his back and eventually had to undergo back surgery. This injury was reported to his employer who filled out the requisite reports to the WCB. Mr. Davidson received benefits for approximately four years. By letter dated December 28, 1994, the WCB advised Kokanee that Mr. Davidson had been awarded a long term disability lump sum of $28,479.78. Kokanee was advised of the cost consequences of this award. In March 1995, Kokanee advised the WCB that it wished to be involved in Mr. Davidson's appeal of the lump sum payment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From March 21, 1995, Kokanee, through the Filberts, took an active, adversarial role against Mr. Davidson including appearing with an Employer's Advisor, giving evidence and making submissions in opposition to Mr. Davidson's appeals.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September 8, 1995, Mr. Filbert, on behalf of Kokanee, wrote to the WCB seeking a rejection of Mr. Davidson's claim on the basis that Mr. Davidson had been laid off effective November 24, 1990, and thus his injury did not arise out of and in the course of his employment. Kokanee also asked for cost relief upon the benefits paid to Mr. Davidson. The submissions of Kokanee were rejected by a Client Services Manager for the WCB.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Kokanee then, through an Employer's Adviser, sought a re-adjudication by a Director of Client Services in the Compensation Services Division, Ms. Mills. The review sought a determination that the December 2, 1990 injury suffered by Mr. Davidson was not compensable.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This request led to a field investigation into the circumstances of the claim. The investigation involved the taking of sworn statements from the Filberts and a customer who received a propane delivery from Mr. Davidson on December 2, 1990. Other information, considered to determine the relationship between Mr. Davidson and Kokanee at the time of the injury, included Kokanee's business records regarding Mr. Davidson's employment and the details of Mr. Davidson's personal account at the marina.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May 31, 1996, Ms. Mills issued her decision disallowing Mr. Davidson's claim on the basis that his injury did not arise out of and in the course of employment (the "Mills Decision"). Mr. Davidson was disentitled to further WCB benefits. However, he was relieved of repaying any of the monies he had been paid and Kokanee was relieved of costs associated with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Davidson appealed the decision. However, Mr. Davidson, apparently on the advice of counsel, abandoned this appeal and instead commenced a personal injury action on May 1, 1997, against Kokanee and the Filberts.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On July 18, 1997, the defendants filed a statement of defence which denied liability and claimed, among other things, that the action was barred by the Limitation Act, </w:t>
      </w:r>
      <w:hyperlink r:id="rId453"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On April 21, 1999, the parties filed a special case on the issue of whether the plaintiff's action was statue barred under the Limitation Act. The defendants described the action as being a straightforward slip-and-fall claim on an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the Occupiers Liability Act,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On May 26, 1999, </w:t>
      </w:r>
      <w:hyperlink r:id="rId484" w:history="1">
        <w:r>
          <w:rPr>
            <w:rFonts w:ascii="arial" w:eastAsia="arial" w:hAnsi="arial" w:cs="arial"/>
            <w:i/>
            <w:color w:val="0077CC"/>
            <w:sz w:val="20"/>
            <w:u w:val="single"/>
            <w:shd w:val="clear" w:color="auto" w:fill="FFFFFF"/>
            <w:lang w:val="en-US" w:eastAsia="en-US" w:bidi="ar-SA"/>
          </w:rPr>
          <w:t>[1999] B.C.J. No. 1334</w:t>
        </w:r>
      </w:hyperlink>
      <w:r>
        <w:rPr>
          <w:rFonts w:ascii="arial" w:eastAsia="arial" w:hAnsi="arial" w:cs="arial"/>
          <w:color w:val="000000"/>
          <w:sz w:val="20"/>
          <w:lang w:val="en-US" w:eastAsia="en-US" w:bidi="ar-SA"/>
        </w:rPr>
        <w:t>, McEwan J. ruled that the action was not statute barred, as the running of time for the limitation period was postponed until sometime after September 8, 1995, the date on which Mr. Filbert first sought re-adjudication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July 4, 2000, the defendants filed an amended statement of defence pleading ss. 10 and 11 of the Act. Kokanee and the Filberts were now arguing that Mr. Davidson was a worker whose injuries had arisen out of and in the course of employment. On August 2, 2000, the notice of trial for May 22, 2001 was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amended his reply to plead estoppel.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March 6, 2001, the defendants brought an application before McEwan J. to adjourn the trial in order to obtain a determination as to the plaintiff's status as a worker under s. 11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matter was opposed by Mr. Davidson's counsel. On March 15, 2001, McEwan J. issued Reasons for denying the adjournment of the trial, </w:t>
      </w:r>
      <w:hyperlink r:id="rId485" w:history="1">
        <w:r>
          <w:rPr>
            <w:rFonts w:ascii="arial" w:eastAsia="arial" w:hAnsi="arial" w:cs="arial"/>
            <w:i/>
            <w:color w:val="0077CC"/>
            <w:sz w:val="20"/>
            <w:u w:val="single"/>
            <w:shd w:val="clear" w:color="auto" w:fill="FFFFFF"/>
            <w:lang w:val="en-US" w:eastAsia="en-US" w:bidi="ar-SA"/>
          </w:rPr>
          <w:t>[2001] B.C.J. No. 633</w:t>
        </w:r>
      </w:hyperlink>
      <w:r>
        <w:rPr>
          <w:rFonts w:ascii="arial" w:eastAsia="arial" w:hAnsi="arial" w:cs="arial"/>
          <w:color w:val="000000"/>
          <w:sz w:val="20"/>
          <w:lang w:val="en-US" w:eastAsia="en-US" w:bidi="ar-SA"/>
        </w:rPr>
        <w:t xml:space="preserve">, </w:t>
      </w:r>
      <w:hyperlink r:id="rId485" w:history="1">
        <w:r>
          <w:rPr>
            <w:rFonts w:ascii="arial" w:eastAsia="arial" w:hAnsi="arial" w:cs="arial"/>
            <w:i/>
            <w:color w:val="0077CC"/>
            <w:sz w:val="20"/>
            <w:u w:val="single"/>
            <w:shd w:val="clear" w:color="auto" w:fill="FFFFFF"/>
            <w:lang w:val="en-US" w:eastAsia="en-US" w:bidi="ar-SA"/>
          </w:rPr>
          <w:t>2001 BCSC 263</w:t>
        </w:r>
      </w:hyperlink>
      <w:r>
        <w:rPr>
          <w:rFonts w:ascii="arial" w:eastAsia="arial" w:hAnsi="arial" w:cs="arial"/>
          <w:color w:val="000000"/>
          <w:sz w:val="20"/>
          <w:lang w:val="en-US" w:eastAsia="en-US" w:bidi="ar-SA"/>
        </w:rPr>
        <w:t>. He said at [paragraphs] 29-31: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situation at present is that a competent manifestation of the Board has ruled that Mr. Davidson was not a worker at the relevant time. That ruling does not have the aspect of finality a s. 11 certificate would have. In ordinary circumstances - that is if the jurisdictional issue were raised at first instance - I think the case law clearly and sensibly dictates that the court ought to accommodate a ruling by the Board before proceeding.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further of the view that even in circumstances where there has been a ruling - such as here - it might normally be prudent to accommodate the issue of a s. 11 certificate to bring finality to the jurisdictional issue.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circumstances of the present case, however, the position taken by the defendants so offends principles of fairness this court would ordinarily apply that I think it appropriate to accept the extant ruling at face value and not to actively accommodate the possibility that the Appeal Board might be moved to reverse its reversal. If it does, it does, but I will not adjourn the trial to abet such a prospect.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April 2001, the defendants filed their submissions with the WCB seeking the s. 11 certificate.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May 22, 2001, the first day of the trial, the defendants again sought an adjournment of the trial in order to obtain a s. 11 determination from the WCB. The adjournment was again opposed by Mr. Davidson's counsel and the request was denied by Humphries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June 5, 2001, the jury returned a verdict which, among other things, answered the following questions:</w:t>
      </w:r>
      <w:r>
        <w:rPr>
          <w:rFonts w:ascii="arial" w:eastAsia="arial" w:hAnsi="arial" w:cs="arial"/>
          <w:sz w:val="20"/>
          <w:lang w:val="en-US" w:eastAsia="en-US" w:bidi="ar-SA"/>
        </w:rPr>
        <w:cr/>
      </w:r>
    </w:p>
    <w:p>
      <w:pPr>
        <w:numPr>
          <w:numId w:val="1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did the herniation of the disc at the L5/S1 level occur? December 2, 1990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events, if any, caused or materially contributed to the herniation of the disc at the L5/S1 Level:</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Moving the motor; Yes</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fall from the big scoop loader; Yes</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Fall near the propane tank; Yes</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Unexplained fall; Yes</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jury apportioned liability as follows: 25 percent to Mr. Filbert, 10 percent to Mrs. Filbert, 40 percent to Kokanee, and 25 percent to Mr. Davidson. The jury determined damages of $826,000. However, those damages were reduced by 30 percent for Mr. Davidson's 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No appeal was taken from the trial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Madam Justice Humphries ordered a partial stay of execution pending the outcome of the s. 11 determination, </w:t>
      </w:r>
      <w:hyperlink r:id="rId486" w:history="1">
        <w:r>
          <w:rPr>
            <w:rFonts w:ascii="arial" w:eastAsia="arial" w:hAnsi="arial" w:cs="arial"/>
            <w:i/>
            <w:color w:val="0077CC"/>
            <w:sz w:val="20"/>
            <w:u w:val="single"/>
            <w:shd w:val="clear" w:color="auto" w:fill="FFFFFF"/>
            <w:lang w:val="en-US" w:eastAsia="en-US" w:bidi="ar-SA"/>
          </w:rPr>
          <w:t>[2001] B.C.J. No. 1316</w:t>
        </w:r>
      </w:hyperlink>
      <w:r>
        <w:rPr>
          <w:rFonts w:ascii="arial" w:eastAsia="arial" w:hAnsi="arial" w:cs="arial"/>
          <w:color w:val="000000"/>
          <w:sz w:val="20"/>
          <w:lang w:val="en-US" w:eastAsia="en-US" w:bidi="ar-SA"/>
        </w:rPr>
        <w:t>. She said at [paragraphs] 9-10: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the trial commenced and I heard the evidence, I began to be concerned that the plaintiff's position was clearly that he was a worker at the time of the incident. At the end of four days of trial, during a discussion with counsel as to the nature of the duty of care upon which I would be called to charge the jury (the pleadings offering little if any assistance), counsel for the plaintiff told me that the context of the claim was defined by the employee/employer relationship, and the duty upon which he relied is that of a master to his servant. This caused me even further concern, but counsel later characterised the duty in a more general fashion, that is the duty owed by a "neighbour", with special reference to the Apprenticeship Agreement in effect between Mr. Davidson and the defendants, although he continued to insist that the Workers Compensation Board Regulations be put to the jury to define the extent of the duty. I refused to do so.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By the end of the trial, it appeared to me that, call it what you might, the plaintiff was relying on an employee/employer relationship to found the duty of care, at least for the motor-lifting incident, which incident had become the main focus of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Full written submissions were made to the Appeal Division both on the procedural and substantive aspects of the case. The Appeal Division had the transcripts from the trial and the rulings of McEwan and Humphries JJ.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December 6, 2001, the Appeal Division issued its decision, 2001-2451 (the "Morton Decision") finding, in essence, that:</w:t>
      </w:r>
      <w:r>
        <w:rPr>
          <w:rFonts w:ascii="arial" w:eastAsia="arial" w:hAnsi="arial" w:cs="arial"/>
          <w:sz w:val="20"/>
          <w:lang w:val="en-US" w:eastAsia="en-US" w:bidi="ar-SA"/>
        </w:rPr>
        <w:cr/>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Davidson was a worker whose injuries arose out of and in the course of his employment within the scope of Part 1 of the Act;</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Kokanee was, at the time the cause of action arose, an employer engaged in an industry within the meaning of Part 1 of the Act; and</w:t>
      </w:r>
    </w:p>
    <w:p>
      <w:pPr>
        <w:numPr>
          <w:numId w:val="1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and Mrs. Filbert were workers within the meaning of Part 1 of the Act and that any of their actions or conduct which caused the breach of duty of care arose out of and in the course of employment within the scope of Part 1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Appeal Division rejected the argument that it was required to apply the abuse of process doctrines on the bases that the Mills Decision was not a final decision under the Act, the fact that either party could have applied for a s. 11 certificate, and the motor-lifting incident was not addressed in the Mills Decision. The Appeal Division concluded that the jury verdict did not provide sufficient reason to refrain from considering the merits of the case. However, the Appeal Division used the jury's findings of fact (listed above) as a framework for considering the evidence. The Appeal Division concluded that Mr. Davidson was a causal worker under the direction of the employer with an expectation of being paid. There was a formal apprenticeship agreement between the parties, a course scheduled the following week, Mr. Davidson was generally available for on-call work, Mr. Davidson appeared to be engaged in work activities for the benefit of the employer at the time of the injury, and the work he was doing at the time of the injury was at the instruction of the employer.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Davidson sought a reconsideration of the decision. On November 13, 2002, Mr. Randy Lane denied the application for reconsideration, 2002-2874 (the "Lane Decision") on the grounds that Mr. Davidson had failed to establish the common law grounds for reconsideration of a decision of the Appeal Division. The common law grounds for reconsideration require the party seeking reconsideration to show that the Appeal Division made an error of law going to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Position of the Petitioner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counsel for Mr. Davidson takes the position that the Appeal Division made a jurisdictional error in failing to apply the abuse of process doctrines, which he defines as issue estoppel, cause of action estoppel, and collateral attack. He takes the position that the Mills Decision, and the respondents' active role in securing the Mills Decision, creates an estoppel preventing them from asserting that Mr. Davidson was a worker whose injury arose out of and in the course of his employment in the s. 11 certification proceeding, and the Appeal Division's failure to recognize that estoppel was a jurisdictional error. See Danyluk v. Ainsworth Technologies Inc., </w:t>
      </w:r>
      <w:hyperlink r:id="rId487" w:history="1">
        <w:r>
          <w:rPr>
            <w:rFonts w:ascii="arial" w:eastAsia="arial" w:hAnsi="arial" w:cs="arial"/>
            <w:i/>
            <w:color w:val="0077CC"/>
            <w:sz w:val="20"/>
            <w:u w:val="single"/>
            <w:shd w:val="clear" w:color="auto" w:fill="FFFFFF"/>
            <w:lang w:val="en-US" w:eastAsia="en-US" w:bidi="ar-SA"/>
          </w:rPr>
          <w:t>[2001] 2 S.C.R. 460</w:t>
        </w:r>
      </w:hyperlink>
      <w:r>
        <w:rPr>
          <w:rFonts w:ascii="arial" w:eastAsia="arial" w:hAnsi="arial" w:cs="arial"/>
          <w:color w:val="000000"/>
          <w:sz w:val="20"/>
          <w:lang w:val="en-US" w:eastAsia="en-US" w:bidi="ar-SA"/>
        </w:rPr>
        <w:t xml:space="preserve">, 2001 S.C.C. 44, and R. v. Consolidated Maybrun Mines Ltd., </w:t>
      </w:r>
      <w:hyperlink r:id="rId488" w:history="1">
        <w:r>
          <w:rPr>
            <w:rFonts w:ascii="arial" w:eastAsia="arial" w:hAnsi="arial" w:cs="arial"/>
            <w:i/>
            <w:color w:val="0077CC"/>
            <w:sz w:val="20"/>
            <w:u w:val="single"/>
            <w:shd w:val="clear" w:color="auto" w:fill="FFFFFF"/>
            <w:lang w:val="en-US" w:eastAsia="en-US" w:bidi="ar-SA"/>
          </w:rPr>
          <w:t>[1998] 1 S.C.R. 706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Further, counsel for the petitioner argues that the Appeal Division relied on a patently unreasonable construction of s. 99, rendering the words "and justice" meaningless by its failure to apply the abuse of process doctrines in favour of Mr. Davidson. He argues that the Appeal Division inferred patently unreasonable meaning from the dicta of the trial judge and erred in placing significance on that meaning in its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Position of the Respondents Kokanee and the Filberts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respondents, Kokanee and the Filberts, take the position that there was no error and there are no grounds for the relief sought. Counsel says that the standard of review is patent unreasonableness, and that the result arrived at by the Appeal Division was not patently unreasonable: Pasiechnyk v. Saskatchewan (Workers' Compensation Board), </w:t>
      </w:r>
      <w:hyperlink r:id="rId489" w:history="1">
        <w:r>
          <w:rPr>
            <w:rFonts w:ascii="arial" w:eastAsia="arial" w:hAnsi="arial" w:cs="arial"/>
            <w:i/>
            <w:color w:val="0077CC"/>
            <w:sz w:val="20"/>
            <w:u w:val="single"/>
            <w:shd w:val="clear" w:color="auto" w:fill="FFFFFF"/>
            <w:lang w:val="en-US" w:eastAsia="en-US" w:bidi="ar-SA"/>
          </w:rPr>
          <w:t>[1997] 2 S.C.R. 890</w:t>
        </w:r>
      </w:hyperlink>
      <w:r>
        <w:rPr>
          <w:rFonts w:ascii="arial" w:eastAsia="arial" w:hAnsi="arial" w:cs="arial"/>
          <w:color w:val="000000"/>
          <w:sz w:val="20"/>
          <w:lang w:val="en-US" w:eastAsia="en-US" w:bidi="ar-SA"/>
        </w:rPr>
        <w:t xml:space="preserve">. She argues that scheme under the Act does not provide the Mills Decision with the degree of finality necessary to create an issue estoppel, and even if it did, the Appeal Division retained the discretion and authority to decline to apply such doctrines: Michaud v. British Columbia (Workers' Compensation Board), </w:t>
      </w:r>
      <w:hyperlink r:id="rId490" w:history="1">
        <w:r>
          <w:rPr>
            <w:rFonts w:ascii="arial" w:eastAsia="arial" w:hAnsi="arial" w:cs="arial"/>
            <w:i/>
            <w:color w:val="0077CC"/>
            <w:sz w:val="20"/>
            <w:u w:val="single"/>
            <w:shd w:val="clear" w:color="auto" w:fill="FFFFFF"/>
            <w:lang w:val="en-US" w:eastAsia="en-US" w:bidi="ar-SA"/>
          </w:rPr>
          <w:t>[1987] B.C.J. No. 2213</w:t>
        </w:r>
      </w:hyperlink>
      <w:r>
        <w:rPr>
          <w:rFonts w:ascii="arial" w:eastAsia="arial" w:hAnsi="arial" w:cs="arial"/>
          <w:color w:val="000000"/>
          <w:sz w:val="20"/>
          <w:lang w:val="en-US" w:eastAsia="en-US" w:bidi="ar-SA"/>
        </w:rPr>
        <w:t xml:space="preserve"> (C.A.), British Columbia (Minister of Forests) v. Bugbusters Pest Management Inc. </w:t>
      </w:r>
      <w:hyperlink r:id="rId491" w:history="1">
        <w:r>
          <w:rPr>
            <w:rFonts w:ascii="arial" w:eastAsia="arial" w:hAnsi="arial" w:cs="arial"/>
            <w:i/>
            <w:color w:val="0077CC"/>
            <w:sz w:val="20"/>
            <w:u w:val="single"/>
            <w:shd w:val="clear" w:color="auto" w:fill="FFFFFF"/>
            <w:lang w:val="en-US" w:eastAsia="en-US" w:bidi="ar-SA"/>
          </w:rPr>
          <w:t>(1998), 50 B.C.L.R. (3d) 1</w:t>
        </w:r>
      </w:hyperlink>
      <w:r>
        <w:rPr>
          <w:rFonts w:ascii="arial" w:eastAsia="arial" w:hAnsi="arial" w:cs="arial"/>
          <w:color w:val="000000"/>
          <w:sz w:val="20"/>
          <w:lang w:val="en-US" w:eastAsia="en-US" w:bidi="ar-SA"/>
        </w:rPr>
        <w:t xml:space="preserve"> (C.A.), and Danyluk,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Further, Ms. Kennedy argues that the Appeal Division's interpretation of s. 99 must be assessed on the standard of patent unreasonableness: Bourgeois v. Workers' Compensation Board </w:t>
      </w:r>
      <w:hyperlink r:id="rId492" w:history="1">
        <w:r>
          <w:rPr>
            <w:rFonts w:ascii="arial" w:eastAsia="arial" w:hAnsi="arial" w:cs="arial"/>
            <w:i/>
            <w:color w:val="0077CC"/>
            <w:sz w:val="20"/>
            <w:u w:val="single"/>
            <w:shd w:val="clear" w:color="auto" w:fill="FFFFFF"/>
            <w:lang w:val="en-US" w:eastAsia="en-US" w:bidi="ar-SA"/>
          </w:rPr>
          <w:t>(1994), 10 C.C.E.L. (2d) 61</w:t>
        </w:r>
      </w:hyperlink>
      <w:r>
        <w:rPr>
          <w:rFonts w:ascii="arial" w:eastAsia="arial" w:hAnsi="arial" w:cs="arial"/>
          <w:color w:val="000000"/>
          <w:sz w:val="20"/>
          <w:lang w:val="en-US" w:eastAsia="en-US" w:bidi="ar-SA"/>
        </w:rPr>
        <w:t xml:space="preserve"> (B.C.S.C.), Watford v. British Columbia (Workers' Compensation Board), </w:t>
      </w:r>
      <w:hyperlink r:id="rId493" w:history="1">
        <w:r>
          <w:rPr>
            <w:rFonts w:ascii="arial" w:eastAsia="arial" w:hAnsi="arial" w:cs="arial"/>
            <w:i/>
            <w:color w:val="0077CC"/>
            <w:sz w:val="20"/>
            <w:u w:val="single"/>
            <w:shd w:val="clear" w:color="auto" w:fill="FFFFFF"/>
            <w:lang w:val="en-US" w:eastAsia="en-US" w:bidi="ar-SA"/>
          </w:rPr>
          <w:t>[1999] B.C.J. No. 128</w:t>
        </w:r>
      </w:hyperlink>
      <w:r>
        <w:rPr>
          <w:rFonts w:ascii="arial" w:eastAsia="arial" w:hAnsi="arial" w:cs="arial"/>
          <w:color w:val="000000"/>
          <w:sz w:val="20"/>
          <w:lang w:val="en-US" w:eastAsia="en-US" w:bidi="ar-SA"/>
        </w:rPr>
        <w:t xml:space="preserve"> (S.C.), and Stewart v. British Columbia (Workers' Compensation Board), </w:t>
      </w:r>
      <w:hyperlink r:id="rId494" w:history="1">
        <w:r>
          <w:rPr>
            <w:rFonts w:ascii="arial" w:eastAsia="arial" w:hAnsi="arial" w:cs="arial"/>
            <w:i/>
            <w:color w:val="0077CC"/>
            <w:sz w:val="20"/>
            <w:u w:val="single"/>
            <w:shd w:val="clear" w:color="auto" w:fill="FFFFFF"/>
            <w:lang w:val="en-US" w:eastAsia="en-US" w:bidi="ar-SA"/>
          </w:rPr>
          <w:t>[1983] B.C.J. No. 472</w:t>
        </w:r>
      </w:hyperlink>
      <w:r>
        <w:rPr>
          <w:rFonts w:ascii="arial" w:eastAsia="arial" w:hAnsi="arial" w:cs="arial"/>
          <w:color w:val="000000"/>
          <w:sz w:val="20"/>
          <w:lang w:val="en-US" w:eastAsia="en-US" w:bidi="ar-SA"/>
        </w:rPr>
        <w:t xml:space="preserve"> (S.C.), aff'd </w:t>
      </w:r>
      <w:hyperlink r:id="rId495" w:history="1">
        <w:r>
          <w:rPr>
            <w:rFonts w:ascii="arial" w:eastAsia="arial" w:hAnsi="arial" w:cs="arial"/>
            <w:i/>
            <w:color w:val="0077CC"/>
            <w:sz w:val="20"/>
            <w:u w:val="single"/>
            <w:shd w:val="clear" w:color="auto" w:fill="FFFFFF"/>
            <w:lang w:val="en-US" w:eastAsia="en-US" w:bidi="ar-SA"/>
          </w:rPr>
          <w:t>8 D.L.R. (4th) 757</w:t>
        </w:r>
      </w:hyperlink>
      <w:r>
        <w:rPr>
          <w:rFonts w:ascii="arial" w:eastAsia="arial" w:hAnsi="arial" w:cs="arial"/>
          <w:color w:val="000000"/>
          <w:sz w:val="20"/>
          <w:lang w:val="en-US" w:eastAsia="en-US" w:bidi="ar-SA"/>
        </w:rPr>
        <w:t xml:space="preserve"> (C.A.). She argues that it was not patently unreasonable for the Appeal Division to conclude that, on the balance of probabilities, the evidence supported the conclusion that Mr. Davidson was a worker, and therefore the presumption did not arise.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Position of the WCB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Counsel for the WCB takes the position that the Appeal Division was deciding matters that lie at the heart of its specialized and exclusive jurisdiction, and the decision was not patently unreasonable nor exceeded its jurisdiction: Electrolux Corp. of Canada Inc. v. Workers' Compensation Board </w:t>
      </w:r>
      <w:hyperlink r:id="rId496" w:history="1">
        <w:r>
          <w:rPr>
            <w:rFonts w:ascii="arial" w:eastAsia="arial" w:hAnsi="arial" w:cs="arial"/>
            <w:i/>
            <w:color w:val="0077CC"/>
            <w:sz w:val="20"/>
            <w:u w:val="single"/>
            <w:shd w:val="clear" w:color="auto" w:fill="FFFFFF"/>
            <w:lang w:val="en-US" w:eastAsia="en-US" w:bidi="ar-SA"/>
          </w:rPr>
          <w:t>(1993), 76 B.C.L.R. (2d) 239</w:t>
        </w:r>
      </w:hyperlink>
      <w:r>
        <w:rPr>
          <w:rFonts w:ascii="arial" w:eastAsia="arial" w:hAnsi="arial" w:cs="arial"/>
          <w:color w:val="000000"/>
          <w:sz w:val="20"/>
          <w:lang w:val="en-US" w:eastAsia="en-US" w:bidi="ar-SA"/>
        </w:rPr>
        <w:t xml:space="preserve"> (C.A.), Canadian Pacific Limited. v. Jones, </w:t>
      </w:r>
      <w:hyperlink r:id="rId497" w:history="1">
        <w:r>
          <w:rPr>
            <w:rFonts w:ascii="arial" w:eastAsia="arial" w:hAnsi="arial" w:cs="arial"/>
            <w:i/>
            <w:color w:val="0077CC"/>
            <w:sz w:val="20"/>
            <w:u w:val="single"/>
            <w:shd w:val="clear" w:color="auto" w:fill="FFFFFF"/>
            <w:lang w:val="en-US" w:eastAsia="en-US" w:bidi="ar-SA"/>
          </w:rPr>
          <w:t>[1989] B.C.J. No. 1241</w:t>
        </w:r>
      </w:hyperlink>
      <w:r>
        <w:rPr>
          <w:rFonts w:ascii="arial" w:eastAsia="arial" w:hAnsi="arial" w:cs="arial"/>
          <w:color w:val="000000"/>
          <w:sz w:val="20"/>
          <w:lang w:val="en-US" w:eastAsia="en-US" w:bidi="ar-SA"/>
        </w:rPr>
        <w:t xml:space="preserve"> (S.C.), Pasiechnyk, supra, and Watford,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Counsel for the WCB argues that the Appeal Division's decision not to apply the abuse of process doctrines is specific to the circumstances of the case. He distinguishes Danyluk, supra, and R. v. Consolidated Maybrun Mines Ltd., supra, on the grounds that those cases dealt with a situation where the subject matter of litigation before the courts had previously been the subject matter of proceedings before an administrative tribunal. In those cases, the litigation was a collateral attack on the decision of the administrative tribunal. He argues that proceedings contemplated by the Act in relation to s. 5 and s. 11 do not create a situation of collateral attack because the same administrative tribunal is determining the issues, and the Act specifically gives the WCB the exclusive jurisdiction over the resolution of those issues. Further, there is not the finality necessary to create an estoppel: Michaud, supra, and Danyluk,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Finally, he argues that the interpretation of s. 99 attributed to the Appeal Division by counsel for Mr. Davidson was not stated in the decision. He says that the conclusion that s. 99 was wrongly interpreted to render the words "and justice" meaningless cannot be inferred, much less necessarily inferred for the Appeal Division decision. Further, he says that an inference is not adequate to support a conclusion that the WCB has made a patently unreasonable interpretation of the Act: Bourgeois,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RELEVANT STATUTORY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Act:</w:t>
      </w:r>
      <w:r>
        <w:rPr>
          <w:rFonts w:ascii="arial" w:eastAsia="arial" w:hAnsi="arial" w:cs="arial"/>
          <w:sz w:val="20"/>
          <w:lang w:val="en-US" w:eastAsia="en-US" w:bidi="ar-SA"/>
        </w:rPr>
        <w:cr/>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provisions of this Part are in lieu of any right and rights of action, statutory or otherwise, founded on a breach of duty of care or any other cause of action, whether that duty or cause of action is imposed by or arises by reason of law or contract, express or implied, to which a worker...is or may be entitled against the employer of the worker, or against any employer within the scope of this Part, or against any worker, in respect of any personal injury, disablement or death arising out of and in the course of employment and no action in respect of it lies. This provision applies only when the action or conduct of the employer, the employer's servant or agent, or the worker, which caused the breach of duty arose out of and in the course of employment within the scope of this Part.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in an action brought by a worker..., it is found that the injury,...was due partly to a breach of duty of care of one or more employers or workers under this Part, no damages, contributions or indemnity are recoverable for the portion of the loss or damage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that employer or worker...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Where an action based on a disability caused by occupational disease, personal injury or death is brought, the Board must, on request by the court or by any party to the action, determine any matter that is relevant to the action and within its competence under this Act and, without limiting the generality of the foregoing, may determine whether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was, at the time the cause of action arose, a worker within the meaning of this Part;</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injury, disability or death of a worker arose out of, and in the course of, the worker's employment;</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employer or the employer's servant or agent was, at the time the cause of action arose, employed by another employer; and</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employer was, at the time the cause of action arose, engaged in an industry within the meaning of this Part,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and must certify its determination to the court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Board has exclusive jurisdiction to inquire into, hear and determine all matters and questions of fact and law arising under this Part, and the action or decision of the Board on them is final and conclusive and is not open to question or review in any court, and proceedings by or before the Board must not be restrained by injunction, prohibition or other process or proceeding in any court or be removable by certiorari or otherwise into any court, and an action must not be maintained or brought against a governor, officer, appeal commissioner or employee of the Board in respect of an act, omission or decision done or made in the belief that it was within the jurisdiction of the Board; and, without restricting the generality of the foregoing, the Board has exclusive jurisdiction to inquire into, hear and determine</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question whether an injury has arisen out of or in the course of an employment within the scope of this Part;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person is a worker, a subcontractor, a contractor or an employer within the meaning of this Part.</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Notwithstanding subsection (1), the Board may at any time at its discretion reopen, rehear and redetermine any matter, except a decision of the appeal division, which has been dealt with by it or by an officer of the Board.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this section and sections 58 to 66, a decision of the appeal division is final and conclusive.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99</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Board is not bound to follow legal precedent. Its decision must be given according to the merits and justice of the case and, where there is doubt on an issue and the disputed possibilities are evenly balanced, the issue must be resolved in accordance with that possibility which is favourable to the worker.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first step in a judicial review such as the instant case is to determine the standard for review. In Pushpanathan v. Minister of Citizenship and Immigration, </w:t>
      </w:r>
      <w:hyperlink r:id="rId498" w:history="1">
        <w:r>
          <w:rPr>
            <w:rFonts w:ascii="arial" w:eastAsia="arial" w:hAnsi="arial" w:cs="arial"/>
            <w:i/>
            <w:color w:val="0077CC"/>
            <w:sz w:val="20"/>
            <w:u w:val="single"/>
            <w:shd w:val="clear" w:color="auto" w:fill="FFFFFF"/>
            <w:lang w:val="en-US" w:eastAsia="en-US" w:bidi="ar-SA"/>
          </w:rPr>
          <w:t>[1998] 1 S.C.R. 982</w:t>
        </w:r>
      </w:hyperlink>
      <w:r>
        <w:rPr>
          <w:rFonts w:ascii="arial" w:eastAsia="arial" w:hAnsi="arial" w:cs="arial"/>
          <w:color w:val="000000"/>
          <w:sz w:val="20"/>
          <w:lang w:val="en-US" w:eastAsia="en-US" w:bidi="ar-SA"/>
        </w:rPr>
        <w:t>, the court stated that "[t]he central inquiry in determining the standard of review exercisable by a court of law is the legislative intent of the statute creating the tribunal whose decision is being reviewed" (at [paragraph] 26), and that such review is to take the pragmatic and functional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Q. v. College of Physicians and Surgeons of B.C. </w:t>
      </w:r>
      <w:hyperlink r:id="rId499" w:history="1">
        <w:r>
          <w:rPr>
            <w:rFonts w:ascii="arial" w:eastAsia="arial" w:hAnsi="arial" w:cs="arial"/>
            <w:i/>
            <w:color w:val="0077CC"/>
            <w:sz w:val="20"/>
            <w:u w:val="single"/>
            <w:shd w:val="clear" w:color="auto" w:fill="FFFFFF"/>
            <w:lang w:val="en-US" w:eastAsia="en-US" w:bidi="ar-SA"/>
          </w:rPr>
          <w:t>(2003), 11 B.C.L.R. (4th) 1</w:t>
        </w:r>
      </w:hyperlink>
      <w:r>
        <w:rPr>
          <w:rFonts w:ascii="arial" w:eastAsia="arial" w:hAnsi="arial" w:cs="arial"/>
          <w:color w:val="000000"/>
          <w:sz w:val="20"/>
          <w:lang w:val="en-US" w:eastAsia="en-US" w:bidi="ar-SA"/>
        </w:rPr>
        <w:t>, 2003 S.C.C. 19 at [paragraph] 22, McLachlin C.J. described the pragmatic and functional approach to determining the appropriate standard of review and corresponding posture of deference: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Rather, the pragmatic and functional approach calls upon the court to weigh a series of factors in an effort to discern whether a particular issue before the administrative body should receive exacting review by a court, undergo "significant searching or testing" (Southam, supra, at para. 57), or be left to the near exclusive determination of the decision-maker. These various postures of deference correspond, respectively, to the standards of correctness, reasonableness simpliciter, and patent unreasonableness.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At [paragraph] 26, she set out the four contextual factors which are used in the pragmatic and functional approach: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pragmatic and functional approach, the standard of review is determined by considering four contextual factors - the presence or absence of a privative clause or statutory right of appeal; the expertise of the tribunal relative to that of the reviewing court on the issue in question; the purposes of the legislation and the provision in particular; and, the nature of the question - law, fact, or mixed law and fact. The factors may overlap. The overall aim is to discern legislative intent, keeping in mind the constitutional role of the courts in maintaining the rule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the context of the instant case, I have the benefit of decades of authorities that have reviewed the history, purpose and intent of workers' compensation legislation, including the scope of the privative clause in the Act and the expertise of the WCB.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terms of the privative clause contained in the Act, s. 96 contains the classic form of privative clause that requires the highest level of deference by a reviewing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terms of the expertise of the WCB, there was little evidence placed before me on this point. However, in comparing the provisions of the Act relating to the mandate, appointment, tenure and composition of Governors of the WCB, as well as the organization and capabilities of the staff at the WCB with those observed and reviewed by Sopinka J. in Pasiechnyk, supra, there are no material dissimilarities for the purposes of this analysis. Thus, I conclude similarly as he did at [paragraph] 38 that the WCB "has very considerable expertise in dealing with all aspects of the workers' compensation system". However, I note that this finding is not static and can be subject to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terms of the purpose of the legislation, the Act creates a comprehensive scheme for the payment of no fault compensation benefits for injuries or industrial disease caused by employment and for the regulation of health and safety in the workplace. Further, it is clear that the WCB is the regulatory and adjudicative body created by and charged with the administration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terms of the specific provision adjudicated upon, the authorities have consistently and clearly indicated that questions related to the determination of a "worker" for the purposes of the Act and whether injuries of such a worker arose out of and in the course of the worker's employment are within the exclusive jurisdiction of the WCB. See: Dominion Canners Ltd. v. Costanza, </w:t>
      </w:r>
      <w:hyperlink r:id="rId500" w:history="1">
        <w:r>
          <w:rPr>
            <w:rFonts w:ascii="arial" w:eastAsia="arial" w:hAnsi="arial" w:cs="arial"/>
            <w:i/>
            <w:color w:val="0077CC"/>
            <w:sz w:val="20"/>
            <w:u w:val="single"/>
            <w:shd w:val="clear" w:color="auto" w:fill="FFFFFF"/>
            <w:lang w:val="en-US" w:eastAsia="en-US" w:bidi="ar-SA"/>
          </w:rPr>
          <w:t>[1923] S.C.R. 46</w:t>
        </w:r>
      </w:hyperlink>
      <w:r>
        <w:rPr>
          <w:rFonts w:ascii="arial" w:eastAsia="arial" w:hAnsi="arial" w:cs="arial"/>
          <w:color w:val="000000"/>
          <w:sz w:val="20"/>
          <w:lang w:val="en-US" w:eastAsia="en-US" w:bidi="ar-SA"/>
        </w:rPr>
        <w:t>, Pasiechnyk, supra, Electrolux,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petitioner in this regard raises issues related to the failure of the Appeal Division to apply abuse of process principles. As well, he argues that the Appeal Division erred in its application of s. 99 in making its s. 11 determination. In my view, the issues raised by the petitioner are related to the interpretation and application of the specific provisions of the Act which the WCB has been specifically and exclusively tasked to carry out. Mr. Davidson has raised these issues as an attack on the manner the WCB has chosen to carry out its mandate in determining the status of an individual under s. 11 of the Act. The manner in which the WCB approaches its determination under s. 11 is clearly at the heart of its expertise. Whether the Appeal Division approaches the determination anew or be bound by an earlier decision by staff related to the same question but in a different context is a matter that, in my opinion, is one that the legislative policymakers left for the WCB to decide. Overall, these issues are questions of law and fact that are within the exclusive jurisdiction and competence of the WCB: U.E.S., Local 298 v. Bibeault, </w:t>
      </w:r>
      <w:hyperlink r:id="rId501" w:history="1">
        <w:r>
          <w:rPr>
            <w:rFonts w:ascii="arial" w:eastAsia="arial" w:hAnsi="arial" w:cs="arial"/>
            <w:i/>
            <w:color w:val="0077CC"/>
            <w:sz w:val="20"/>
            <w:u w:val="single"/>
            <w:shd w:val="clear" w:color="auto" w:fill="FFFFFF"/>
            <w:lang w:val="en-US" w:eastAsia="en-US" w:bidi="ar-SA"/>
          </w:rPr>
          <w:t>[1988] 2 S.C.R. 1048</w:t>
        </w:r>
      </w:hyperlink>
      <w:r>
        <w:rPr>
          <w:rFonts w:ascii="arial" w:eastAsia="arial" w:hAnsi="arial" w:cs="arial"/>
          <w:color w:val="000000"/>
          <w:sz w:val="20"/>
          <w:lang w:val="en-US" w:eastAsia="en-US" w:bidi="ar-SA"/>
        </w:rPr>
        <w:t xml:space="preserve"> at 1086, and Bourgeois,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Given the above, I find that the appropriate standard for review for the issues in this case is one of patent unreasonableness and, accordingly, considerable curial deference is to be afforded to the decisions of the Appeal Division and the Reconsideration Panel.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patently unreasonable test requires that a decision under review to be "openly, evidently, clearly" unreasonable. In the Canada (Director of Investigation and Research) v. Southam Inc., </w:t>
      </w:r>
      <w:hyperlink r:id="rId502" w:history="1">
        <w:r>
          <w:rPr>
            <w:rFonts w:ascii="arial" w:eastAsia="arial" w:hAnsi="arial" w:cs="arial"/>
            <w:i/>
            <w:color w:val="0077CC"/>
            <w:sz w:val="20"/>
            <w:u w:val="single"/>
            <w:shd w:val="clear" w:color="auto" w:fill="FFFFFF"/>
            <w:lang w:val="en-US" w:eastAsia="en-US" w:bidi="ar-SA"/>
          </w:rPr>
          <w:t>[1997] 1 S.C.R. 748</w:t>
        </w:r>
      </w:hyperlink>
      <w:r>
        <w:rPr>
          <w:rFonts w:ascii="arial" w:eastAsia="arial" w:hAnsi="arial" w:cs="arial"/>
          <w:color w:val="000000"/>
          <w:sz w:val="20"/>
          <w:lang w:val="en-US" w:eastAsia="en-US" w:bidi="ar-SA"/>
        </w:rPr>
        <w:t>, Iacobucci J. stated at [paragraph] 57: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difference between "unreasonable" and "patently unreasonable" lies in the immediacy or obviousness of the defect. If the defect is apparent on the face of the tribunal's reasons, then the tribunal's decision is patently unreasonable. But if it takes some significant searching or testing to find the defect, then the decision is unreasonable but not patently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In Canada Safeway Ltd. v. British Columbia (Workers' Compensation Board) </w:t>
      </w:r>
      <w:hyperlink r:id="rId503" w:history="1">
        <w:r>
          <w:rPr>
            <w:rFonts w:ascii="arial" w:eastAsia="arial" w:hAnsi="arial" w:cs="arial"/>
            <w:i/>
            <w:color w:val="0077CC"/>
            <w:sz w:val="20"/>
            <w:u w:val="single"/>
            <w:shd w:val="clear" w:color="auto" w:fill="FFFFFF"/>
            <w:lang w:val="en-US" w:eastAsia="en-US" w:bidi="ar-SA"/>
          </w:rPr>
          <w:t>(1998), 59 B.C.L.R. (3d) 317</w:t>
        </w:r>
      </w:hyperlink>
      <w:r>
        <w:rPr>
          <w:rFonts w:ascii="arial" w:eastAsia="arial" w:hAnsi="arial" w:cs="arial"/>
          <w:color w:val="000000"/>
          <w:sz w:val="20"/>
          <w:lang w:val="en-US" w:eastAsia="en-US" w:bidi="ar-SA"/>
        </w:rPr>
        <w:t xml:space="preserve"> at [paragraph] 23, application for leave to appeal dismissed, </w:t>
      </w:r>
      <w:hyperlink r:id="rId504" w:history="1">
        <w:r>
          <w:rPr>
            <w:rFonts w:ascii="arial" w:eastAsia="arial" w:hAnsi="arial" w:cs="arial"/>
            <w:i/>
            <w:color w:val="0077CC"/>
            <w:sz w:val="20"/>
            <w:u w:val="single"/>
            <w:shd w:val="clear" w:color="auto" w:fill="FFFFFF"/>
            <w:lang w:val="en-US" w:eastAsia="en-US" w:bidi="ar-SA"/>
          </w:rPr>
          <w:t>[1999] S.C.C.A. No. 20</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Appeal Division may have arrived at its decision by questionable reasoning but it is the result which must be tested for patent unreasonableness.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If a rational basis can be found for the decision, then it should not be disturbed simply because of defects in the tribunal's reasoning: Kovach v. British Columbia (Workers' Compensation Board) </w:t>
      </w:r>
      <w:hyperlink r:id="rId505" w:history="1">
        <w:r>
          <w:rPr>
            <w:rFonts w:ascii="arial" w:eastAsia="arial" w:hAnsi="arial" w:cs="arial"/>
            <w:i/>
            <w:color w:val="0077CC"/>
            <w:sz w:val="20"/>
            <w:u w:val="single"/>
            <w:shd w:val="clear" w:color="auto" w:fill="FFFFFF"/>
            <w:lang w:val="en-US" w:eastAsia="en-US" w:bidi="ar-SA"/>
          </w:rPr>
          <w:t>(1998), 52 B.C.L.R. (3d) 98</w:t>
        </w:r>
      </w:hyperlink>
      <w:r>
        <w:rPr>
          <w:rFonts w:ascii="arial" w:eastAsia="arial" w:hAnsi="arial" w:cs="arial"/>
          <w:color w:val="000000"/>
          <w:sz w:val="20"/>
          <w:lang w:val="en-US" w:eastAsia="en-US" w:bidi="ar-SA"/>
        </w:rPr>
        <w:t xml:space="preserve"> (C.A.) per Donald J.A., aff'd </w:t>
      </w:r>
      <w:hyperlink r:id="rId506" w:history="1">
        <w:r>
          <w:rPr>
            <w:rFonts w:ascii="arial" w:eastAsia="arial" w:hAnsi="arial" w:cs="arial"/>
            <w:i/>
            <w:color w:val="0077CC"/>
            <w:sz w:val="20"/>
            <w:u w:val="single"/>
            <w:shd w:val="clear" w:color="auto" w:fill="FFFFFF"/>
            <w:lang w:val="en-US" w:eastAsia="en-US" w:bidi="ar-SA"/>
          </w:rPr>
          <w:t>[2000] 1 S.C.R. 55</w:t>
        </w:r>
      </w:hyperlink>
      <w:r>
        <w:rPr>
          <w:rFonts w:ascii="arial" w:eastAsia="arial" w:hAnsi="arial" w:cs="arial"/>
          <w:color w:val="000000"/>
          <w:sz w:val="20"/>
          <w:lang w:val="en-US" w:eastAsia="en-US" w:bidi="ar-SA"/>
        </w:rPr>
        <w:t>, 2000 S.C.C.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Another description of this standard is that enunciated by Beetz J. in Syndicat des employés de production du Québec et de l'Acadie v. Canada (Labour Relations Board), </w:t>
      </w:r>
      <w:hyperlink r:id="rId507" w:history="1">
        <w:r>
          <w:rPr>
            <w:rFonts w:ascii="arial" w:eastAsia="arial" w:hAnsi="arial" w:cs="arial"/>
            <w:i/>
            <w:color w:val="0077CC"/>
            <w:sz w:val="20"/>
            <w:u w:val="single"/>
            <w:shd w:val="clear" w:color="auto" w:fill="FFFFFF"/>
            <w:lang w:val="en-US" w:eastAsia="en-US" w:bidi="ar-SA"/>
          </w:rPr>
          <w:t>[1984] 2 S.C.R. 412</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mere error of law is to be distinguished from one resulting from a patently unreasonable interpretation of a provision which an administrative tribunal is required to apply within the limits of its jurisdiction. This kind of error amounts to a fraud on the law or a deliberate refusal to comply with it. As Dickson J. (as he then was) described it, speaking for the whole Court in Canadian Union of Public Employees Local 963 v. New Brunswick Liquor Corporation, </w:t>
      </w:r>
      <w:hyperlink r:id="rId508" w:history="1">
        <w:r>
          <w:rPr>
            <w:rFonts w:ascii="arial" w:eastAsia="arial" w:hAnsi="arial" w:cs="arial"/>
            <w:i/>
            <w:color w:val="0077CC"/>
            <w:sz w:val="20"/>
            <w:u w:val="single"/>
            <w:shd w:val="clear" w:color="auto" w:fill="FFFFFF"/>
            <w:lang w:val="en-US" w:eastAsia="en-US" w:bidi="ar-SA"/>
          </w:rPr>
          <w:t>[1979] 2 S.C.R. 227</w:t>
        </w:r>
      </w:hyperlink>
      <w:r>
        <w:rPr>
          <w:rFonts w:ascii="arial" w:eastAsia="arial" w:hAnsi="arial" w:cs="arial"/>
          <w:color w:val="000000"/>
          <w:sz w:val="20"/>
          <w:lang w:val="en-US" w:eastAsia="en-US" w:bidi="ar-SA"/>
        </w:rPr>
        <w:t xml:space="preserve"> at p. 237, it is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...so patently unreasonable that its construction cannot be rationally supported by the relevant legislation and demands intervention by the court upon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Stewart, supra, Paris J. stated at [paragraph] 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cannot substitute its opinion as to whether or not there was a doubt and whether the possibilities were evenly divided. The Board gave very complete reasons for its decision. It obviously did not feel "there was a doubt on (the) issue and the disputed possibilities (were) evenly balanced." Its decision was not wilful or perverse. Indeed, there are strong arguments and reasons in its favour. The privative clause prevails.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It is with this standard in mind that I now turn to my review of the record.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On the issues raised by the petitioner relating to abuse of process, the Morton Decision extensively considers the questions and sets out clear rationale. Passages from the decision that are particularly relevant for this review are as follows:</w:t>
      </w:r>
      <w:r>
        <w:rPr>
          <w:rFonts w:ascii="arial" w:eastAsia="arial" w:hAnsi="arial" w:cs="arial"/>
          <w:sz w:val="20"/>
          <w:lang w:val="en-US" w:eastAsia="en-US" w:bidi="ar-SA"/>
        </w:rPr>
        <w:cr/>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Plaintiff's counsel does not oppose the application for a section 11 certificate. Rather, he seeks a ruling that the defendants are bound by the "Mills" decision of May 31, 1996. He requests that a section 11 certificate be issued which accords with the "Mills" decision.</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Plaintiff's counsel submits that abuse of process doctrines apply to decisions of the WCB. He describes the judicial concepts of cause of action estoppel, issue estoppel and collateral attack, as having all been developed to prevent abuse of process. Plaintiff's counsel provides extensive argument in this regard, with reference to the court decisions attached in the plaintiff's Brief of Authorities. He submits these principles should now be applied to prevent the defendants from relitigating the issues addressed in the "Mills" decision. He argues that the administration of justice and the WCB compensation system will fall into disrepute if the plaintiff is denied the fruit of his judgment having succeeded at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normal practice of the Appeal Division in a section 11 determination is to consider the matter anew notwithstanding a prior decision by a board officer. I am mindful of the concerns expressed by Mr. Justice McEwan as to the sufficiency of evidence to warrant reconsideration by the board of its 1996 determination of the plaintiff's status. However, as noted by the Court in the Streifel case, </w:t>
      </w:r>
      <w:hyperlink r:id="rId509" w:history="1">
        <w:r>
          <w:rPr>
            <w:rFonts w:ascii="arial" w:eastAsia="arial" w:hAnsi="arial" w:cs="arial"/>
            <w:i/>
            <w:color w:val="0077CC"/>
            <w:sz w:val="20"/>
            <w:u w:val="single"/>
            <w:shd w:val="clear" w:color="auto" w:fill="FFFFFF"/>
            <w:lang w:val="en-US" w:eastAsia="en-US" w:bidi="ar-SA"/>
          </w:rPr>
          <w:t>[1997] B.C.J. No. 944</w:t>
        </w:r>
      </w:hyperlink>
      <w:r>
        <w:rPr>
          <w:rFonts w:ascii="arial" w:eastAsia="arial" w:hAnsi="arial" w:cs="arial"/>
          <w:color w:val="000000"/>
          <w:sz w:val="20"/>
          <w:lang w:val="en-US" w:eastAsia="en-US" w:bidi="ar-SA"/>
        </w:rPr>
        <w:t>, there is a difference between decisions by board officers directed to determining workers' entitlement to compensation and determinations under section 11. The former may be made on incomplete evidence or argument, but these possible deficiencies are subject to being cured by virtue of the right of appeal to the Review Board, and then to the Appeal Division. The latter are provided by the Appeal Division, involve full opportunity for the parties to provide evidence and argument, and are intended to provide a final determination for the Court. Once a legal action has been commenced, a request for a section 11 certificate may be made by any party to the action. A plaintiff has equal opportunity to request a certificate to ensure that this potential hurdle is removed before pursuing the legal action to trial. The determinations are made by the Appeal Division in the first instance, bypassing the normal processes for adjudication or appeal. Given the intended final and conclusive effect of a section 11 certificate, the Appeal Division attempts to ensure a high degree of procedural fairness to the parties in collecting evidence and submissions. The Appeal Division panel normally considers itself free to reach its own conclusions in a case, irrespective of a prior determination by a board officer.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Appeal Division functions on an inquiry, rather than an adversarial, basis. The Appeal Division will normally not rely on concessions or agreements by the parties as to an individual's status as being determinative. Where the parties are in agreement and the Appeal Division panel sees no flaw in this, it may be possible to reach a decision upon very limited inquiry. However, it will sometimes be necessary to reject positions to which all counsel have agreed, if the Appeal Division panel does not find it consistent with the panel's own assessment of the facts, law and policy. In making its decisions, an Appeal Division panel normally considers it has its own independent responsibility to determine the facts and to interpret the relevant law and policy so as to reach a conclusion which, in the view of the panel, best or most correctly represents the true status of the parties at the time of the events giving rise to the action.</w:t>
      </w:r>
    </w:p>
    <w:p>
      <w:pPr>
        <w:numPr>
          <w:numId w:val="2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context, the conduct of the parties subsequent to the date of the plaintiff's injury (or prior determinations of board officers) will generally not be relevant to the Appeal Division decision. Certainly, the Appeal Division will consider evidence and argument submitted by the parties as to the significance of the events on the date in question, but the parties' conduct subsequent to the date in question is generally not considered significant to the Appeal Division decision. Even if a party behaves badly or ignorantly subsequent to the events in question, can that retroactively change the status of the parties as it existed at the time of the events in question? Such conduct might well adversely affect the assessment of the party's credibility, in terms of ascertaining the facts, but would not generally affect the analysis and application of law and policy to the facts found to exist at the time of the events in question.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...Notwithstanding the unfortunate circumstances of this case, I am not persuaded I am bound to follow the 1996 decision of the director. While I have considered the authorities cited by plaintiff's counsel, I do not accept that the principles or doctrines involving cause of action estoppel, issue estoppel, reasonable expectation, res judicata, collateral attack, privity, or abuse of process apply so as to preclude the Appeal Division from addressing this application on the merits. I find persuasive the Court decisions which are expressly concerned with the WCB's jurisdiction to issue section 11 certificates. I find it significant that the "Mills" decision was not "final" in any sense, that it was open to the plaintiff to obtain a section 11 determination prior to the trial of the legal action, and that the findings of the jury include a further event (the motor-lifting incident) which was not addressed in the "Mills" decision. Accordingly, I will proceed to consider the evidence afresh, within the framework provided by the findings of fact by the 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found it appropriate, in issuing a certificate under section 11, to rehear the evidence afresh. I did not consider myself bound by the prior decision by a WCB director to disallow the plaintiff's claim for workers' compensation benefits. Decisions by board officers under section 5(1) of the Act are subject to appeal and are not intended to be final determinations for the purposes of a legal action. Section 11 provides a means for any party to an action to obtain a final determination of the parties' status, for the purposes of the legal action. In considering an application under section 11, the Appeal Division is not functus by reason of a prior decision of a board officer. I find that the inconsistent positions taken by the defendants adversely affect their credibility, but are not otherwise relevant to determining the parties' status at the time the cause of action arose. I found the defendants are not estopped from seeking a new decision in this application by virtue of their prior inconsistent positions. I am not persuaded that I must follow the 1996 director's decision, to avoid an abuse of process. I consider it significant, in this regard, that any party to the action had the opportunity to obtain a section 11 determination at any time after the action was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These passages summarize the extensive reasoning of the Appeal Division. It considered the various case authorities on the issues; the Reasons of McEwan and Humphries JJ.; the function, purpose and role of the WCB; and the nature and finality of the various rulings related to s. 5 claims of Mr. Davidson, including the Mills Decision, and the distinctions with a s. 11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terms of the petitioner's argument that the Appeal Division committed an error by determining that the abuse of process doctrines are inapplicable to proceedings before the WCB, I am of the opinion that the decisions do not support such a broad and general conclusion. Rather, a reading of the decision leads one to conclude that the Appeal Division actually held that it was not required to apply abuse of process doctrines to preclude a s. 11 determination. After taking into account the purpose and goal of worker's compensation legislation, and the inherent differences between decisions made under the Act as distinct from decisions made in the adversarial process of a tort claim, the Appeal Division concluded that a s. 11 determination of the status of a worker is central to workers' compensation legislation and is at the very heart of the WCB's mandate. It found that the purpose of a s. 11 application is to determine whether, at the time of injury, the worker was injured out of and in the course of employment due to the acts of an employer or other co-worker within the meaning of Part 1 of the Act. The relevant time frame for consideration of whether or not an injury is employment related is necessarily the time of injury. The Appeal Division recognized that post-injury conduct cannot alter the status of the worker at the time the injury was incurred. Further, the Appeal Division followed its past practice of considering s. 11 applications anew, notwithstanding any prior determination by a Board officer. The prior decisions of the claims adjudicator do not limit the Appeal Division's consideration of the issue in a s. 11 determination: Bourgeois, #92-0025 (WCB).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my view, the Appeal Division has the authority to make such an interpretation on the application of the specific provisions in question. Having considered the record before it, the Appeal Division concluded that it was not bound to follow the Mills Decision, and that it was not bound to apply the abuse of process doctrines. In my view, it was open to the Appeal Division to decline to apply the abuse of process doctrines, which would preclude it from embarking upon a determination which lies at the heart of its specialized and exclusive jurisdiction. It is clear that the forum for determining the status of the parties in a personal injury action, where there is a question as to the status of the plaintiff at the time of injury, is through a determination by the Appeal Division under s. 11. There is a rational basis for the decision it reached and I cannot find that the decision is openly, evidently and clearly unreasonable. Accordingly, the Appeal Division's refusal to accede to the petitioner's argument on this issue was not patently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Further, in regard to the application of the abuse of process as defined by the petitioner, the Appeal Division identifies the absence of a key prerequisite, that of finality. The petitioner submits that the Mills Decision should be treated as final. This was the third decision by staff members on the issue of entitlement to compensation. The review of the circumstances clearly supports the view that there was no finality. Section 5 rulings, such as the Mills Decision, arise out of a process that is continuous.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Michaud, supra, MacFarlane J.A. outlines the extensive and continuous nature of the s. 5 processes for compensation and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already commented on the alleged finality in the Act. In my opinion, there is none.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There is nothing under the Act which empowers s. 5 benefit entitlement provisions to displace the Appeal Division's authority under s. l1, nor is there any provision for permitting officers of the WCB to usurp the authority of the Appeal Division in s. 11 determinations. This is why, in my opinion, a s. 11 certification is so important and why the courts have consistently set out a caution to seek such a determination at the earliest stage: Dominion Canners Ltd., supra, and Canadian Pacific Limited.,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Further, even in the event that all of the preconditions for an estoppel have been met, it still remains a discretionary decision whether or not to apply the estoppel: Bugbusters Pest Management Inc., supra, and Danyluk, supra. The analysis of the Appeal Division, in my view, cannot be found to be patently unreasonable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terms of the application of legal authorities considered by the Appeal Division, which the petitioner argues are distinguishable, my own review indicates that the cases reviewed by the Appeal Division were relevant. I agree with the respondents on this point that the petitioner's argument amounts simply to an argument that his submissions ought to have been preferred and a different result concluded. I do not find a jurisdictional error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petitioner argues that the Appeal Division interpreted s. 99 in a patently unreasonable way offending the rules of natural justice. He points out that the phrase not only refers to the "merits" but also to the "justice" of the case. He argues that the conjoined words "and justice" requires a presumption in favour of the petitioner, particularly in this case given the evolving position of the employer, as well as the finding in the Mills Decision. I note, however, that the provision states also that where there is doubt, and the disputed possibilities are "evenly balanced", then the result is to fall in favour of the worker. In the instant case, this balance has not occurred. Rather, the Appeal Division has concluded on a balance of probabilities that Mr. Davidson was a worker who was injured in the course of his employment. I do not find this result to be patently unreasonable. I find this so particularly in light of counsel for the petitioner stating that Mr. Davidson has consistently maintained that his injuries arose out of the course of his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terms of the Appeal Division's understanding and interpretation of the Reasons of the trial judge, the petitioner argues that the Appeal Division misinterpreted or misunderstood the Reasons for Judgment of the trial judge. I do not find any such misdirection.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Given my findings in respect to the Morton Decision, it cannot be said that the Lane Decision was patently unreasonable in its conclusion that it was not established that the Appeal Division made an error of law going to jurisdiction as grounds for reconsideration.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Given the above, I find that the Appeal Division's rulings were not patently unreasonable. The change in positions of the employer in this case and the lateness of its original request for re-adjudication are unfortunate. However, they do not alter the conclusion that the WCB has the exclusive jurisdiction to make s. 11 determinations. Seeking such a certification was an option that was open to the petitioner at all relevant times. The election of the petitioner, who was represented by counsel, not to pursue a s. 11 certification appears to have been an informed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conclusion, there was a rational basis for the findings of the Appeal Division and the Reconsideration Panel and they have not been shown to be patently unreasonable, nor that there was an error of law going to jurisdiction. Thus, the s. 11 certification should stand and it follows that the petition of Mr. Davidson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MASUHARA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6" style="position:absolute;z-index:2517811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10"/>
          <w:headerReference w:type="default" r:id="rId511"/>
          <w:footerReference w:type="even" r:id="rId512"/>
          <w:footerReference w:type="default" r:id="rId513"/>
          <w:headerReference w:type="first" r:id="rId514"/>
          <w:footerReference w:type="first" r:id="rId51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16" w:history="1">
        <w:r>
          <w:rPr>
            <w:rFonts w:ascii="arial" w:eastAsia="arial" w:hAnsi="arial" w:cs="arial"/>
            <w:b/>
            <w:bCs/>
            <w:i/>
            <w:color w:val="0077CC"/>
            <w:kern w:val="32"/>
            <w:sz w:val="28"/>
            <w:szCs w:val="32"/>
            <w:u w:val="single"/>
            <w:shd w:val="clear" w:color="auto" w:fill="FFFFFF"/>
            <w:lang w:val="en-US" w:eastAsia="en-US" w:bidi="ar-SA"/>
          </w:rPr>
          <w:t>Elder v. McMullen, [2008] B.C.J. No. 1390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 Wedge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May 15,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S95188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1390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971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70 R.P.R. (4th) 277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CarswellBC 1532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168 A.C.W.S. (3d) 652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Nicole Mary Elder, Plaintiff, and Andrew McMullen,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7" style="position:absolute;z-index:251679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05" w:name="Keywords_2"/>
      <w:bookmarkEnd w:id="105"/>
      <w:r>
        <w:rPr>
          <w:rFonts w:ascii="arial" w:eastAsia="arial" w:hAnsi="arial" w:cs="arial"/>
          <w:b/>
          <w:color w:val="000000"/>
          <w:sz w:val="20"/>
          <w:lang w:val="en-US" w:eastAsia="en-US" w:bidi="ar-SA"/>
        </w:rPr>
        <w:t>Real property law — Interests in land — Equitable interests — Resulting trusts — Joint estates — Tenancies in common — Creation of — Application for order for partition and sale of property allowed — Parties held joint mortgage — Plaintiff had signed declaration of trust that she held interest in trust for defendant — Plaintiff alleged she had been pressured into signing — Defendant argued plaintiff had acted as guarantor out of friendship — Issues were nature of relationship when property had been acquired, and whether trust declaration was inoperative — Evidence established that intention of parties had been to purchase as co-owners — Each had equal beneficial interest — Declaration of trust inoperative because it had been obtained by undue influence.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06" w:name="Case Summary_1"/>
            <w:bookmarkEnd w:id="10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Elder for an order for the partition and sale of property. The parties had been in a relationship which had stopped in 1998, but was rekindled in 1999. The parties had applied jointly for a mortgage on a property in 2003. In 2004, Elder had signed a declaration of trust which stated that she was holding the one-half interest in the property in trust for McMullen. McMullen ended the relationship, and requested that Elder transfer back to him her registered interest in the property. McMullan contended that their relationship had not been intimate, while Elder held that the relationship had been a committed and intimate one. McMullan alleged that Elder had been holding the property for him in trust, and sought a declaration to that effect. McMullen contended that Elder had offered to act as guarantor of the mortgage out of friendship, and that all of the funds with the exception of the mortgage funds had been supplied by him. Elder held that she had not understood the nature of the declaration, stating that McMullen had said he would never use the documents against her, and she claimed undue influence exerted upon her. She claimed she believed that their relationship would be in jeopardy if she refused to sign.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07" w:name="Holdings of Court_1"/>
            <w:bookmarkEnd w:id="107"/>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issues to be resolved were the nature of the relationship of the parties at the time the property had been acquired and their intentions with respect to their shares in the property, and whether the trust declaration constituted a validly constituted trust and whether it was inoperative due to undue influence. The evidence had overwhelmingly pointed to the parties having an intimate relationship at the time they had purchased the property. The evidence established that the intention of the parties had been to purchase the property as co-owners, and each had an equal beneficial interest. The declaration of trust, even if it had been otherwise a validly constituted trust, was inoperative because it had been obtained by undue influence. Once the presumption of undue influence had been established, it was the onus of McMullen to rebut the presumption, and he offered no evidence to prove otherwise. The property was to be partitioned and sold, with the proceeds distributed in accordance with the parties' interests.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8" w:name="Legislation Cited_2"/>
      <w:bookmarkEnd w:id="10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98" style="position:absolute;z-index:2517309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Land Title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Partition of Property Act, </w:t>
      </w:r>
      <w:r>
        <w:rPr>
          <w:rFonts w:ascii="arial" w:eastAsia="arial" w:hAnsi="arial" w:cs="arial"/>
          <w:i/>
          <w:color w:val="000000"/>
          <w:sz w:val="20"/>
          <w:lang w:val="en-US" w:eastAsia="en-US" w:bidi="ar-SA"/>
        </w:rPr>
        <w:t>R.S.B.C. 1996, c. 347</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09" w:name="Counsel_20"/>
      <w:bookmarkEnd w:id="10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9" style="position:absolute;z-index:2517821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J.M. Richter.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R.W. Johnson.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0" w:name="Judgment_20"/>
      <w:bookmarkEnd w:id="110"/>
      <w:r>
        <w:pict>
          <v:line id="_x0000_s1100" style="position:absolute;z-index:251816960"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May 6, 209; the correction has been made to the text and the corrigendum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5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1" w:name="C.A. WEDGE J. (orally)"/>
            <w:bookmarkEnd w:id="111"/>
            <w:r>
              <w:rPr>
                <w:rFonts w:ascii="arial" w:eastAsia="arial" w:hAnsi="arial" w:cs="arial"/>
                <w:b/>
                <w:color w:val="000000"/>
                <w:sz w:val="30"/>
                <w:lang w:val="en-US" w:eastAsia="en-US" w:bidi="ar-SA"/>
              </w:rPr>
              <w:t>C.A. WEDGE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Nicole Elder, seeks an order for the partition and sale of a residential property located on Burrell Avenue in North Vancouver. The property is registered in the names of Nicole and the defendant, Andrew McMullen, as tenants in common. They purchased the property in October of 2003. Nicole and Andrew applied jointly for a mortgage to fund the acquisition of the property. According to the contract of purchase and sale, they were co-purchasers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However, Andrew asserts that Nicole holds her undivided one-half interest in the property in trust for him. He seeks by way of counterclaim a declaration that Nicole's one-half interest in the property is held in trust for him as the beneficial owner. Andrew bases his claim on a declaration of trust signed by Nicole in May of 2004 which states that she holds her one-half interest in the property in trust for Andrew. Nicole's position is that the declaration of trust is an invalidly constituted trust and, in any event, is inoperative because of undue influence exerted on her by Andrew.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There are two central issues in this case. The first issue is the nature of the relationship between the parties at the time the property was acquired and their intention at the time with respect to their beneficial shares in the property. The second issue is whether the trust declaration created a validly constituted trust and whether the trust, if otherwise validly constituted, is inoperative as a result of undue influence exerted by Andrew over Nicole at the time of the execution of the declaration.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There are a number of key facts that require determination. One is the nature of the relationship between Nicole and Andrew at the time they purchased the Burrell Avenue property. Another is whether Nicole and Andrew intended to purchase the property in both of their names. A third is whether Nicole signed the trust declaration as a result of her own full, free, and informed will. A great deal of evidence was led by both parties concerning those facts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Nicole and Andrew met in 1995 when Nicole was 16 years of age and Andrew was 20. They began dating. Their relationship continued until October of 1998. Nicole broke off the relationship because she wanted a more active social life than Andrew. She was interested in partying and frequenting bars, activities which no longer interested Andrew. Andrew was working full-time, often long hours. However, he was very upset when Nicole ended the relationship. A few months later, in February of 1999, Nicole brought Andrew a birthday card. They began spending time together once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One of the factual issues is whether Nicole and Andrew resumed their intimate relationship, or began spending time together as friends only. Andrew asserted that the two were never more than friends after their parting of ways in 1998. Nicole maintained that the two reconciled in February of 1999 and maintained a committed, intimate relationship until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After graduating from high school, Nicole took some post-secondary courses. She enrolled in a two-year financial management course at BCIT, completing one of those years. She then enrolled in a medical office assistant program at Sprott-Shaw College, obtaining her diploma in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Andrew worked for a seafood products company for several years after graduating from high school. He then began taking courses to obtain a refrigeration mechanic certification. He began working for a company known as B.C. Refrigeration in late 2000 or early 2001. From that point in time, Andrew spent a significant amount of time working outside of Vancouver. The company's owner was located in Kelowna and the majority of Andrew's time was spent in Kelowna and other communities where B.C. Refrigeration had obtained contracts. He routinely returned to Vancouver when he had time off or was working in an area close to Vancouver. He was sometimes in Vancouver for one week out of four. Other times he was away for longer periods of time, but then returned to Vancouver for correspondingly longer periods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Nicole worked as office manager in a medical office from 2001 to 2007 for Dr. J. Dantow. Dr. Dantow testified that he met Andrew in late 2001 or early 2002 and Nicole introduced Andrew to him as her boyfriend. Dr. Dantow was building a home in Kelowna in 2002 and recalled that Nicole came to Kelowna on several occasions to visit Andrew, who was working in Kelowna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Two of Nicole's friends testified to their observations of the relationship between Nicole and Andrew. Deborah Urquhart testified that she had known Andrew since 1994 and Nicole since 1995. She was dating one of Andrew's friends at the time she met Nicole and the two remained friends thereafter. In 2002, Deborah travelled with Nicole to visit Andrew in Kelowna. Deborah observed that Nicole and Andrew behaved as though they were in an intimate relationship and shared a bedroom.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Ashley Taylor has known Nicole for 20 years. Ashley dated a friend of Andrew's, Jack, from 1996 until his death in 2001. She testified that Nicole and Andrew parted ways in October of 1998, but reconciled a few months later. She said that between 1999 to 2001, Ashley and Jack spent a great deal of time with Nicole and Andrew. She observed them to be a couple in an intimate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the spring of 2002, Ashley and Nicole drove to Kelowna together to visit Andrew. She observed Andrew and Nicole sharing the same bedroom. She said she accidentally encountered them one morning while they were being physically intimate. During the visit, Andrew took Ashley and Nicole to look at a piece of property he was interested in purchasing. While walking around the property, Ashley said she heard Andrew describe to Nicole the kind of house he would like to build for himself and Nicole on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Nicole testified that after bringing Andrew a birthday card on February 13, 1999, she and Andrew once again resumed their intimate relationship. She did not see any other men, nor to her knowledge did Andrew see any other women. Nicole testified that when she and Andrew reconciled in February of 1999, Andrew's father said to her, "Whatever the differences are between you and Andrew, work them out, because you two belong together." Following their reconciliation, they spent all of their spare time together. The majority of their time was spent at Andrew's parents' house where Andrew was living. Andrew had a bedroom and sitting area in the basement. Nicole testified that on almost every occasion she was there visiting or watching TV with Andrew, Andrew's father came down at about 11:00 p.m. to say goodnight.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Andrew's father did not testify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Nicole testified that she travelled to Kelowna on four occasions in 2002 to stay with Andrew. On one occasion in the spring of 2002, she drove to Kelowna with Ashley Taylor. On another occasion, she drove with Deborah Urquhart. On a third occasion, in the early summer of 2002, she went by herself and spent a full week with Andrew. In late December of 2002, she and Andrew drove to Kelowna to stay with friends for New Year's Eve. They shared the guestroom and spent the evening bringing in the New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Nicole's cell phone records indicate that Nicole placed calls from Kelowna to Vancouver during the four periods of time she said she visited Andrew in Kelowna.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Nicole also testified that in 2001, Andrew offered to co-sign a $15,000 bank loan to enable Nicole to pay off her student loans, which carried far higher rates of interest than a regular bank loan. Ultimately, Andrew did co-sign the loan which enabled Nicole to consolidate and pay off the student loans. At about the same time, Andrew bought Nicole a cell phone. Nicole had a cell phone plan that permitted only a limited number of call minutes per day. According to Nicole, Andrew was unhappy because he was not able to speak with Nicole as frequently as he wished. As a result, he surprised her with the purchase of the cell phone.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Nicole's cell phone records from April 2001 to July 2005 were filed as exhibits in the proceedings. Those records indicate both outgoing and incoming calls between October 2001 and July 2005. On average, Nicole and Andrew spoke to each other 56 times per month for approximately six-and-a-half hours each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June 2003, Andrew told Nicole he wanted to buy a residential property in the Lower Mainland area. The venue of the 2010 Olympics was to be announced in July 2003 and acceptance of the Vancouver/Whistler bid was promising. Property values were rising and it was anticipated they would continue to rise. According to Nicole, Andrew proposed that they buy a property together - their first of many, he hoped. The plan was to find a residential property with a suite they could rent to help pay the mortgage. Andrew had some RRSP money that he could put toward the down payment, and his mother was prepared to give him an additional $18,000.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Nicole and Andrew required a real estate agent to help them with their property search. Nicole spoke to her mother, whose common-law partner, Rick Hagel, had a brother who was a realtor. His name was Mike Hagel. Nicole had never met Mike, but took his phone number from her mother and called him. She introduced herself and asked whether she and Andrew could meet with Mike to discuss their search for a residential property. Mike worked in the Langley area and agreed to meet with them. Nicole and Andrew met with Mike at an A&amp;W Restaurant in Langley one evening in late June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Mike Hagel testified about that meeting and all of his subsequent dealings with Andrew and Nicole. He has over 25 years experience in the real estate business. He confirmed that while his brother was in a common-law relationship with Nicole's mother, he had never met Nicole. He first met Nicole and Andrew at the A&amp;W in Langley. He advised them to obtain pre-approval for a mortgage in the amount they had hoped to borrow, even before they began looking at properties. They discussed the price range they thought they could manage. Mike told them he would obtain forms from a mortgage broker he often dealt with, a company called Equal Mortgages.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Mike Hagel testified that Andrew and Nicole told him they were interested in buying a house together. They appeared to be a couple, girlfriend and boyfriend. They were, in his words, "Jack and Jill." He understood they planned to co-sign the mortgage they obtained. For that reason, Mike Hagel told them to provide all of their financial information including their salaries, assets and liabilities. He faxed to Nicole a mortgage application form from the mortgage broker. One side of the form required the name and financial information of the borrower, the other side the same information from the co-borrower.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Andrew and Nicole filled out their respective parts of the form. Andrew disclosed his salary at $66,000 per year and Nicole disclosed hers at $36,000 per year. Based on the information they provided, Maple Trust pre-approved them for a mortgage in the amount of $387,450. A condition of the mortgage, which appears on the face of the pre-approval form and which Mike Hagel explained to Nicole and Andrew, was that they would occupy the property as their primary residence. Another condition of the mortgage, which also appears on the face of the form and which Mike Hagel testified he explained to them, was that they provide letters confirming their levels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It was put to Mike Hagel in cross-examination that he understood Andrew and Nicole were looking for a revenue property, not a property that would be their primary residence. Hagel disagreed with that suggestion. To his knowledge, the couple was looking for a property in which they would reside, but one that had a separate suite capable of generating revenue that could be applied to the mortgage. Hagel said that had they been looking for a revenue property, he would have provided them with mortgage application forms containing substantially different conditions than those contained in the residential mortgage application forms.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Mike Hagel was also adamant that he explained to Nicole and Andrew the conditions upon which the mortgage had been granted. He told them their signatures on the pre-approval application forms signified their agreement to the terms on which the mortgage would be granted, and that it would be fraudulent to sign unless they intended to comply with the conditions. The date of the Maple Trust mortgage pre-approval form was June 23, 2003. It describes the primary applicants as both Nicole and Andrew, and indicates that the application is based on both of their incomes. The form was signed by Nicole and Andrew on June 24,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After looking at a number of properties, it became evident to Nicole and Andrew that they required additional funds for closing costs. In August of 2003, Andrew's mother signed a gift declaration form verifying that she was gifting Andrew $18,000. The form was signed and dated August 1, 2003. During their search for the property, Nicole's mother gave Nicole a fax machine so that Mike Hagel could fax all of the new listings to her that might be of interest to her and Andrew. On September 17, 2003, Mike faxed Nicole a memorandum setting out scenarios concerning the levels of financing they might require. It was evident from the memorandum that Mike understood Nicole was a prospective purchaser of any property that might be acquired.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about the third week of September 2003, Andrew noticed a new listing of a property on Burrell Avenue in North Vancouver. Mike took Andrew, who happened to be in Vancouver at the time, to see the property. Nicole was at work and did not attend. Andrew liked the property very much. Mike advised Andrew they should act quickly because the property would attract a great deal of interest given the asking price. Andrew called Nicole and told her he wanted to place an offer on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the evening of September 23, 2003, Andrew and Nicole met Mike Hagel at the Royal LePage Real Estate office in North Vancouver. They drove in Mike Hagel's vehicle to the home of the vendor. Mike Hagel had done a competitive analysis of comparable properties listed in the area to give Nicole and Andrew a sense of the range within which their offer should fall. He had also typed the offer of purchase and sale on the standard form of the Real Estate Board of Greater Vancouver, leaving blank the amount of the offer until he had discussed it with them. The property was listed at $479,000. Nicole and Andrew had decided to make an original offer of $454,500.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Mike Hagel testified that he went over the entire contract with them, explaining its terms. The contract identified the purchasers as Andrew and Nicole. Mike then provided the offer to the realtor for the vendor, who was in the vendor's house. Nicole and Andrew sat in Mike Hagel's vehicle, waiting for a response. A counter offer came back soon thereafter at $474,000. Andrew and Nicole made a further counter offer of $469,000. Both of them initialled all changes that were required and initialled each page of the contract. Both signed the contract as purchasers. Their counter offer was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home consisted of a three-bedroom main floor and a three-bedroom suite on the lower or ground floor. The main floor was tenanted at the time. The ground floor was not. An addendum to the contract indicated that the tenancy of the main floor was month to month. The contract stipulated a subject removal date of October 1, 2003, and a completion date of October 14,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 September 24, 2003, Maple Trust prepared a mortgage reflecting the basic loan amount of $445,550 and an insurance premium of $14,480.37. The total amount of the mortgage was $460,030.37. The interest rate was 4.5 percent. Monthly payments were in the amount of $2,807.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Once again, a term of the mortgage was owner occupancy of the property. Nicole and Andrew had agreed that Nicole would occupy the ground-floor suite and the tenant would continue to occupy the main floor. Andrew was still living primarily in Kelowna, but had his mail forwarded to the Burrell Avenue property. Having used Andrew's RRSP funds as part of the down payment, Andrew and Nicole were required to live in the house for at least one year. In their view, Nicole's tenancy would fulfil that requirement. The loan amount for the purchase was $445,000 or approximately 95 percent of the purchase price. The other five percent was provided by Andrew.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Andrew and Nicole required a solicitor to act for them on the purchase. Nicole's mother, who was employed as a legal secretary, gave Nicole the name of a conveyancing solicitor who had worked for the firm with whom she had been previously employed. His name was Dirk De Vuyst. Nicole's mother had no other connection to De Vuyst. Nicole gave his name to Mike Hagel who forwarded all of the documentation to De Vuyst's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October 7, 2003, Andrew and Nicole attended at De Vuyst's office to sign the documentation he had prepared for them. They both signed the mortgage documents and the mortgage disclosure statement. The latter document clearly indicated that both Andrew and Nicole were borrowers. The signatures were witnessed by De Vuyst. Both Andrew and Nicole signed a Maple Trust pre-authorizing chequing form authorizing the mortgage company to debit their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They both signed the </w:t>
      </w:r>
      <w:r>
        <w:rPr>
          <w:rFonts w:ascii="arial" w:eastAsia="arial" w:hAnsi="arial" w:cs="arial"/>
          <w:b/>
          <w:i/>
          <w:color w:val="000000"/>
          <w:sz w:val="20"/>
          <w:lang w:val="en-US" w:eastAsia="en-US" w:bidi="ar-SA"/>
        </w:rPr>
        <w:t>Land Title Act</w:t>
      </w:r>
      <w:r>
        <w:rPr>
          <w:rFonts w:ascii="arial" w:eastAsia="arial" w:hAnsi="arial" w:cs="arial"/>
          <w:color w:val="000000"/>
          <w:sz w:val="20"/>
          <w:lang w:val="en-US" w:eastAsia="en-US" w:bidi="ar-SA"/>
        </w:rPr>
        <w:t xml:space="preserve"> Form A Freehold Transfer which states that Andrew and Nicole hold title to the property as tenants in common. They also signed the Form B indicating that they were both mortgagors. Both of them signed a "consent to act" form with respect to the mortgage. De Vuyst also provided them with the purchaser's statement of adjustments which indicates that both Andrew and Nicole are purchasers of the property. Both signed that document. Both signed the property transfer tax return. Both signed a statutory declaration indicating that they were the registered owners of the property and that it would be occupied by them as their principal residence. Finally, both signed an authority to pay the net mortgage advance.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On October 6, 2003, the day before they attended at De Vuyst's office, both Andrew and Nicole attended at a B.C. Automobile Association office in North Vancouver to obtain insurance on their new property. The named insured persons on the policy are both Andrew and Nicole. Both signed the policy. They also attended together at the Royal Bank on Lynn Valley Road in North Vancouver to open a joint mortgage account. The account was only to be used for the monthly mortgage payments, utilities, insurance, and any other incidental expenses arising from the Burrell Avenue property. The account required the signature of either Andrew or Nicole, but not both.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When the purchase completed on October 14, 2003, Nicole moved into the ground-floor suite of the house. The rent from the main floor tenant was $1,575 which was applied against the monthly mortgage payment of $2,807. Nicole and Andrew split the balance of the mortgage payment at $616 each per month. Nicole and the tenant split the cost of utilities. Nicole and Andrew split the cost of the house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week before Nicole moved into the ground-floor suite, Nicole, her mother, Helen Elder, and partner, Rick Hagel, did some renovations to the living room. They removed the old wainscoting, applied new drywall to the entire room and painted it. After she moved into the suite, Nicole took responsibility for collecting the rent cheques from the tenant and preparing a new residential tenancy agreement for his signature. Andrew was still spending the majority of his time in Kelowna and travelling in the course of his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late December 2003, Andrew took a trip to Mexico with a friend of his named Rob. The two of them had taken such trips in the past. Nicole was working and could not afford to take an extended vacation of that nature. Andrew returned on the 11th or 12th of January, 2004. Following his return, the relationship became strained. Nicole did not know that while in Mexico, Andrew had met a woman with whom he had become romantically involved. Andrew did not tell Nicole about the woman upon his return, nor did he tell Nicole when he took a trip to Las Vegas with the woman in February of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Nicole's perception was that Andrew was becoming increasingly distant. On Andrew's birthday, February 13, 2004, Nicole gave Andrew a birthday card in which she wrote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wish you the happiest birthday possible. I wish for you health and happiness always and in the future maybe I can be a part of it?! Love always and forever, Nicole.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Nicole's evidence was that the message on the card was a reflection of her growing apprehension about Andrew's distant behaviour.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Without Nicole's knowledge, Andrew spent the Easter weekend with the woman he had met in Mexico. In late April, Andrew telephoned Nicole to say he wanted a "break" from the relationship to "sort out his life". A few days later, he called again and asked for a copy of the documents pertaining to the ownership of the Burrell Avenue property. A copy of the documents had been forwarded to Burrell Avenue, but Andrew apparently did not have a copy in his possession. Nicole provided the documents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Prior to that time, the only discussion they had about the ownership of the property had occurred shortly after Andrew returned from Mexico in January. At that time, he raised the issue of what their respective interests in the property should be in the event that things did not work out between them. Nicole said he suggested a 90-percent interest in his favour and a 10-percent interest in 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Nicole's response was non-committal. As far as she was concerned, they were still a couple, and their respective ownership of the property was not an issue. After she provided Andrew with the documents, however, he called her in an angry state. According to Nicole, Andrew told her he had seen a lawyer, Mr. Jon Ardagh, about the documents and that Ardagh had told him Nicole could "screw him every which way" as a result of their joint ownership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At some point during these discussions, Nicole's mother, Helen Elder, took it upon herself to prepare a draft agreement between Andrew and Nicole formalizing the arrangements between them. She used a precedent from her work. The draft agreement recognized that Andrew had provided the funds for the down payment toward the property and that the outstanding principal amount of the mortgage was $460,030.37. The agreement contemplated that Andrew and Nicole would be registered as joint tenants on title, but that if Andrew predeceased Nicole and the two were not married at the time, Nicole would sell the property and distribute 90 percent of the net proceeds of the sale to Andrew's parents. In the event Nicole predeceased Andrew and they were not married at the time, Andrew would sell the property and distribute 10 percent of the proceeds to Nicole's parents, retaining the other 90 percent for his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Helen Elder also drew up draft wills for Nicole and Andrew that mirrored the terms of each other. Essentially, the wills provided that if Andrew and Nicole held the property as joint tenants and were not husband and wife at the time of the death of one of them, the property would be sold and proceeds distributed in the manner contemplated by the draft agreement. Helen Elder gave the draft documents to Nicole to provide to Andrew for his review and consideration. Andrew provided the draft documents to Ardagh.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Andrew's recollection was that he received both the documents concerning title to the property and the draft documents prepared by Helen Elder at the same time. Andrew said that it was only after he gave the package of documents to Ardagh that he was advised Nicole was a registered co-owner of the property. According to Andrew, that information surprised and dismayed him. However, he was told that to remove Nicole from title would trigger significant tax consequences.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According to Andrew, Ardagh's proposed solution to the problem was a declaration of trust signed by Nicole transferring her interest to Andrew should he request that she do so. Andrew understood that the effect of the declaration of trust was to avoid having to pay property purchase tax on Nicole's one-half interest in the property. Andrew said he also understood from Ardagh that the trust declaration would restore him to the position of sole owner of the property, which had been his intention from the outset. According to Andrew, he contacted Nicole and told her his lawyer had drafted some documents for her signature which would resolve the tax problem. He said Nicole was agreeable to signing the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Nicole testified that Andrew told her the manner in which title to the property was held could be a significant risk to Andrew if Nicole chose to "screw him." He said he had provided money for the down payment, yet she was in a position to take advantage of him. Nicole said that Andrew told her he needed reassurance that Nicole would not take advantage of him, and trusted him enough to sign the property over to him. She could provide that reassurance by signing the documents prepared by his lawyer. According to Nicole, Andrew promised her he would never actually "use the documents against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documents Ardagh had drafted were a trust declaration and power of attorney. Pursuant to the trust declaration, Nicole declared that her undivided one-half interest in the property was held in trust for Andrew and that she had no interest in the property other than as bare trustee. The trust declaration also provided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Nicole irrevocably directs the transfer of legal title to the property to Andrew as and when Andrew shall so demand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final paragraph of the trust declaration states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Dated at North Vancouver, effective as of the 9th day of October,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Andrew testified that he attended at Ardagh's office a total of four or five times. Andrew's mother, Joyce McMullen, testified that she attended Ardagh's office with Andrew on two occasions. According to Joyce McMullen, Andrew retained Ardagh entirely on his own. She had no previous dealings with the lawyer. Nicole was not at any time invited to meet or speak with Mr. Ardagh.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Andrew claimed solicitor-client privilege over all discussions with Ardagh and declined to waive the privilege. Joyce McMullen could not claim privilege because she was not the client. Counsel for Nicole asked Joyce McMullen whether Mr. Ardagh had told her and Andrew that Nicole should be advised to seek independent legal advice before being asked to sign the trust declaration. Joyce McMullen refused repeatedly to answer the question until directed by the court to do so. At that point, Mrs. McMullen said she did not recall whether Mr. Ardagh had given such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any event, Andrew did not tell Nicole that she ought to seek legal advice about the documents. He did not provide her with a copy of the documents to review. He simply told her to attend at the office of a notary public in North Vancouver on May 10, 2004, to sign the documents Mr. Ardagh had prepared.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Nicole complied with Andrew's request. Her evidence was she felt the relationship would be in jeopardy if she did not agree to sign the documents. Further, Andrew had promised her he would never actually use them to take control of the property. He simply needed reassurance that Nicole could be trusted and that Nicole trusted him. When Nicole arrived at the notary's office, she saw Andrew's mother sitting in the car parked on the street. She went into the office and sat across the desk from the notary who provided her with documents to sign. The notary made clear she could not provide legal advice, but asked Nicole if she understood she was transferring her interest in the property to Andrew. Nicole answered in the affirmative. According to Nicole, Andrew was seated beside her at the desk. According to Andrew, he was standing about 10 feet away on the other side of a small partition separating the notary's desk from the hallway. In either event, Andrew was close by throughout Nicole's dealings with the notary.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Nicole signed the declaration of trust and a power of attorney in favour of Andrew with respect to any dealings with the Burrell Avenue property. Nicole also signed a waiver confirming that the notary had recommended Nicole obtain independent legal advice and that the notary had not given any legal advice. Curiously, the waiver is dated May 14, 2004, although Nicole attended the notary's office only once, on May 10. Nicole was not provided with copies of any of the documents she had signed.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While Nicole was at the notary's office on May 10, and before she signed the trust declaration, the notary raised the issue of the October 9, 2003, date on the trust declaration. Nicole did not understand the significance of the date because she had not drafted the documents or spoken with Ardagh. Nor did Andrew understand why the trust declaration had been was backdated. His evidence was that he suggested he go to Ardagh's office to raise the issue with him. He said he did not phone Ardagh because he thought Ardagh may be required to prepare a new document with the actual date of May 10, 2004. Because his mother was waiting in the car outside, he asked her to drive him to Ardagh's office. He spoke to Ardagh, who apparently assured him that the backdating of the trust declaration was deliberate and reflected the approximate date on which the parties purchased the property. Andrew then returned to the notary's office and told the notary the dating of the document was deliberate. There was no evidence to suggest that either Nicole or the notary was told why the document bore the date of October 9,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Nicole's evidence was that while she understood she was "signing over her interest in the property to Andrew," she did not know what a declaration of trust was and did not know what the term "bare trustee" meant. She did not know why the document bore the date it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Andrew's evidence was that he did not fully understand the nature and effect of the trust declaration. He understood only that he would be placed in the same position as if Nicole had not been placed on title as co-owner in October of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Nicole testified that in about July of 2004, Andrew told her it would be best if they were simply good friends. The relationship had not been going well for some months. Nicole agreed. She continued to live in the Burrell Avenue suite until November 2004. At that time, the one-year owner occupancy condition had been fulfilled. Nicole moved to an apartment in North Vancouver. After Nicole moved, the ground-floor suite was tenanted. The revenue generated by both suites was more than sufficient to cover the monthly mortgage payment. The evidence was that at the time of trial the mortgage had been reduced by approximately $40,000 as a result of the rental revenue generated by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Shortly after Nicole moved in November of 2004, she discovered that Andrew was dating a woman he had met in Mexico in January of 2004. Nicole had been called by the new tenant in the ground-floor suite about the smell of gas. She tried to contact Andrew, but could not reach him. She went looking for him, and discovered him preparing for a date with the woman he had met in Mexico.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October of 2005, Nicole learned that Andrew had married the woman he met in Mexico. She became concerned about her interest in the Burrell Avenue property and contacted legal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This action was commenced within weeks of that meeting with counsel. After being served with the writ, Andrew, through his counsel, wrote to Nicole requesting that she transfer back to Andrew her registered interest in the property. The letter enclosed a Form A land transfer under the </w:t>
      </w:r>
      <w:r>
        <w:rPr>
          <w:rFonts w:ascii="arial" w:eastAsia="arial" w:hAnsi="arial" w:cs="arial"/>
          <w:b/>
          <w:i/>
          <w:color w:val="000000"/>
          <w:sz w:val="20"/>
          <w:lang w:val="en-US" w:eastAsia="en-US" w:bidi="ar-SA"/>
        </w:rPr>
        <w:t>Land Title Act</w:t>
      </w:r>
      <w:r>
        <w:rPr>
          <w:rFonts w:ascii="arial" w:eastAsia="arial" w:hAnsi="arial" w:cs="arial"/>
          <w:color w:val="000000"/>
          <w:sz w:val="20"/>
          <w:lang w:val="en-US" w:eastAsia="en-US" w:bidi="ar-SA"/>
        </w:rPr>
        <w:t>. On the advice of her solicitor, Nicole did not respond to the letter or sign the Form A transfer. The Form A has never been signed and the property remains in the names of both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The statement of claim alleges that the parties were in an intimate relationship between 1995 and 2004 and purchased the Burrell Avenue property together as legal owners. It alleges that Nicole did not receive legal advice before executing the trust declaration and did not understand its nature and legal effect. It is also alleged that Nicole was unduly influenced by Andrew to execute the trust declaration. The relief sought includes a declaration that the trust declaration is inoperative or invalid, a declaration that Nicole has a legal and equitable interest in fee simple in the Burrell Avenue property, an order that the property be partitioned and sold pursuant to the </w:t>
      </w:r>
      <w:r>
        <w:rPr>
          <w:rFonts w:ascii="arial" w:eastAsia="arial" w:hAnsi="arial" w:cs="arial"/>
          <w:b/>
          <w:i/>
          <w:color w:val="000000"/>
          <w:sz w:val="20"/>
          <w:lang w:val="en-US" w:eastAsia="en-US" w:bidi="ar-SA"/>
        </w:rPr>
        <w:t>Partition of Property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347</w:t>
      </w:r>
      <w:r>
        <w:rPr>
          <w:rFonts w:ascii="arial" w:eastAsia="arial" w:hAnsi="arial" w:cs="arial"/>
          <w:color w:val="000000"/>
          <w:sz w:val="20"/>
          <w:lang w:val="en-US" w:eastAsia="en-US" w:bidi="ar-SA"/>
        </w:rPr>
        <w:t>, and an order that the proceeds of sale be equally distributed or held in trust pending determination of the parties' respective entitlement.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statement of defence alleges that after October 1998, the parties no longer had an intimate relationship and enjoyed only a friendship. It alleges further that although the property was purchased in the name of both parties, all of the funds, with the exception of the mortgage funds, were supplied by Andrew. Paragraph 4 of the statement of defence states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order for the defendant to qualify for sufficient mortgage funds to purchase the property, the defendant requested the plaintiff to co-sign an application for a mortgage loan with Maple Trust which she agreed to do in or about June 2003. No agreement was ever made between the parties that the plaintiff was to have any form of beneficial interest in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Andrew also filed a counterclaim seeking, among other things, a declaration that the trust declaration is valid and binding on Nicole as trustee for Andrew, a declaration that Nicole has no beneficial or equitable interest in the property, and an order directing that Nicole, as trustee, execute and deliver to Andrew a </w:t>
      </w:r>
      <w:r>
        <w:rPr>
          <w:rFonts w:ascii="arial" w:eastAsia="arial" w:hAnsi="arial" w:cs="arial"/>
          <w:b/>
          <w:i/>
          <w:color w:val="000000"/>
          <w:sz w:val="20"/>
          <w:lang w:val="en-US" w:eastAsia="en-US" w:bidi="ar-SA"/>
        </w:rPr>
        <w:t>Land Title Act</w:t>
      </w:r>
      <w:r>
        <w:rPr>
          <w:rFonts w:ascii="arial" w:eastAsia="arial" w:hAnsi="arial" w:cs="arial"/>
          <w:color w:val="000000"/>
          <w:sz w:val="20"/>
          <w:lang w:val="en-US" w:eastAsia="en-US" w:bidi="ar-SA"/>
        </w:rPr>
        <w:t xml:space="preserve"> Form A transfer transferring her registered interest in the property to Andrew. The statement of defence does not allege mistake or seek rectification. It does not allege misrepresentation by the solicitor who handled the conveyance or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However, Andrew's position at trial was that Nicole, as an act of friendship, had offered to act as a guarantor of the mortgage on the Burrell Avenue property. His evidence was that he at no time understood that Nicole was a co-mortgagor or co-owner of the property. He said he discovered that Nicole was both a co-mortgagor and registered owner only when he took the relevant documents to his solicitor in April of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nature of the relationship between Nicole and Andrew is significant because it goes to the intention of the parties when they bought the property in October of 2003. Nicole's position is that they had been in an intimate relationship for nine years, with the exception of the four or five-month separation, and dreamed of owning property together where they could live and raise a family. The intention of both when they bought the Burrell Avenue property, said Nicole, was that this would be their first home and an investment toward a life together. It was never her intention to act as a guarantor, nor had Andrew asked her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It bears repeating that the statement of defence alleges that Andrew asked Nicole to be a co-signatory of the mortgage in order to enable him to qualify for sufficient mortgage funds to purchase the property, and that she agreed to do so. As I have noted, at trial Andrew's evidence was that he did not intend to have Nicole sign as co-mortgagor and was not aware she had done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What, then, was the nature of the relationship between the parties at the time? In my respectful view, the evidence is overwhelming that Nicole and Andrew were in an intimate relationship at the time they purchased the property and had been in such a relationship for almost nine years. In his examination for discovery, before Nicole's cell phone records were produced, Andrew's evidence was that he and Nicole spoke only occasionally after October of 1998 when, according to Andrew, the intimate relationship 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However, the cell phone records significantly undermine that assertion. Between 2000 and 2004, Nicole and Andrew spoke, on average, 56 times per month. Many of the calls originated from Andrew. In the years 2002 and 2003, they spoke several times a day most days, sometimes as frequently as five or six or seven times each day. Often the calls were very late at night and very lengthy.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Andrew's mother testified that Andrew and Nicole were merely friends after 1998 and that to her knowledge they did not speak frequently. Yet Andrew was living with his parents and there was only one phone line. In my view, it would be very difficult to overlook the number of phone calls made between the parties during those years. Andrew's mother was asked whether to her knowledge Andrew had a relationship with any other woman between 1999 and 2004. She conceded that to her knowledge, he did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Andrew denied that Nicole visited him in Kelowna more than twice in 2002. He denied the visit in late June, 2002, and the New Year's Eve visit. Once again, the cell phone records undermine that assertion and support Nicole's evidence. Andrew denied that the two visits by Nicole in the spring of 2002 were anything other than visits by a friend. Yet the photographs taken of the couple by Nicole's friends, Deborah and Ashley, portray an intimate relationship and support their evidence that they witnessed other indications of an intimate relationship during their visit.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Although Mike Hagel is the brother of Helen Elder's common-law spouse, he had never met Nicole before June of 2003 when she contacted him. I accept that Mike Hagel was, despite the connection to Helen Elder, an independent witness. His evidence was not designed to assist Nicole. It was supported by all of the documentation created at the time. He observed a young couple that was looking to purchase their first property together and a young couple that was very excited when the offer on the Burrell Avenue property was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Andrew did not simply sign one or two documents which clearly described Nicole as co-mortgagor and co-owner of the property. He signed seven or eight such documents. While the mortgage document and contract of purchase and sale are arguably lengthy documents with a great deal of fine print, the purchaser statement of adjustment clearly denotes both parties as purchasers and is quite straight forward. Just as straight forward is the statutory declaration both parties swore acknowledging that they were both registered owners of the property and intended to occupy it as their principal residence. The statutory declaration was taken by De Vuyst who prepared all of the other documentation.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Andrew is a qualified refrigeration mechanic. To obtain his certification, he was required to complete a five-year apprenticeship including four blocks of in-school training. Refrigeration mechanics must be familiar with electrical codes, troubleshoot complex electrical circuits, have extensive knowledge of control systems and compressors, pneumatic control systems, and a variety of refrigeration systems. They must hold a Class B gasfitter's licence. There are stringent and complex safety issues involved in the work that would require decent reading skills.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It was Andrew who asserted that De Vuyst did not explain any of the documents to him before presenting them for Andrew's signature, yet Andrew did not call De Vuyst as a witness. No claim of solicitor-client privilege was made, nor as a matter of law, could any such claim of privilege be made. Andrew has made no claim of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Although Andrew asserted he did not understand the nature of the documents, neither mistake nor </w:t>
      </w:r>
      <w:r>
        <w:rPr>
          <w:rFonts w:ascii="arial" w:eastAsia="arial" w:hAnsi="arial" w:cs="arial"/>
          <w:i/>
          <w:color w:val="000000"/>
          <w:sz w:val="20"/>
          <w:lang w:val="en-US" w:eastAsia="en-US" w:bidi="ar-SA"/>
        </w:rPr>
        <w:t>non es factum</w:t>
      </w:r>
      <w:r>
        <w:rPr>
          <w:rFonts w:ascii="arial" w:eastAsia="arial" w:hAnsi="arial" w:cs="arial"/>
          <w:color w:val="000000"/>
          <w:sz w:val="20"/>
          <w:lang w:val="en-US" w:eastAsia="en-US" w:bidi="ar-SA"/>
        </w:rPr>
        <w:t xml:space="preserve"> was pled.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It is telling, in my view, that Andrew expressed no concern about the manner in which the property was registered until the relationship with the woman he met in Mexico became a serious one. It is also telling that Andrew at no time told Nicole about the relationship. If he and Nicole were merely friends, and if his understanding was that Nicole was merely a guarantor, one must ask why he hid the fact that he had met someone else in January of 2004. The inescapable inference is he did not want Nicole to discover the relationship until he could take steps to ensure that Nicole could not assert any claim to an interest in the property. I infer that Andrew knew Nicole would take precisely the steps she did in October 2005 when she discovered Andrew had married the woman he met in Mexico. She revoked the power of attorney and refused to sign the Form A transferring the property to Andrew.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On examination for discovery, Andrew denied suggesting to Nicole a 90/10 split in the ownership of the property. At trial, he said he may have mentioned the concept in a conversation with Nicole about obtaining a roommate to defray his $616-per-month contribution to the mortgage. I cannot accept that evidence. It is more consistent with the preponderance of evidence and the surrounding circumstances that Andrew raised the 90-percent/10-percent split in one of the conversations with Nicole preceding the meeting of May 10, 2004, in the notary's office. I accept Nicole's evidence that he raised it after his trip to Mexico, and in the context of his comment to her that as he had provided funds for the down payment, he was entitled to most of the ownership in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also accept that Nicole did not agree with Andrew's suggestion. It did, however, become the basis for the draft agreements provided by Helen Elder. The premise underlying the document drafted by Helen Elder was that in the event Andrew and Nicole did not eventually marry, and either of them died, the property would be sold and most of the proceeds of the sale would go to Andrew's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evidence establishes that the intention of the parties in October of 2003 was to purchase the property as co-owners. It was an intention they had discussed as early as 2002 and which crystallized when they began looking for property in June 2003. These were individuals who were on the phone several times each day. Andrew co-signed her student debts and bought her a cell phone. He left to Nicole the logistical decisions concerning realtors and solicitors. Not one or two, but seven or eight documents were co-signed by them clearly indicating they were both co-mortgagors and co-owners. They attended the bank together to open a joint mortgage account and attended at BCCA to obtain property insurance in both their names.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They evenly split the debt owed on the mortgage after revenue from the tenanted portion of the house was applied to the mortgage. Andrew understood he could use his RRSPs to put a down payment on the house, but only if it was owner-occupied for the first year. This was not intended to be a revenue property for Andrew. It was intended to be a property for the two of them. I conclude that Andrew attempted to deny the nature of the relationship with Nicole even in the face of the overwhelming evidence to the contrary because he understood its significance to the true intention of the parties when they purchased the property together in October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What, then, is the significance in law of their mutual intention to co-own the property when they purchased it in October 2003? Andrew did not plead resulting trust, but asserted there was no agreement between the parties that Nicole's interest in the property was a beneficial interest. However, if the evidence establishes a clear intention to hold title to the property as equal beneficial owners, then the presumption of resulting trust in favour in Andrew does not arise despite the fact that Andrew provided the initial down payment for the property. Counsel for Andrew conceded in final argument that if the court found as a fact that the parties intended to purchase the property as co-owners, then Andrew did not gift a one-half interest in the property to Nicole. That is because Nicole provided consideration for the purchase by co-signing the mortgage and using her income to obtain a mortgage sufficiently large to enable the purchase of the property. The down payment that Andrew was capable of providing was very small. It amounted to five percent of the purchase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debt on this property was highly leveraged. Nicole, as co-mortgagor, effectively advanced approximately $230,000 towards the purchase of the property. She was bound by her personal covenant should the parties default payment. The risks and obligations of a $460,000 mortgage were significant. By signing on as co-mortgagor, Nicole effectively provided funds for the purchase of the property. Having used her income to qualify the mortgage, Nicole was unable to qualify for a mortgage in 2006 when she sought to purchase a property of her own. She lost her first-time homebuyer's exemption for a property purchase tax. Nicole contributed to the annual purchase property tax and paid one half of the mortgage shortfall in the first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The case of </w:t>
      </w:r>
      <w:r>
        <w:rPr>
          <w:rFonts w:ascii="arial" w:eastAsia="arial" w:hAnsi="arial" w:cs="arial"/>
          <w:b/>
          <w:i/>
          <w:color w:val="000000"/>
          <w:sz w:val="20"/>
          <w:lang w:val="en-US" w:eastAsia="en-US" w:bidi="ar-SA"/>
        </w:rPr>
        <w:t>Ruff v. Strobel</w:t>
      </w:r>
      <w:r>
        <w:rPr>
          <w:rFonts w:ascii="arial" w:eastAsia="arial" w:hAnsi="arial" w:cs="arial"/>
          <w:color w:val="000000"/>
          <w:sz w:val="20"/>
          <w:lang w:val="en-US" w:eastAsia="en-US" w:bidi="ar-SA"/>
        </w:rPr>
        <w:t xml:space="preserve"> </w:t>
      </w:r>
      <w:hyperlink r:id="rId517" w:history="1">
        <w:r>
          <w:rPr>
            <w:rFonts w:ascii="arial" w:eastAsia="arial" w:hAnsi="arial" w:cs="arial"/>
            <w:i/>
            <w:color w:val="0077CC"/>
            <w:sz w:val="20"/>
            <w:u w:val="single"/>
            <w:shd w:val="clear" w:color="auto" w:fill="FFFFFF"/>
            <w:lang w:val="en-US" w:eastAsia="en-US" w:bidi="ar-SA"/>
          </w:rPr>
          <w:t>(1978), 86 D.L.R. (3d) 284</w:t>
        </w:r>
      </w:hyperlink>
      <w:r>
        <w:rPr>
          <w:rFonts w:ascii="arial" w:eastAsia="arial" w:hAnsi="arial" w:cs="arial"/>
          <w:color w:val="000000"/>
          <w:sz w:val="20"/>
          <w:lang w:val="en-US" w:eastAsia="en-US" w:bidi="ar-SA"/>
        </w:rPr>
        <w:t>, is on point. In that case, the Alberta Court of Appeal considered the issue of the beneficial interest of the parties in a townhouse that was registered in the names of the parties as joint tenants. The appellant and respondent were not married, but were in an intimate relationship. The respondent was separated and living apart from her husband when she met the appellant. They began living together and approximately three months later purchased a townhouse together. The respondent paid $1,100 toward the purchase price of $33,700. The respondent and appellant obtained approval for a mortgage of $32,000 and co-signed the mortgage. They shared equally the monthly mortgage payments. Only a few months after purchasing the townhouse, the parties separated and the appellant left the townhouse. The respondent then became solely responsible for the mortgage payments. At the time of trial, the townhouse was worth $46,000. The appellant sought to have the property sold and the proceeds divided equally between them taking into account the respondent's initial down 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The first question for the court was whether, on those facts, there was a resulting trust in favour of the respondent who had advanced the funds for the down payment. The court began with the principle articulated in the "Doctrine of Resulting Trust," an article authored by Professor Waters in </w:t>
      </w:r>
      <w:r>
        <w:rPr>
          <w:rFonts w:ascii="arial" w:eastAsia="arial" w:hAnsi="arial" w:cs="arial"/>
          <w:i/>
          <w:color w:val="000000"/>
          <w:sz w:val="20"/>
          <w:lang w:val="en-US" w:eastAsia="en-US" w:bidi="ar-SA"/>
        </w:rPr>
        <w:t>16 McGill Law Journal</w:t>
      </w:r>
      <w:r>
        <w:rPr>
          <w:rFonts w:ascii="arial" w:eastAsia="arial" w:hAnsi="arial" w:cs="arial"/>
          <w:color w:val="000000"/>
          <w:sz w:val="20"/>
          <w:lang w:val="en-US" w:eastAsia="en-US" w:bidi="ar-SA"/>
        </w:rPr>
        <w:t xml:space="preserve"> at page 199, in which the learned author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Since Equity assumes bargains, and not gifts, he who has title gratuitously put into his name must prove that a gift was intended. In the case of purchase by one person taking title in the name of another, the resulting trust produces this effect, namely, of putting the onus of proof of a gift upon the transferee. It is not enough for the transferee to show that the transfer was 'complete and perfect', in the sense that the transferee is fully vested with title to the property, he must also show that a gift was intended.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court then went on to say the following at paragraph 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Two important principles must now be examined: (1) The nature of the conveyance is to be determined as at the time of the transaction. (2) The common intention of the parties at the time of the transaction determines their beneficial shares therein.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With respect to the first principle, the court emphasized that the nature of the transaction, once established at the time of the transaction, is not changed by a subsequent change in the relationship between the parties. In support of this principle, the court cited </w:t>
      </w:r>
      <w:r>
        <w:rPr>
          <w:rFonts w:ascii="arial" w:eastAsia="arial" w:hAnsi="arial" w:cs="arial"/>
          <w:i/>
          <w:color w:val="000000"/>
          <w:sz w:val="20"/>
          <w:lang w:val="en-US" w:eastAsia="en-US" w:bidi="ar-SA"/>
        </w:rPr>
        <w:t>Lewin on Trusts</w:t>
      </w:r>
      <w:r>
        <w:rPr>
          <w:rFonts w:ascii="arial" w:eastAsia="arial" w:hAnsi="arial" w:cs="arial"/>
          <w:color w:val="000000"/>
          <w:sz w:val="20"/>
          <w:lang w:val="en-US" w:eastAsia="en-US" w:bidi="ar-SA"/>
        </w:rPr>
        <w:t xml:space="preserve"> at paragraph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principle is well stated in </w:t>
      </w:r>
      <w:r>
        <w:rPr>
          <w:rFonts w:ascii="arial" w:eastAsia="arial" w:hAnsi="arial" w:cs="arial"/>
          <w:i/>
          <w:color w:val="000000"/>
          <w:sz w:val="20"/>
          <w:lang w:val="en-US" w:eastAsia="en-US" w:bidi="ar-SA"/>
        </w:rPr>
        <w:t>Lewin on Trusts</w:t>
      </w:r>
      <w:r>
        <w:rPr>
          <w:rFonts w:ascii="arial" w:eastAsia="arial" w:hAnsi="arial" w:cs="arial"/>
          <w:color w:val="000000"/>
          <w:sz w:val="20"/>
          <w:lang w:val="en-US" w:eastAsia="en-US" w:bidi="ar-SA"/>
        </w:rPr>
        <w:t>, 16th Ed.; (1964) where the learned author says at p. 133: "Declarations subsequent to purchase When it has been once ascertained that the understanding of the parties at the time of the purchase was that the legal owner should also be the beneficial owner, it is not competent to the person who paid the money to put a different construction upon the instrument at any subsequent period, and claim the estate against his intentions at the time. Even if under such circumstances the legal tenant agreed afterwards to execute a conveyance to the person who paid the money, the court would not enforce the agreement, if merely voluntary."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trial judge had found that it was the common intention of the parties at the time of the purchase that each would have an equal beneficial interest in the townhouse. Despite that finding, the trial judge then concluded there was a resulting trust in favour of the respondent solely because she contributed the entire down payment. The Court of Appeal disagreed that a resulting trust arose strictly on that basis, because the evidence of common intention at the time of the purchase was "an incontrovertible rebuttal of any presumption of a resulting trust." This was so, even assuming the appellant had made no contribution to the purchase, because "effect must be given to the clear intention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The Court of Appeal in </w:t>
      </w:r>
      <w:r>
        <w:rPr>
          <w:rFonts w:ascii="arial" w:eastAsia="arial" w:hAnsi="arial" w:cs="arial"/>
          <w:b/>
          <w:i/>
          <w:color w:val="000000"/>
          <w:sz w:val="20"/>
          <w:lang w:val="en-US" w:eastAsia="en-US" w:bidi="ar-SA"/>
        </w:rPr>
        <w:t>Ruff</w:t>
      </w:r>
      <w:r>
        <w:rPr>
          <w:rFonts w:ascii="arial" w:eastAsia="arial" w:hAnsi="arial" w:cs="arial"/>
          <w:color w:val="000000"/>
          <w:sz w:val="20"/>
          <w:lang w:val="en-US" w:eastAsia="en-US" w:bidi="ar-SA"/>
        </w:rPr>
        <w:t xml:space="preserve"> then went on to consider whether, by signing jointly with the respondent the agreement for purchase and sale, the application for mortgage loan approval, and finally the mortgage itself, the appellant had made a significant contribution to the purchase. The court concluded that by taking on equal responsibility for the mortgage, the appellant had made such a contribution. The court cited the Australian decision of </w:t>
      </w:r>
      <w:r>
        <w:rPr>
          <w:rFonts w:ascii="arial" w:eastAsia="arial" w:hAnsi="arial" w:cs="arial"/>
          <w:b/>
          <w:i/>
          <w:color w:val="000000"/>
          <w:sz w:val="20"/>
          <w:lang w:val="en-US" w:eastAsia="en-US" w:bidi="ar-SA"/>
        </w:rPr>
        <w:t>Ingram v. Ingram</w:t>
      </w:r>
      <w:r>
        <w:rPr>
          <w:rFonts w:ascii="arial" w:eastAsia="arial" w:hAnsi="arial" w:cs="arial"/>
          <w:color w:val="000000"/>
          <w:sz w:val="20"/>
          <w:lang w:val="en-US" w:eastAsia="en-US" w:bidi="ar-SA"/>
        </w:rPr>
        <w:t xml:space="preserve">, [1941] V.L.R. 95, where one party had contributed the down payment, but both had obtained the funds. The court in </w:t>
      </w:r>
      <w:r>
        <w:rPr>
          <w:rFonts w:ascii="arial" w:eastAsia="arial" w:hAnsi="arial" w:cs="arial"/>
          <w:b/>
          <w:i/>
          <w:color w:val="000000"/>
          <w:sz w:val="20"/>
          <w:lang w:val="en-US" w:eastAsia="en-US" w:bidi="ar-SA"/>
        </w:rPr>
        <w:t>Ingram</w:t>
      </w:r>
      <w:r>
        <w:rPr>
          <w:rFonts w:ascii="arial" w:eastAsia="arial" w:hAnsi="arial" w:cs="arial"/>
          <w:color w:val="000000"/>
          <w:sz w:val="20"/>
          <w:lang w:val="en-US" w:eastAsia="en-US" w:bidi="ar-SA"/>
        </w:rPr>
        <w:t xml:space="preserve"> said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equitable rights of the plaintiff and the defendant in respect of the land transferred are the same as if the defendant had provided part of the purchase money. It is proper, in my opinion, to regard this transaction as a joint borrowing by the plaintiff and the defendant of the sum of 1,000 pounds from the vendors, which is used immediately by the transferees to satisfy in part the purchase price of the land, and repayment of which is secured by a mortgage over the land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Andrew relied on the recent decision of Minden J. of the Ontario Superior Court in </w:t>
      </w:r>
      <w:r>
        <w:rPr>
          <w:rFonts w:ascii="arial" w:eastAsia="arial" w:hAnsi="arial" w:cs="arial"/>
          <w:b/>
          <w:i/>
          <w:color w:val="000000"/>
          <w:sz w:val="20"/>
          <w:lang w:val="en-US" w:eastAsia="en-US" w:bidi="ar-SA"/>
        </w:rPr>
        <w:t>Gaunt v. Woudenberg</w:t>
      </w:r>
      <w:r>
        <w:rPr>
          <w:rFonts w:ascii="arial" w:eastAsia="arial" w:hAnsi="arial" w:cs="arial"/>
          <w:color w:val="000000"/>
          <w:sz w:val="20"/>
          <w:lang w:val="en-US" w:eastAsia="en-US" w:bidi="ar-SA"/>
        </w:rPr>
        <w:t xml:space="preserve"> </w:t>
      </w:r>
      <w:hyperlink r:id="rId518" w:history="1">
        <w:r>
          <w:rPr>
            <w:rFonts w:ascii="arial" w:eastAsia="arial" w:hAnsi="arial" w:cs="arial"/>
            <w:i/>
            <w:color w:val="0077CC"/>
            <w:sz w:val="20"/>
            <w:u w:val="single"/>
            <w:shd w:val="clear" w:color="auto" w:fill="FFFFFF"/>
            <w:lang w:val="en-US" w:eastAsia="en-US" w:bidi="ar-SA"/>
          </w:rPr>
          <w:t>(2005), 74 O.R. (3d) 665</w:t>
        </w:r>
      </w:hyperlink>
      <w:r>
        <w:rPr>
          <w:rFonts w:ascii="arial" w:eastAsia="arial" w:hAnsi="arial" w:cs="arial"/>
          <w:color w:val="000000"/>
          <w:sz w:val="20"/>
          <w:lang w:val="en-US" w:eastAsia="en-US" w:bidi="ar-SA"/>
        </w:rPr>
        <w:t>. The facts of that case are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parties had lived in a common-law relationship for approximately three years when they purchased a house as joint tenants. The defendant advanced the entire down payment which was $64,000. The purchase was financed by first and second mortgages in a total amount of $165,000. Both plaintiff and defendant were mortgagors on both mortgages. The defendant's advancement of funds was almost 40 percent of the purchase price. He paid all of the mortgage payments on both mortgages for the duration of the relationship. The parties separated three years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plaintiff's position at trial was that she was entitled to a 50-percent interest in the property's equity, although the defendant had provided all of the down payment and monthly mortgage payments. The plaintiff submitted that the evidence established a common intention that she was to be an equal beneficial owner. The defendant's position was there was no evidence of common intention and that the significance of signing the mortgage and the manner of taking title must be weighed in the context of all of the surrounding circumstances. The defendant argued he did not intend a gift of the one-half interest of the property and that the presumption of resulting trust operated.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In the course of considering the parties' respective positions, the court, at paragraph 12, cited </w:t>
      </w:r>
      <w:r>
        <w:rPr>
          <w:rFonts w:ascii="arial" w:eastAsia="arial" w:hAnsi="arial" w:cs="arial"/>
          <w:i/>
          <w:color w:val="000000"/>
          <w:sz w:val="20"/>
          <w:lang w:val="en-US" w:eastAsia="en-US" w:bidi="ar-SA"/>
        </w:rPr>
        <w:t>Waters On Trusts</w:t>
      </w:r>
      <w:r>
        <w:rPr>
          <w:rFonts w:ascii="arial" w:eastAsia="arial" w:hAnsi="arial" w:cs="arial"/>
          <w:color w:val="000000"/>
          <w:sz w:val="20"/>
          <w:lang w:val="en-US" w:eastAsia="en-US" w:bidi="ar-SA"/>
        </w:rPr>
        <w:t xml:space="preserv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 resulting trust arises when A purchases in the name of another, or in the names of himself and another ... It is beyond question, however, that that trust may be rebutted by evidence showing that what A had in mind was a gift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Evidence introduced to support the resulting trust or to rebut it may only concern the intention of the parties at the date of the purchase or transfer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Minden J. framed the issue in the same manner as did Lieberman J.A. in </w:t>
      </w:r>
      <w:r>
        <w:rPr>
          <w:rFonts w:ascii="arial" w:eastAsia="arial" w:hAnsi="arial" w:cs="arial"/>
          <w:b/>
          <w:i/>
          <w:color w:val="000000"/>
          <w:sz w:val="20"/>
          <w:lang w:val="en-US" w:eastAsia="en-US" w:bidi="ar-SA"/>
        </w:rPr>
        <w:t>Ruff v. Strobel</w:t>
      </w:r>
      <w:r>
        <w:rPr>
          <w:rFonts w:ascii="arial" w:eastAsia="arial" w:hAnsi="arial" w:cs="arial"/>
          <w:color w:val="000000"/>
          <w:sz w:val="20"/>
          <w:lang w:val="en-US" w:eastAsia="en-US" w:bidi="ar-SA"/>
        </w:rPr>
        <w:t>. First, the nature of the transaction must be determined at the time it was completed and, second, it is the common intention of the parties at the time which determines their beneficial shares. The court then looked at the circumstances of the purchase and the evidence of the parties' intentions at the time. It is noteworthy that the court found the plaintiff to be a most unreliable witness in all respects. It is also noteworthy that the solicitor who represented the parties in the purchase testified that he could not recall any discussion with the parties about the manner in which the property should be held. He assumed it would be a joint tenancy. He could not say that any of the implications of the manner in which title to the property would be held were canvassed with the parties in any meaningful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Gaunt</w:t>
      </w:r>
      <w:r>
        <w:rPr>
          <w:rFonts w:ascii="arial" w:eastAsia="arial" w:hAnsi="arial" w:cs="arial"/>
          <w:color w:val="000000"/>
          <w:sz w:val="20"/>
          <w:lang w:val="en-US" w:eastAsia="en-US" w:bidi="ar-SA"/>
        </w:rPr>
        <w:t>, the defendant testified he could have qualified for the mortgage on his own, but did not want to "ruffle the plaintiff's feathers" by taking the mortgage out on his own. The court accepted that the plaintiff took charge of all arrangements concerning the completion of the purchase and, as the lawyer testified, that the plaintiff had been a "highly participatory client". Most importantly, the trial judge found that the correspondence between the plaintiff and defendant constituted an admission by the plaintiff that the defendant did not at the time of the purchase intend to make a gift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On the basis of the facts, Minden J. distinguished but did not disagree with </w:t>
      </w:r>
      <w:r>
        <w:rPr>
          <w:rFonts w:ascii="arial" w:eastAsia="arial" w:hAnsi="arial" w:cs="arial"/>
          <w:b/>
          <w:i/>
          <w:color w:val="000000"/>
          <w:sz w:val="20"/>
          <w:lang w:val="en-US" w:eastAsia="en-US" w:bidi="ar-SA"/>
        </w:rPr>
        <w:t>Ruff v. Strobel</w:t>
      </w:r>
      <w:r>
        <w:rPr>
          <w:rFonts w:ascii="arial" w:eastAsia="arial" w:hAnsi="arial" w:cs="arial"/>
          <w:color w:val="000000"/>
          <w:sz w:val="20"/>
          <w:lang w:val="en-US" w:eastAsia="en-US" w:bidi="ar-SA"/>
        </w:rPr>
        <w:t xml:space="preserve">. Minden J. noted that </w:t>
      </w:r>
      <w:r>
        <w:rPr>
          <w:rFonts w:ascii="arial" w:eastAsia="arial" w:hAnsi="arial" w:cs="arial"/>
          <w:b/>
          <w:i/>
          <w:color w:val="000000"/>
          <w:sz w:val="20"/>
          <w:lang w:val="en-US" w:eastAsia="en-US" w:bidi="ar-SA"/>
        </w:rPr>
        <w:t>Ruff v. Strobel</w:t>
      </w:r>
      <w:r>
        <w:rPr>
          <w:rFonts w:ascii="arial" w:eastAsia="arial" w:hAnsi="arial" w:cs="arial"/>
          <w:color w:val="000000"/>
          <w:sz w:val="20"/>
          <w:lang w:val="en-US" w:eastAsia="en-US" w:bidi="ar-SA"/>
        </w:rPr>
        <w:t xml:space="preserve"> turned not on only whether one party contributed to the purchase of the property, but whether there was evidence of clear common intention of the parties at the time of the transaction. Such clear intention constituted incontrovertible rebuttal of a presumption of resulting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 accept the comments of Minden J. that the manner in which title is held, and the fact that the parties have signed as co-mortgagors, are not necessarily determinative. The question is always whether there is clear evidence of the parties' intentions.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On the evidence, I have concluded that at the time of the transaction, the nature of the conveyance was one pursuant to which the parties took title as tenants in common and fully understood that they were co-owners of the property both legally and beneficially. They had legal counsel who explained the documents they were signing and the registered ownership of property. Andrew did not allege that he had been misled by De Vuyst and did not seek to call him to testify to the circumstances of the retainer. The intention of the parties at the time of the acquisition was that each would have an equal beneficial interest in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Those findings lead to the next question, which is the effect of the declaration of trust. On its face, the document purports to be effective October 9, 2003, shortly before closing of the transaction and transfer of title to Nicole and Andrew. The difficulty is that the document is completely at odds with the evidence of both parties. Andrew's evidence is that he was not aware Nicole would be on title and I have rejected that evidence. I have concluded he intended Nicole to be on title and intended the parties' beneficial interest to be equal. At the time they were a couple with plans for the future. Andrew needed Nicole's income to qualify for the mortgage and they equally shouldered a mortgage in excess of $460,000. This was not a gift and there is no presumption of resulting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Even assuming a gift, the parties intended their beneficial shares to be equal, and that brings to bear the principle stated by </w:t>
      </w:r>
      <w:r>
        <w:rPr>
          <w:rFonts w:ascii="arial" w:eastAsia="arial" w:hAnsi="arial" w:cs="arial"/>
          <w:i/>
          <w:color w:val="000000"/>
          <w:sz w:val="20"/>
          <w:lang w:val="en-US" w:eastAsia="en-US" w:bidi="ar-SA"/>
        </w:rPr>
        <w:t>Lewin on Trusts</w:t>
      </w:r>
      <w:r>
        <w:rPr>
          <w:rFonts w:ascii="arial" w:eastAsia="arial" w:hAnsi="arial" w:cs="arial"/>
          <w:color w:val="000000"/>
          <w:sz w:val="20"/>
          <w:lang w:val="en-US" w:eastAsia="en-US" w:bidi="ar-SA"/>
        </w:rPr>
        <w:t xml:space="preserve"> and cited by the court in </w:t>
      </w:r>
      <w:r>
        <w:rPr>
          <w:rFonts w:ascii="arial" w:eastAsia="arial" w:hAnsi="arial" w:cs="arial"/>
          <w:b/>
          <w:i/>
          <w:color w:val="000000"/>
          <w:sz w:val="20"/>
          <w:lang w:val="en-US" w:eastAsia="en-US" w:bidi="ar-SA"/>
        </w:rPr>
        <w:t>Ruff v. Strobel</w:t>
      </w:r>
      <w:r>
        <w:rPr>
          <w:rFonts w:ascii="arial" w:eastAsia="arial" w:hAnsi="arial" w:cs="arial"/>
          <w:color w:val="000000"/>
          <w:sz w:val="20"/>
          <w:lang w:val="en-US" w:eastAsia="en-US" w:bidi="ar-SA"/>
        </w:rPr>
        <w:t xml:space="preserve"> at paragraph 21: once it is established that the intention of the parties at the time of the transaction was that the legal owner should also be the beneficial owner, the person who advanced the funds for the purchase cannot put a different construction on the transaction at a later time. The trust agreement was backdated to October 2003, but the significance of doing so was never explained to Nicole. The notary questioned the backdating of the document and Andrew attended on his own at Ardagh's office to obtain an explanation as to the date on the trust declaration. That discussion is protected by privilege and Andrew refused to waive the privilege. All we know is that Andrew returned to the notary's office and told Nicole and the notary that the dating was deliberate.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In some circumstances, the trust declaration would be cogent evidence of the actual intention of the parties at the time of the transaction or even at the time a trust declaration was signed. In the present circumstances, I have concluded it is not. The backdating of the trust declaration was simply a device designed to put a different construction on the intentions of the parties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In any event, I have concluded that the declaration of trust, even if otherwise a validly constituted trust, is inoperative because it was obtained by undue influence. The principles relating to the law of undue influence are described in the decision of the Supreme Court of Canada in </w:t>
      </w:r>
      <w:r>
        <w:rPr>
          <w:rFonts w:ascii="arial" w:eastAsia="arial" w:hAnsi="arial" w:cs="arial"/>
          <w:b/>
          <w:i/>
          <w:color w:val="000000"/>
          <w:sz w:val="20"/>
          <w:lang w:val="en-US" w:eastAsia="en-US" w:bidi="ar-SA"/>
        </w:rPr>
        <w:t>Geffen v. Goodman Estate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[1991] 2 S.C.R. 353</w:t>
      </w:r>
      <w:r>
        <w:rPr>
          <w:rFonts w:ascii="arial" w:eastAsia="arial" w:hAnsi="arial" w:cs="arial"/>
          <w:color w:val="000000"/>
          <w:sz w:val="20"/>
          <w:lang w:val="en-US" w:eastAsia="en-US" w:bidi="ar-SA"/>
        </w:rPr>
        <w:t xml:space="preserve"> at page 368 and following. They are well summarized by Satanove J. in </w:t>
      </w:r>
      <w:r>
        <w:rPr>
          <w:rFonts w:ascii="arial" w:eastAsia="arial" w:hAnsi="arial" w:cs="arial"/>
          <w:b/>
          <w:i/>
          <w:color w:val="000000"/>
          <w:sz w:val="20"/>
          <w:lang w:val="en-US" w:eastAsia="en-US" w:bidi="ar-SA"/>
        </w:rPr>
        <w:t>Ogilvie v. Ogilvie Estate</w:t>
      </w:r>
      <w:r>
        <w:rPr>
          <w:rFonts w:ascii="arial" w:eastAsia="arial" w:hAnsi="arial" w:cs="arial"/>
          <w:color w:val="000000"/>
          <w:sz w:val="20"/>
          <w:lang w:val="en-US" w:eastAsia="en-US" w:bidi="ar-SA"/>
        </w:rPr>
        <w:t xml:space="preserve"> </w:t>
      </w:r>
      <w:hyperlink r:id="rId519" w:history="1">
        <w:r>
          <w:rPr>
            <w:rFonts w:ascii="arial" w:eastAsia="arial" w:hAnsi="arial" w:cs="arial"/>
            <w:i/>
            <w:color w:val="0077CC"/>
            <w:sz w:val="20"/>
            <w:u w:val="single"/>
            <w:shd w:val="clear" w:color="auto" w:fill="FFFFFF"/>
            <w:lang w:val="en-US" w:eastAsia="en-US" w:bidi="ar-SA"/>
          </w:rPr>
          <w:t>(1996), 26 B.C.L.R. (3d) 262</w:t>
        </w:r>
      </w:hyperlink>
      <w:r>
        <w:rPr>
          <w:rFonts w:ascii="arial" w:eastAsia="arial" w:hAnsi="arial" w:cs="arial"/>
          <w:color w:val="000000"/>
          <w:sz w:val="20"/>
          <w:lang w:val="en-US" w:eastAsia="en-US" w:bidi="ar-SA"/>
        </w:rPr>
        <w:t xml:space="preserve"> at paras. 32-39, affirmed on appeal at </w:t>
      </w:r>
      <w:hyperlink r:id="rId520" w:history="1">
        <w:r>
          <w:rPr>
            <w:rFonts w:ascii="arial" w:eastAsia="arial" w:hAnsi="arial" w:cs="arial"/>
            <w:i/>
            <w:color w:val="0077CC"/>
            <w:sz w:val="20"/>
            <w:u w:val="single"/>
            <w:shd w:val="clear" w:color="auto" w:fill="FFFFFF"/>
            <w:lang w:val="en-US" w:eastAsia="en-US" w:bidi="ar-SA"/>
          </w:rPr>
          <w:t>49 B.C.L.R. (3d) 277</w:t>
        </w:r>
      </w:hyperlink>
      <w:r>
        <w:rPr>
          <w:rFonts w:ascii="arial" w:eastAsia="arial" w:hAnsi="arial" w:cs="arial"/>
          <w:color w:val="000000"/>
          <w:sz w:val="20"/>
          <w:lang w:val="en-US" w:eastAsia="en-US" w:bidi="ar-SA"/>
        </w:rPr>
        <w:t xml:space="preserve">. </w:t>
      </w:r>
      <w:hyperlink r:id="rId520" w:history="1">
        <w:r>
          <w:rPr>
            <w:rFonts w:ascii="arial" w:eastAsia="arial" w:hAnsi="arial" w:cs="arial"/>
            <w:i/>
            <w:color w:val="0077CC"/>
            <w:sz w:val="20"/>
            <w:u w:val="single"/>
            <w:shd w:val="clear" w:color="auto" w:fill="FFFFFF"/>
            <w:lang w:val="en-US" w:eastAsia="en-US" w:bidi="ar-SA"/>
          </w:rPr>
          <w:t>49 B.C.L.R. (3d) 277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Satanove J. noted that in cases where the potential for domination inheres in the nature of the relationship between a donor and donee, the presumption of undue influence arises. Thereafter, the onus shifts to the donee to rebut the presumption. The donee must establish that the donor entered into the transaction as a result of his or her own "full, free, and informed thought." This may require the donee to establish that no actual influence was exerted and that the donor had independent legal advice. Further, as noted by the court in </w:t>
      </w:r>
      <w:r>
        <w:rPr>
          <w:rFonts w:ascii="arial" w:eastAsia="arial" w:hAnsi="arial" w:cs="arial"/>
          <w:b/>
          <w:i/>
          <w:color w:val="000000"/>
          <w:sz w:val="20"/>
          <w:lang w:val="en-US" w:eastAsia="en-US" w:bidi="ar-SA"/>
        </w:rPr>
        <w:t>Geffen</w:t>
      </w:r>
      <w:r>
        <w:rPr>
          <w:rFonts w:ascii="arial" w:eastAsia="arial" w:hAnsi="arial" w:cs="arial"/>
          <w:color w:val="000000"/>
          <w:sz w:val="20"/>
          <w:lang w:val="en-US" w:eastAsia="en-US" w:bidi="ar-SA"/>
        </w:rPr>
        <w:t xml:space="preserve"> at paragraph 49, where the trust instrument signed is more akin to a gift than a commercial transaction, the existence of the required relationship is sufficient to trigger the presumption.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first question, then, is whether the presumption of undue influence arises. I have concluded it does. Nicole and Andrew had been together in an intimate relationship for nine years. Nicole, who had been intimately involved with Andrew from the time she was 16 years of age, sensed that Andrew was beginning to distance himself from the relationship after he returned from Mexico. Her birthday card to Andrew in February 2004 attests to that. When he told her she had to execute certain documents in order to prove to him that she trusted him, she understood she had no choice. The existence of the relationship depended on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presumption is established and the question is whether Andrew has rebutted it. Andrew assured Nicole he would "not use the document against her." This, in my view, was a well-orchestrated ploy to obtain Nicole's signature on the trust declaration in the absence of legal advice. The trust declaration itself was not drafted by Nicole or a solicitor retained by Nicole. It was drafted by a solicitor retained by Andrew. Andrew's mother initially refused to answer the question put by Nicole's counsel as to whether Andrew's solicitor told them Nicole should obtain independent legal advice about the document. When directed by the court to answer, she said she could not recall. I conclude that Andrew and his mother were told Nicole should obtain independent legal advice, but knew that if she did, she would refuse to sign the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If Andrew believed the trust declaration to reflect the intentions of the parties in October of 2003, the question is why he did not simply provide Nicole with a copy of the documents and have her obtain independent legal advice. Had he done so, he could have been assured that Nicole was providing her free and fully informed decision. To the contrary, Andrew scheduled the appointment with the notary and did not give Nicole the documents in advance of the appointment. As I have already noted, when the notary queried the backdating of the document, Andrew attended on his own at Ardagh's office for an explanation and he did not share that with Nicole. The question is why he did not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strong inference arising from these facts is that Andrew knew the trust declaration did not reflect Nicole's intention at the time the property was purchased or at the time the declaration was signed, for that matter, and was contrary to Nicole's legitimate interest in the property. He obtained the execution of the document on his promise he would not use it against Nicole and before Nicole discovered he had entered into a relationship with someone else. Andrew had an intense interest in the transaction being concluded quickly and before Nicole obtained any advice on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Further, the trust declaration was "more akin to a gift or bequest than a commercial transaction" (</w:t>
      </w:r>
      <w:r>
        <w:rPr>
          <w:rFonts w:ascii="arial" w:eastAsia="arial" w:hAnsi="arial" w:cs="arial"/>
          <w:b/>
          <w:i/>
          <w:color w:val="000000"/>
          <w:sz w:val="20"/>
          <w:lang w:val="en-US" w:eastAsia="en-US" w:bidi="ar-SA"/>
        </w:rPr>
        <w:t>Geffen</w:t>
      </w:r>
      <w:r>
        <w:rPr>
          <w:rFonts w:ascii="arial" w:eastAsia="arial" w:hAnsi="arial" w:cs="arial"/>
          <w:color w:val="000000"/>
          <w:sz w:val="20"/>
          <w:lang w:val="en-US" w:eastAsia="en-US" w:bidi="ar-SA"/>
        </w:rPr>
        <w:t>, at paragraph 49). As such, the existence of the relationship is sufficient to trigger the presumption which was not rebutted. Andrew did not establish that Nicole entered into the transaction as a result of her own full, free, and informed thought. Substantively, that required Andrew to establish that no actual influence was used and that Nicole had independent legal advice. In this case, there was, in my view, a concerted effort to ensure Nicole did not receive any independent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In short, I conclude there was undue influence such that the trust declaration, even if otherwise valid, ought to be set aside.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Both Nicole and Andrew testified about certain improvements they had made to the Burrell Avenue property. Nicole's evidence with respect to the improvements made to the living room was provided by Rick Hagel, who testified that the cost including labour was approximately $5,000. However, there was no documentary evidence to support that estimate. Rick Hagel did some work over two-and-a-half days, and three of his employees from the family company spent a few hours each finishing the work. Rick did not charge Andrew and Nicole for the work. Andrew provided all of the materials. Rick Hagel acknowledged if he had done the work for an arm's length client and charged $5,000, $3,000 of that would have been profit. It was not clear from his evidence whether the price would have included the cost of the materials. I am satisfied that Nicole should be credited with $2,000 for improvement to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Andrew expended funds to improve the property. Counsel for Andrew proposed that if there is a dispute concerning the precise amount of his additional contribution to the property (I understand that Andrew's claim for his contribution is in the range of $13,000), the parties will attempt to reach agreement, and, failing that, will attend before the registrar to for a determination as to the amount. The registrar will certify his or her decision in order to dispense with any necessity to attend before me again. I would hope that the parties could, however, come to an agreement on the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Andrew is entitled, of course, to credit for his initial contribution of $32,500 and his subsequent contributions as noted.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 have prepared a written summary of my conclusions, which is Appendix A to these reasons, and which I will read into the record:</w:t>
      </w:r>
      <w:r>
        <w:rPr>
          <w:rFonts w:ascii="arial" w:eastAsia="arial" w:hAnsi="arial" w:cs="arial"/>
          <w:sz w:val="20"/>
          <w:lang w:val="en-US" w:eastAsia="en-US" w:bidi="ar-SA"/>
        </w:rPr>
        <w:cr/>
      </w:r>
    </w:p>
    <w:p>
      <w:pPr>
        <w:numPr>
          <w:numId w:val="1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declaration of trust is invalid and must be set aside.</w:t>
      </w:r>
    </w:p>
    <w:p>
      <w:pPr>
        <w:numPr>
          <w:numId w:val="1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Nicole Elder is the legal and beneficial owner of an undivided one-half interest in the Burrell Avenue property as tenant in common with Andrew McMullen.</w:t>
      </w:r>
    </w:p>
    <w:p>
      <w:pPr>
        <w:numPr>
          <w:numId w:val="1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Pursuant to the </w:t>
      </w:r>
      <w:r>
        <w:rPr>
          <w:rFonts w:ascii="arial" w:eastAsia="arial" w:hAnsi="arial" w:cs="arial"/>
          <w:b/>
          <w:i/>
          <w:color w:val="000000"/>
          <w:sz w:val="20"/>
          <w:lang w:val="en-US" w:eastAsia="en-US" w:bidi="ar-SA"/>
        </w:rPr>
        <w:t>Partition of Property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347</w:t>
      </w:r>
      <w:r>
        <w:rPr>
          <w:rFonts w:ascii="arial" w:eastAsia="arial" w:hAnsi="arial" w:cs="arial"/>
          <w:color w:val="000000"/>
          <w:sz w:val="20"/>
          <w:lang w:val="en-US" w:eastAsia="en-US" w:bidi="ar-SA"/>
        </w:rPr>
        <w:t>, the Burrell Avenue property will be partitioned and sold forthwith. The proceeds of sale will be distributed to the parties in accordance with their respective interest in the property with the following exceptions:</w:t>
      </w:r>
    </w:p>
    <w:p>
      <w:pPr>
        <w:numPr>
          <w:numId w:val="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Andrew McMullen will be credited with the amount of $32,500 representing the full amount of his initial contribution to the purchase of the property and his subsequent contributions to the improvement of the property. The latter amount will be determined by agreement of the parties or referred to the registrar for determination. The registrar's decision will be certified.</w:t>
      </w:r>
    </w:p>
    <w:p>
      <w:pPr>
        <w:numPr>
          <w:numId w:val="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Nicole Elder will be credited with the amount of $2,000 representing the full amount of her contribution to the improvement of the property.</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Nicole Elder is entitled to her costs at Scale C, subject to submissions on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Any questions,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MR. RICHTER: I do, yes, My Lady, the plaintiff did put in an offer to settle and I believe it's been triggered by the judgment. I can tell the court it was framed in terms of a percentage of the value of the property, which there was the appraisal for 720. Unfortunately, I looked this morning. I don't have the offer to settle with me, but it was 10 percent of the market value of the property which would be about $72,000, $80,000.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COURT: Counsel, we are out of time here and there are others waiting to use this courtroom. I have indicated that Nicole Elder is entitled to her costs at Scale C but I would add, and I would ask counsel to add, "subject to submissions of the parties." I am going to ask counsel to discuss the effect of this offer to settle and, if no agreement can be reached, counsel can either address the issue in writing through the registry or set a time at nine o'clock one morning to argue the issue before me. Anything else,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MR. RICHTER: No, My Lady.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MR. JOHNSON: My Lady, just one other point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COURT: Yes, Mr. Johnson.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MR. JOHNSON: -- with respect to the property being sold, conduct of sale, whether that could become an issue and I would think probably joint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COURT: My intention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MR. JOHNSON: -- joint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COURT: My intention is certainly that there be joint conduct of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MR. JOHNSON: With liberty to apply if there's a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COURT: Yes, with liberty to apply if there is a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 WEDGE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May 6,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Revised Judgment&lt; b&gt;&lt; i&gt;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[1] The last sentence of para. 101 is replaced to read as follows: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They are well summarized by Satanove J. in Ogilvie v. Ogilvie Estate</w:t>
      </w:r>
      <w:r>
        <w:rPr>
          <w:rFonts w:ascii="arial" w:eastAsia="arial" w:hAnsi="arial" w:cs="arial"/>
          <w:b/>
          <w:color w:val="000000"/>
          <w:sz w:val="20"/>
          <w:lang w:val="en-US" w:eastAsia="en-US" w:bidi="ar-SA"/>
        </w:rPr>
        <w:t>&gt;</w:t>
      </w:r>
      <w:r>
        <w:rPr>
          <w:rFonts w:ascii="arial" w:eastAsia="arial" w:hAnsi="arial" w:cs="arial"/>
          <w:color w:val="000000"/>
          <w:sz w:val="20"/>
          <w:lang w:val="en-US" w:eastAsia="en-US" w:bidi="ar-SA"/>
        </w:rPr>
        <w:t xml:space="preserve"> </w:t>
      </w:r>
      <w:hyperlink r:id="rId519" w:history="1">
        <w:r>
          <w:rPr>
            <w:rFonts w:ascii="arial" w:eastAsia="arial" w:hAnsi="arial" w:cs="arial"/>
            <w:i/>
            <w:color w:val="0077CC"/>
            <w:sz w:val="20"/>
            <w:u w:val="single"/>
            <w:shd w:val="clear" w:color="auto" w:fill="FFFFFF"/>
            <w:lang w:val="en-US" w:eastAsia="en-US" w:bidi="ar-SA"/>
          </w:rPr>
          <w:t>(1996), 26 B.C.L.R. (3d) 262</w:t>
        </w:r>
      </w:hyperlink>
      <w:r>
        <w:rPr>
          <w:rFonts w:ascii="arial" w:eastAsia="arial" w:hAnsi="arial" w:cs="arial"/>
          <w:color w:val="000000"/>
          <w:sz w:val="20"/>
          <w:lang w:val="en-US" w:eastAsia="en-US" w:bidi="ar-SA"/>
        </w:rPr>
        <w:t xml:space="preserve"> at paras. 32-39, affirmed on appeal at </w:t>
      </w:r>
      <w:hyperlink r:id="rId520" w:history="1">
        <w:r>
          <w:rPr>
            <w:rFonts w:ascii="arial" w:eastAsia="arial" w:hAnsi="arial" w:cs="arial"/>
            <w:i/>
            <w:color w:val="0077CC"/>
            <w:sz w:val="20"/>
            <w:u w:val="single"/>
            <w:shd w:val="clear" w:color="auto" w:fill="FFFFFF"/>
            <w:lang w:val="en-US" w:eastAsia="en-US" w:bidi="ar-SA"/>
          </w:rPr>
          <w:t>49 B.C.L.R. (3d) 277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 The oral reasons for judgment are amended accordingly. In all other aspects, the oral reasons stand.</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1" style="position:absolute;z-index:2518302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1"/>
          <w:headerReference w:type="default" r:id="rId522"/>
          <w:footerReference w:type="even" r:id="rId523"/>
          <w:footerReference w:type="default" r:id="rId524"/>
          <w:headerReference w:type="first" r:id="rId525"/>
          <w:footerReference w:type="first" r:id="rId52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527" w:history="1">
        <w:r>
          <w:rPr>
            <w:rFonts w:ascii="arial" w:eastAsia="arial" w:hAnsi="arial" w:cs="arial"/>
            <w:b/>
            <w:bCs/>
            <w:i/>
            <w:color w:val="0077CC"/>
            <w:kern w:val="32"/>
            <w:sz w:val="28"/>
            <w:szCs w:val="32"/>
            <w:u w:val="single"/>
            <w:shd w:val="clear" w:color="auto" w:fill="FFFFFF"/>
            <w:lang w:val="en-US" w:eastAsia="en-US" w:bidi="ar-SA"/>
          </w:rPr>
          <w:t>Gibson v. Saran, [2003] B.C.J. No. 413</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Chamberlist J.</w:t>
      </w:r>
    </w:p>
    <w:p>
      <w:pPr>
        <w:spacing w:before="120" w:line="260" w:lineRule="atLeast"/>
        <w:jc w:val="center"/>
        <w:rPr>
          <w:lang w:val="en-US" w:eastAsia="en-US" w:bidi="ar-SA"/>
        </w:rPr>
      </w:pPr>
      <w:r>
        <w:rPr>
          <w:rFonts w:ascii="arial" w:eastAsia="arial" w:hAnsi="arial" w:cs="arial"/>
          <w:color w:val="000000"/>
          <w:sz w:val="20"/>
          <w:lang w:val="en-US" w:eastAsia="en-US" w:bidi="ar-SA"/>
        </w:rPr>
        <w:t>Heard: December 19 and 20, 2002.</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February 25, 2003.</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MO014639</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[2003] B.C.J. No. 413</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2003 BCSC 296</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121 A.C.W.S. (3d) 1059</w:t>
      </w:r>
    </w:p>
    <w:p>
      <w:pPr>
        <w:spacing w:before="120" w:line="260" w:lineRule="atLeast"/>
        <w:rPr>
          <w:lang w:val="en-US" w:eastAsia="en-US" w:bidi="ar-SA"/>
        </w:rPr>
      </w:pPr>
      <w:r>
        <w:rPr>
          <w:rFonts w:ascii="arial" w:eastAsia="arial" w:hAnsi="arial" w:cs="arial"/>
          <w:color w:val="000000"/>
          <w:sz w:val="20"/>
          <w:lang w:val="en-US" w:eastAsia="en-US" w:bidi="ar-SA"/>
        </w:rPr>
        <w:t>Between Sean Gibson, plaintiff, and Gurmail Singh Saran, defendant, and Insurance Corporation of British Columbia, third party</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(86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02" style="position:absolute;z-index:251680768"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12" w:name="Keywords_3"/>
      <w:bookmarkEnd w:id="112"/>
      <w:r>
        <w:rPr>
          <w:rFonts w:ascii="arial" w:eastAsia="arial" w:hAnsi="arial" w:cs="arial"/>
          <w:b/>
          <w:color w:val="000000"/>
          <w:sz w:val="20"/>
          <w:lang w:val="en-US" w:eastAsia="en-US" w:bidi="ar-SA"/>
        </w:rPr>
        <w:t xml:space="preserve">Damage awards — Injury and death — Neck injuries — Whiplash — Special damage awards — Loss of wages — General damage awards — 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Evidence.</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13" w:name="Case Summary_2"/>
            <w:bookmarkEnd w:id="113"/>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Gibson against Saran for damages arising from injuries suffered in a motor vehicle accident. Saran rear-ended Gibson's vehicle, causing less than $1,500 in damage to the vehicle. Liability was admitted. Gibson was 17 years old at the time of the accident. He worked in his parents' mechanic shop with a biweekly salary of $900. He did not receive medical treatment until two weeks after the accident. He testified that he had been unable to work for eight weeks after the accident. He claimed to have pain in his back, neck and shoulder. He received physiotherapy and massage therapy treatments. He continued to play basketball after the accident but claimed that he struggled. Before he returned to work after the accident, Gibson injured his left elbow in a fall during a basketball game. He was in a second motor vehicle accident eight months after the initial accident in which he suffered an injury to his hip. He claimed not to have completely recovered from the initial accident until two years after. Gibson's basketball coach testified that after the accident Gibson's play was unaffected. </w:t>
            </w:r>
            <w:r>
              <w:rPr>
                <w:lang w:val="en-US" w:eastAsia="en-US" w:bidi="ar-SA"/>
              </w:rPr>
              <w:cr/>
            </w:r>
          </w:p>
          <w:p>
            <w:pPr>
              <w:spacing w:before="120" w:line="260" w:lineRule="atLeast"/>
              <w:ind w:left="240"/>
              <w:jc w:val="both"/>
              <w:rPr>
                <w:lang w:val="en-US" w:eastAsia="en-US" w:bidi="ar-SA"/>
              </w:rPr>
            </w:pPr>
            <w:bookmarkStart w:id="114" w:name="Holdings of Court_2"/>
            <w:bookmarkEnd w:id="114"/>
            <w:r>
              <w:rPr>
                <w:rFonts w:ascii="arial" w:eastAsia="arial" w:hAnsi="arial" w:cs="arial"/>
                <w:color w:val="000000"/>
                <w:sz w:val="20"/>
                <w:lang w:val="en-US" w:eastAsia="en-US" w:bidi="ar-SA"/>
              </w:rPr>
              <w:t>HELD: Action allowed in part.</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Gibson was awarded $4,000 in general damages. He was awarded lost wages of $1,215, for a total of three weeks and special damages of $179. The totality of the evidence was inconsistent with Gibson's assertion that he did not recover for two years. His claim was highly improbable. Gibson was willing to minimize and embellish when the need suited him. He had suffered a mild whiplash type injury from which he made a full recovery within three months. There was no convincing evidence that any further discomfort was associated with the motor vehicle accident. </w:t>
            </w:r>
            <w:r>
              <w:rPr>
                <w:lang w:val="en-US" w:eastAsia="en-US" w:bidi="ar-SA"/>
              </w:rPr>
              <w:cr/>
            </w:r>
          </w:p>
          <w:p>
            <w:pPr>
              <w:rPr>
                <w:lang w:val="en-US" w:eastAsia="en-US" w:bidi="ar-SA"/>
              </w:rPr>
            </w:pPr>
          </w:p>
        </w:tc>
      </w:tr>
    </w:tbl>
    <w:p>
      <w:pPr>
        <w:jc w:val="both"/>
        <w:rPr>
          <w:lang w:val="en-US" w:eastAsia="en-US" w:bidi="ar-SA"/>
        </w:rPr>
      </w:pPr>
      <w:bookmarkStart w:id="115" w:name="Counsel_21"/>
      <w:bookmarkEnd w:id="115"/>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03" style="position:absolute;z-index:25173196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S.E. Gibson, for the plaintiff. A. Urquhart, for the third party.</w:t>
      </w:r>
      <w:r>
        <w:rPr>
          <w:lang w:val="en-US" w:eastAsia="en-US" w:bidi="ar-SA"/>
        </w:rPr>
        <w:cr/>
      </w:r>
    </w:p>
    <w:p>
      <w:pPr>
        <w:spacing w:after="240"/>
        <w:rPr>
          <w:lang w:val="en-US" w:eastAsia="en-US" w:bidi="ar-SA"/>
        </w:rPr>
      </w:pPr>
      <w:bookmarkStart w:id="116" w:name="Judgment_21"/>
      <w:bookmarkEnd w:id="116"/>
      <w:r>
        <w:pict>
          <v:line id="_x0000_s1104" style="position:absolute;z-index:251783168"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17" w:name="CHAMBERLIST J."/>
            <w:bookmarkEnd w:id="117"/>
            <w:r>
              <w:rPr>
                <w:rFonts w:ascii="arial" w:eastAsia="arial" w:hAnsi="arial" w:cs="arial"/>
                <w:b/>
                <w:color w:val="000000"/>
                <w:sz w:val="30"/>
                <w:lang w:val="en-US" w:eastAsia="en-US" w:bidi="ar-SA"/>
              </w:rPr>
              <w:t>CHAMBERLIST J.</w:t>
            </w:r>
          </w:p>
        </w:tc>
      </w:tr>
    </w:tbl>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INTRODUCTION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case involves a motor vehicle accident which occurred on November 2, 1998, at or near the intersection of Scott Road and 64th Avenue in the City of Surrey, British Columbia, when a 1994 Chrysler Intrepid motor vehicle, driven by the plaintiff, was rear-ended by a motor vehicle owned and driven by the defendant.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Liability for the accident is admitted but the third party, Insurance Corporation of British Columbia ("ICBC") denies that the plaintiff suffered any injury, loss, damage or expense as a result thereof.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the alternative, the third party, ICBC, submits that the motor vehicle accident was not the proximate cause of any injury, loss damage or expense suffered by the plaintiff. In essence, ICBC submits that the plaintiff did not suffer any damage as a result of the motor vehicle accident in question.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CIRCUMSTANCES OF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November 2, 1998, Sean Gibson, then aged 17, was proceeding on Scott Road in his family's 1994 Chrysler Intrepid. It was twilight and the roads were wet from rain. He was travelling in the right lane when the vehicle immediately in front of him suddenly braked and he too had to jamb on his brakes to avoid a collision with the vehicle in front of him. Suddenly, and without warning, he was hit from behind.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He described himself as standing very firmly on his brake. He heard metal crunching and his tires squealing as he was moved forward. He described being jerked around in the passenger compartment, with his head going back and then forward. He felt his seatbelt restrain him. He described himself as being shaky and nervous, and not knowing what to do at the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He and the defendant moved their vehicles down the road to a gas station where they pulled over; exited their vehicles and exchanged information.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description of the collision given by the plaintiff was consistent with the photographs entered as Exhibits in the proceeding. It appears that the vehicle behind him had attempted to swerve to miss him and caught his rear driver-side bumper on the corner with the right-hand side, or passenger side, of the defendant's white Dodge van.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Although Mr. Gibson described his vehicle as going at 60 k.p.h. before he was hit, I am satisfied that there is insufficient evidence before me to substantiate Mr. Gibson's rate of speed or the defendant's rate of speed, or to substantiate the claim made by Mr. Gibson that, on impact, that his vehicle was pushed ahead 1/2 to 1 full car length.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Under cross-examination, Mr. Gibson agreed that he could not say for sure if he had come to a complete stop when impact occurred. As such, he had no idea of the speed of the defendant's vehicle when the impact occurred.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damage sustained by the plaintiff's vehicle was estimated to be less than $1,500. It involved damage to the rear bumper cover, driver's side light assembly and trunk lid. The damage overlapped previous damage sustained by the vehicle on October 22, 1998. The point of impact with the bumper was at a place where there is no steel under the bumper cover. The steel bumper ends before the bumper cover curves around the side of the vehicle, and the bumper cover, at that stage, merely covers a styrofoam insulator. Thus, the bumper cover has no rear support behind it at that spot where impact occurred.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There was no damage to the bumper itself; the only damage sustained being to the plastic bumper cover and styrofoam insulator. No observations were made by ICBC property damage estimators regarding any movement of doors or windows as a result of the impact.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Sean Gibson, presently aged 21, was 17 years old at the time of the accident. He lived, and still lives, with his family in Surrey, B.C. His parents operate a business known as Surrey Diesel and Injection, with his mother, Mary Gibson, responsible for the office end of the business, and his father being responsible for the shop.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Sean has worked in the shop since he was aged 13 or 14, moving up from doing basic work to cleaning pumps. In cleaning the pumps, which can weigh up to 60 lbs., the cleaner is required to stand in one spot as a spinning mechanism, known as a buffer, cleans the pump. The labour intensive part of the job is standing over the buffer holding the 60 lb. pump over the buffing mechanism and rotating it so the spinning needles ultimately remove all grit from the pump.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At the time of trial, the plaintiff was working part-time at 20 hours per week, but was working some 30 hours per week at the time of the accident. He testified to working 40 hours per week on occasion, and then on other weeks, just 10 to 20 hours. He was paid a fixed salary of $900 bi-weekly by the family company for services rendered.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November 1998, Mr. Gibson had only recently enrolled at North Delta Secondary School. Prior to that he had been a player on the regional basketball team, and had been a basketball player at St. Thomas Moore where he had played guard for that school's team. He also played soccer both before and after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the summer and fall of 1998 he had worked at the Cactus Club, working 40 hours per week. He was able to juggle this work with work in the family business because he only required four grade 12 classes to graduate. At the time of the accident, Mr. Gibson was no longer working at the Cactus Club. Following his enrolment at North Delta, he tried out for the North Delta Basketball Team and ultimately became the number one point guard for the school basketball team.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Gibson did not attend and obtain medical treatment regarding the accident until approximately two weeks after the accident. He was first seen by Dr. John Crossley, his family physician, on November 17, 1998, who testified at the trial and also provided a medical/legal report dated June 24, 2002.</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Gibson testified that he was unable to work at the family business following the motor vehicle accident for eight weeks because of his inability to stand in one position holding a pump which could weigh up to 60 pounds. He also claims special damages in the amount of $459.21 for out-of-pocket expenses related to massage and physiotherapy.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Gibson testified that he attempted to go to work the day following the motor vehicle accident but was unable to perform his duties. He testified to having become concerned about not being able to perform his work and therefore went to see Dr. Crossley some two weeks later.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He says that he did not work any full days before seeing Dr. Crossley and testified to Dr. Crossley telling him to remain physically active in the meantime. Dr. Crossley prescribed Tylenol 3 for him. He says Dr. Crossley told him that it would be okay to go to massage and physiotherapy. He testified to telling Dr. Crossley that he was experiencing a lot of pain in his shoulder, mid and upper back. He went to massage on two occasions and physiotherapy on three occasions. He finished his Tylenol 3 prescription and then proceeded to take regular strength Tylenol. He continued with physiotherapy in 1999.</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direct examination, Mr. Gibson described how he continued to play basketball following the motor vehicle accident but described himself as struggling and not playing well. He said he missed a few practises and as a result was not allowed to dress for at least one game because of the missed practises. Although he described himself as still suffering from the motor vehicle accident, he nevertheless went back to work on January 4th because he needed the money, although, according to him, he was feeling terrible and irritable.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Before returning to work however, Mr. Gibson suffered an injury to his left elbow in a fall during a basketball game on December 13, 1998. He subsequently saw Dr. Crossley and reports feeling fine within a week, although Dr. Crossley later testified that he estimated it would be some two weeks before the elbow injury would have healed.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Gibson described still struggling with pain in his back, neck and shoulder in the spring of 1999, although in February/March he began playing unorganized basketball. He sprained his ankle during a game. Shortly thereafter his mother encouraged him to enrol in a swimming program which he completed, although describing himself as being very sore at times.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Shortly thereafter, Mr. Gibson was involved in another motor vehicle accident on July 8, 1999, wherein he suffered an injury to his hip when the vehicle he was in was run off the road by another vehicle. Mr. Gibson testified that at the time he was still suffering shoulder and neck pain from the subject accident, although he was playing basketball.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Interestingly, he described himself as having trouble standing and working following the hip injury, but stated there was "no aggravation" of the injuries which are the subject matter of this litigation.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Over the following two years Mr. Gibson attended physiotherapy with the last treatment being received in the month of September 2000. He described himself as being completely recovered from the motor vehicle accident in November 2000.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His claims for non-pecuniary damages and wage loss are thus based on his expressed recovery period being some two years.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Two witnesses were called by the plaintiff; being his mother and Dr. Crossley, who was made available for cross-examination on his medical/legal report of June 24, 2002.</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Mary Gibson, the plaintiff's mother, testified as to the wage loss sought by the plaintiff for the period commencing the day following the accident, being November 5th, which was a day he was to attend to work, up to January 9th, 1999. She confirmed the plaintiff's testimony that he received a set wage of $900 every two weeks and that he did not work for the eight week period commencing November 5, 1998.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Mrs. Gibson testified to her son, the plaintiff, complaining of back, neck and shoulder pain in the months of November and December 1998. She described the plaintiff's work requirements when cleaning pumps and the physical dexterity required to hold the pump part against the spinning wheel and the requirement that the worker be standing for hours. It was she who suggested that he go and see the doctor following his December 13th, 1998, basketball injury to his elbow. She described her son as still expressing problems with his shoulder.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Under cross-examination Mrs. Gibson was confronted with the fact that she had, on becoming aware of the potential witnesses the defence intended to call, contacted those witnesses by telephone. Those witnesses included the plaintiff's manager at the Cactus Club, his soccer coach and William Edwards, his basketball coach at North Delta Secondary.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Although Mrs. Gibson denied being biased in favour of her son, I noted that under cross-examination, relative to her contacting these persons, she stated: "We're allowed to interview". Mrs. Gibson was also cross-examined with respect to the availability of work at her business. She agreed that before the accident in November of 1998, Sean was off work for a few weeks because of lack of work but denied defence counsel's assertion that there wasn't sufficient work for him to work 30 hours per week following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She agreed that the plaintiff did not work for the business from December 1997 to July 1998 because he had contracted mononucleosis. This was contrary to the evidence of Mr. Gibson, who indicated that he had merely had a short bout of mononucleosis and was, at the time of the accident, in excellent physical condition.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With respect to the ability of the plaintiff to play basketball, which I will deal with later in these reasons, Mrs. Gibson testified that she had seen her son play basketball before and after the accident. She says she noted that he did not play as well after the accident as he had played before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Dr. Crossley's medical/legal report is fairly succinct and I will set it out in its entirety:</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June 24, 2002</w:t>
      </w:r>
    </w:p>
    <w:p>
      <w:pPr>
        <w:spacing w:before="120" w:line="260" w:lineRule="atLeast"/>
        <w:ind w:left="720"/>
        <w:rPr>
          <w:lang w:val="en-US" w:eastAsia="en-US" w:bidi="ar-SA"/>
        </w:rPr>
      </w:pPr>
      <w:r>
        <w:rPr>
          <w:rFonts w:ascii="arial" w:eastAsia="arial" w:hAnsi="arial" w:cs="arial"/>
          <w:color w:val="000000"/>
          <w:sz w:val="20"/>
          <w:lang w:val="en-US" w:eastAsia="en-US" w:bidi="ar-SA"/>
        </w:rPr>
        <w:t>. . .</w:t>
      </w:r>
    </w:p>
    <w:p>
      <w:pPr>
        <w:spacing w:before="120" w:line="260" w:lineRule="atLeast"/>
        <w:ind w:left="720"/>
        <w:rPr>
          <w:lang w:val="en-US" w:eastAsia="en-US" w:bidi="ar-SA"/>
        </w:rPr>
      </w:pPr>
      <w:r>
        <w:rPr>
          <w:rFonts w:ascii="arial" w:eastAsia="arial" w:hAnsi="arial" w:cs="arial"/>
          <w:color w:val="000000"/>
          <w:sz w:val="20"/>
          <w:lang w:val="en-US" w:eastAsia="en-US" w:bidi="ar-SA"/>
        </w:rPr>
        <w:t>Dear Mr. Gibson</w:t>
      </w:r>
    </w:p>
    <w:p>
      <w:pPr>
        <w:spacing w:before="120" w:line="260" w:lineRule="atLeast"/>
        <w:ind w:left="720"/>
        <w:rPr>
          <w:lang w:val="en-US" w:eastAsia="en-US" w:bidi="ar-SA"/>
        </w:rPr>
      </w:pPr>
      <w:r>
        <w:rPr>
          <w:rFonts w:ascii="arial" w:eastAsia="arial" w:hAnsi="arial" w:cs="arial"/>
          <w:color w:val="000000"/>
          <w:sz w:val="20"/>
          <w:lang w:val="en-US" w:eastAsia="en-US" w:bidi="ar-SA"/>
        </w:rPr>
        <w:t>RE: GIBSON, SEAN</w:t>
      </w:r>
    </w:p>
    <w:p>
      <w:pPr>
        <w:spacing w:before="120" w:line="260" w:lineRule="atLeast"/>
        <w:ind w:left="720"/>
        <w:rPr>
          <w:lang w:val="en-US" w:eastAsia="en-US" w:bidi="ar-SA"/>
        </w:rPr>
      </w:pPr>
      <w:r>
        <w:rPr>
          <w:rFonts w:ascii="arial" w:eastAsia="arial" w:hAnsi="arial" w:cs="arial"/>
          <w:color w:val="000000"/>
          <w:sz w:val="20"/>
          <w:lang w:val="en-US" w:eastAsia="en-US" w:bidi="ar-SA"/>
        </w:rPr>
        <w:t>The contents of this report are entirely based on examination in office and is entirely my responsibility. Sean has been a patient in my office since April, 1997. His general health is excellent. On November 17, 1998 he was in my office with muscleskeltal complaints which troubled him since a Motor Vehicle Accident which occurred on November 2, 1998. In the accident Sean was rear-ended, he had his seat belt on and was alone in the vehicle a Dodge Intrepid. He got out to look at the damage and then drove home. He had no loss of consciousness or cuts or bruises.</w:t>
      </w:r>
    </w:p>
    <w:p>
      <w:pPr>
        <w:spacing w:before="120" w:line="260" w:lineRule="atLeast"/>
        <w:ind w:left="720"/>
        <w:rPr>
          <w:lang w:val="en-US" w:eastAsia="en-US" w:bidi="ar-SA"/>
        </w:rPr>
      </w:pPr>
      <w:r>
        <w:rPr>
          <w:rFonts w:ascii="arial" w:eastAsia="arial" w:hAnsi="arial" w:cs="arial"/>
          <w:color w:val="000000"/>
          <w:sz w:val="20"/>
          <w:lang w:val="en-US" w:eastAsia="en-US" w:bidi="ar-SA"/>
        </w:rPr>
        <w:t>Two days after the accident he reported discomfort in the mid-low back and a sore neck. He was having pain sitting and taking notes in class, (a grade 12 student at the time). He had been too sore to work helping in his father's heavy duty mechanic shop. He had also found his back was too sore for basketball or running.</w:t>
      </w:r>
    </w:p>
    <w:p>
      <w:pPr>
        <w:spacing w:before="120" w:line="260" w:lineRule="atLeast"/>
        <w:ind w:left="720"/>
        <w:rPr>
          <w:lang w:val="en-US" w:eastAsia="en-US" w:bidi="ar-SA"/>
        </w:rPr>
      </w:pPr>
      <w:r>
        <w:rPr>
          <w:rFonts w:ascii="arial" w:eastAsia="arial" w:hAnsi="arial" w:cs="arial"/>
          <w:color w:val="000000"/>
          <w:sz w:val="20"/>
          <w:lang w:val="en-US" w:eastAsia="en-US" w:bidi="ar-SA"/>
        </w:rPr>
        <w:t>On examination there was no evidence of cuts or bruises. He walked with a normal gait. His back muscles, (neck to low back) were tender and tight to palpation. There were no neurological abnormality [sic].</w:t>
      </w:r>
    </w:p>
    <w:p>
      <w:pPr>
        <w:spacing w:before="120" w:line="260" w:lineRule="atLeast"/>
        <w:ind w:left="720"/>
        <w:rPr>
          <w:lang w:val="en-US" w:eastAsia="en-US" w:bidi="ar-SA"/>
        </w:rPr>
      </w:pPr>
      <w:r>
        <w:rPr>
          <w:rFonts w:ascii="arial" w:eastAsia="arial" w:hAnsi="arial" w:cs="arial"/>
          <w:color w:val="000000"/>
          <w:sz w:val="20"/>
          <w:lang w:val="en-US" w:eastAsia="en-US" w:bidi="ar-SA"/>
        </w:rPr>
        <w:t>He was advised that he had a muscle injury and to resume his usual activities as pain permitted. Sean had upper back pain through November, December and January. He remained as active as possible as advised but was unable to work until mid January, 1999. He did physiotherapy and massage therapy weekly from November, 1998 to March 1999 which gave pain relief and allowed him to be more active. He took Tylenol #3 sparingly for pain in November, 1998 but no further prescriptions were necessary.</w:t>
      </w:r>
    </w:p>
    <w:p>
      <w:pPr>
        <w:spacing w:before="120" w:line="260" w:lineRule="atLeast"/>
        <w:ind w:left="720"/>
        <w:rPr>
          <w:lang w:val="en-US" w:eastAsia="en-US" w:bidi="ar-SA"/>
        </w:rPr>
      </w:pPr>
      <w:r>
        <w:rPr>
          <w:rFonts w:ascii="arial" w:eastAsia="arial" w:hAnsi="arial" w:cs="arial"/>
          <w:color w:val="000000"/>
          <w:sz w:val="20"/>
          <w:lang w:val="en-US" w:eastAsia="en-US" w:bidi="ar-SA"/>
        </w:rPr>
        <w:t>Sean was seen again on November, [sic] 1999, he had been involved in a 2nd Motor Vehicle Accident. He had injure [sic] his right hip, the x-rays showed acetabular dysplasia bilaterally. This is an x-ray finding and is a very mild congenital condition. This condition would have had no bearing at all on his previous injury and would not predispose him to a sore back, neck or sore muscles.</w:t>
      </w:r>
    </w:p>
    <w:p>
      <w:pPr>
        <w:spacing w:before="120" w:line="260" w:lineRule="atLeast"/>
        <w:ind w:left="720"/>
        <w:rPr>
          <w:lang w:val="en-US" w:eastAsia="en-US" w:bidi="ar-SA"/>
        </w:rPr>
      </w:pPr>
      <w:r>
        <w:rPr>
          <w:rFonts w:ascii="arial" w:eastAsia="arial" w:hAnsi="arial" w:cs="arial"/>
          <w:color w:val="000000"/>
          <w:sz w:val="20"/>
          <w:lang w:val="en-US" w:eastAsia="en-US" w:bidi="ar-SA"/>
        </w:rPr>
        <w:t>Sean was reviewed again on May 31, 2000 he was active in sports and was working but still had neck and shoulder pain on a [sic] intermittent basis. He was occasionally attending physiotherapy for this according to my notes.</w:t>
      </w:r>
    </w:p>
    <w:p>
      <w:pPr>
        <w:spacing w:before="120" w:line="260" w:lineRule="atLeast"/>
        <w:ind w:left="720"/>
        <w:rPr>
          <w:lang w:val="en-US" w:eastAsia="en-US" w:bidi="ar-SA"/>
        </w:rPr>
      </w:pPr>
      <w:r>
        <w:rPr>
          <w:rFonts w:ascii="arial" w:eastAsia="arial" w:hAnsi="arial" w:cs="arial"/>
          <w:color w:val="000000"/>
          <w:sz w:val="20"/>
          <w:lang w:val="en-US" w:eastAsia="en-US" w:bidi="ar-SA"/>
        </w:rPr>
        <w:t>Sean was in for review in June, 2002 he feels he had fully recovered from his neck and back injury in late 2000.</w:t>
      </w:r>
    </w:p>
    <w:p>
      <w:pPr>
        <w:spacing w:before="120" w:line="260" w:lineRule="atLeast"/>
        <w:ind w:left="720"/>
        <w:rPr>
          <w:lang w:val="en-US" w:eastAsia="en-US" w:bidi="ar-SA"/>
        </w:rPr>
      </w:pPr>
      <w:r>
        <w:rPr>
          <w:rFonts w:ascii="arial" w:eastAsia="arial" w:hAnsi="arial" w:cs="arial"/>
          <w:color w:val="000000"/>
          <w:sz w:val="20"/>
          <w:lang w:val="en-US" w:eastAsia="en-US" w:bidi="ar-SA"/>
        </w:rPr>
        <w:t>I don't anticipate any further problems in the area as he is very active in sports and is quite fit. No further testing or treatment seem indicated at this time. The opinions expressed in this letter are based on information provded [sic] by the patient.</w:t>
      </w:r>
    </w:p>
    <w:p>
      <w:pPr>
        <w:spacing w:before="120" w:line="260" w:lineRule="atLeast"/>
        <w:ind w:left="720"/>
        <w:rPr>
          <w:lang w:val="en-US" w:eastAsia="en-US" w:bidi="ar-SA"/>
        </w:rPr>
      </w:pPr>
      <w:r>
        <w:rPr>
          <w:rFonts w:ascii="arial" w:eastAsia="arial" w:hAnsi="arial" w:cs="arial"/>
          <w:color w:val="000000"/>
          <w:sz w:val="20"/>
          <w:lang w:val="en-US" w:eastAsia="en-US" w:bidi="ar-SA"/>
        </w:rPr>
        <w:t>I hope the above information is helpful. If you require any other information please contact my office.</w:t>
      </w:r>
    </w:p>
    <w:p>
      <w:pPr>
        <w:spacing w:before="120" w:line="260" w:lineRule="atLeast"/>
        <w:ind w:left="720"/>
        <w:rPr>
          <w:lang w:val="en-US" w:eastAsia="en-US" w:bidi="ar-SA"/>
        </w:rPr>
      </w:pPr>
      <w:r>
        <w:rPr>
          <w:rFonts w:ascii="arial" w:eastAsia="arial" w:hAnsi="arial" w:cs="arial"/>
          <w:color w:val="000000"/>
          <w:sz w:val="20"/>
          <w:lang w:val="en-US" w:eastAsia="en-US" w:bidi="ar-SA"/>
        </w:rPr>
        <w:t>Sincerely,</w:t>
      </w:r>
    </w:p>
    <w:p>
      <w:pPr>
        <w:spacing w:before="120" w:line="260" w:lineRule="atLeast"/>
        <w:ind w:left="720"/>
        <w:rPr>
          <w:lang w:val="en-US" w:eastAsia="en-US" w:bidi="ar-SA"/>
        </w:rPr>
      </w:pPr>
      <w:r>
        <w:rPr>
          <w:rFonts w:ascii="arial" w:eastAsia="arial" w:hAnsi="arial" w:cs="arial"/>
          <w:color w:val="000000"/>
          <w:sz w:val="20"/>
          <w:lang w:val="en-US" w:eastAsia="en-US" w:bidi="ar-SA"/>
        </w:rPr>
        <w:t>John F.A. Crossley, B.Sc., M.D.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As can be seen, the medical/legal report was prepared some 3 1/2 years after the accident, and some 6 months before this trial. Most of the information is, of course, information obtained from the plaintiff. A review of Dr. Crossley's clinical records maintained by him with respect to the plaintiff discloses that the plaintiff was first seen following the accident on November 17, 1998 and that the next visit was on December 14th, following the basketball elbow injury of December 13th. Relative to this injury, Dr. Crossley opined, under cross-examination, that he thought the elbow injury would take up to two weeks to resolve.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next attendance at Dr. Crossley was February 2, 1999. On that visit, Dr. Crossley noted that the plaintiff had stopped playing basketball although he was unsure if it was due to the accident or not. In fact, the plaintiff had been removed from the basketball team shortly after his elbow injury of December 13th, 1998.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plaintiff's next attendance on Dr. Crossley was relative to a motor vehicle accident that occurred on July 8, 1999 and was related to the right hip injury sustained in that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Reference is made to a November 22, 1999 visit where the plaintiff indicates he had recently been playing soccer. He attended again on May 31, 2000 relative to a further injury to his right hip and, at that time, also indicated right shoulder and neck pain.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Although no longer playing organized basketball, the plaintiff had, in the spring of 1999, taken up, from February to March, recreational basketball with friends. He subsequently sprained his ankle in March of 1999 and as a result of that injury attended physiotherapy on three occasions but did not miss any work. It was shortly after that injury that he commenced the swimming program that his mother had encouraged him to take.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the late fall of 1999, the plaintiff worked at Container World. His job duties consisted of carrying boxes of wine. He worked there because there was insufficient full time hours at his mother's business because business had slowed down at that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Prior to taking on that work, the plaintiff and his parents had travelled to Ireland for three weeks. Under cross-examination he agreed that while in Ireland, in September 1999, it was only his hip that bothered him. He also agreed that his ability to play soccer in September 1999 was not affected by any injuries sustained in the 1998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Under cross-examination, the plaintiff described himself as an aggressive soccer player.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work at the Container Company in November 1999 was full time work where he would be continuously lifting 10 to 30 pound boxes of wine, and would over the course of a day lift "hundreds of cases".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 was subjected to vigorous cross-examination. Particular emphasis was placed on the answers given under oath by him at his examination for discovery conducted September 9, 2002, some three months prior to the trial. He was directed to various portions of his discovery when under cross-examination he stated he could not recall something or when he gave an answer that was inconsistent with his previous response at the discovery.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Relative to his right shoulder complaints, he was referred to questions and answers given at this discovery, commencing at question 139 through 141:</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And when after the accident did you start</w:t>
            </w:r>
          </w:p>
        </w:tc>
        <w:tc>
          <w:tcPr>
            <w:tcW w:w="1024"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improvement with your right shoulder?</w:t>
            </w:r>
          </w:p>
        </w:tc>
        <w:tc>
          <w:tcPr>
            <w:tcW w:w="1024" w:type="dxa"/>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512"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7885"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There would be -- it was never -- it would feel good and then I would do something physical and it would stiffen up on me and feel tight and uncomfortable.</w:t>
            </w:r>
          </w:p>
        </w:tc>
        <w:tc>
          <w:tcPr>
            <w:tcW w:w="1024"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512"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7885"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Okay. Maybe, can you tell me, did you start to feel better within days or weeks or months of the accident?</w:t>
            </w:r>
          </w:p>
        </w:tc>
        <w:tc>
          <w:tcPr>
            <w:tcW w:w="1024"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I would say maybe after six months it felt better. I think I stopped going to physio for a little while and then it was fine for a while. I didn't go back to the doctor or go back to physio for a while, and then -- I can't even remember exactly the date, but I started having some discomfort and problems --</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717"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Was it more discomfort than pain?</w:t>
            </w:r>
          </w:p>
        </w:tc>
        <w:tc>
          <w:tcPr>
            <w:tcW w:w="1024"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717"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It's hard to say. There was pain and discomfort.</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Relative to his back pain, the plaintiff responded, in answer to question 154:</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It was -- it wasn't very much pain, it was more discomfort, and that lasted for over a year.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He later went on to describe the back pain. The plaintiff indicated that he would be subjected to discomfort after "strenuous activities" which he described at answer 156:</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Working, studying, going to school. When I would have my neck with my chin down my -- it really makes my entire back or my -- mostly my right trapezius and my mid and lower back stiff and sore.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Commencing with Q 157 through 160, the following questions and answers were given: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Anyways, after about a year following the accident you had no problems with your back; is that right?</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717"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Sorry?</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After about a year following the accident you had no problems with your back?</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717"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Not with my back. With my shoulder still I think.</w:t>
            </w:r>
          </w:p>
        </w:tc>
        <w:tc>
          <w:tcPr>
            <w:tcW w:w="1024"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717"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Just talking about your back --</w:t>
            </w:r>
          </w:p>
        </w:tc>
        <w:tc>
          <w:tcPr>
            <w:tcW w:w="1024"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717"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Okay.</w:t>
            </w:r>
          </w:p>
        </w:tc>
        <w:tc>
          <w:tcPr>
            <w:tcW w:w="1024"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717"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 is that right?</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I'm not exactly sure. I might have gone to physio for it once or twice after a year.</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found, on being referred to his previous sworn testimony taken at the examination for discovery in September, the result was, generally, that the plaintiff appeared to be embellishing his pain and suffering in his testimony at trial as compared to his evidence at discovery.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There is no doubt from the evidence presented from the plaintiff and his basketball coach at the time of the motor vehicle accident, William Edwards, that the plaintiff is extremely sports minded, aggressive and competitive.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found the evidence of his basketball coach, which I will review shortly, regarding his physical attributes following the accident to be totally inconsistent with the picture presented by the plaintiff of his pain and suffering as a result of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While Mrs. Gibson testified that her son did not play as well after the accident as he did before, that testimony, where it is inconsistent with the testimony of the coach, can only be viewed as coming from a biased source. Mr. Edwards, on the other hand, is a basketball coach with some 30 years experience, principally coaching grade 11 basketball teams, although in the past he has coached at the university level. He is no longer a coach but still referees basketball.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Edwards described basketball as being the ultimate sport requiring agility and quickness with the ability to jump and change directions quickly being paramount. He described body movements that are required of all players; those body movements consisting of the ability to suddenly accelerate and decelerate, coupled with the ability to run hard while not looking at what the player is doing with the ball. He described the movements of one's arms while playing basketball. A full range of motion is required for reaching up, waiving hands on defence, passing and dribbling.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Edwards testified to having received a telephone communication from Mrs. Gibson, when she left a message for him prior to this trial. He testified to having called her back. He indicated that she was concerned about what his testimony would be and her asking if she could get a copy of the statement he had given to a representative of the defence. He quoted her as advising him that with respect to his testimony at this trial - " . . . I just had to answer questions and not to elaborate".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Edwards described his observations of the plaintiff at about the time of the motor vehicle accident. He explained how the basketball team does not get formally set up until some time in mid-November following voluntary drills and scrimmages which persons trying out for the basketball team will attend and where they can be viewed by the coaching staff. He described how players are ranked based on where they would fit in to the team.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plaintiff was perceived as being a required starter based on the formal practices that took place in late November after the motor vehicle accident. Mr. Edwards described the plaintiff as being aggressive, a great team player, and either the best or one of the best players on the team. The plaintiff was designated by the coaches as the number one point guard.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Edwards described how the league games start. The league would normally start on the third Friday in November, with exhibition games, followed by regular league play starting after Christmas. He was not made aware that the plaintiff was in a motor vehicle accident on November 2, 1998. This, of course, was consistent with the plaintiff's evidence that he did not tell the coach, or anyone, that he had been involved in a motor vehicle accident for fear that he would not be able to attend an exhibition tournament in the United States in December if they became aware of his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Edwards described the formal practice regime which took place after the third Friday in November and the team schedule of 3 or 4 exhibition games per week up to the Christmas break. Over this period of time, Mr. Edwards ranked the plaintiff as the team's number one point guard for various reasons including the plaintiff had the best outside shot, he saw the floor better than anyone else, and he could see over the players better than anyone else. He recalled that the plaintiff may have missed two practices and he specifically recalled one conversation with the plaintiff after one practice was missed when the plaintiff told him that he wasn't at the practice because he was working. After that, there was a discussion of the team's expectations of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Coach Edwards discussed the policy of the school basketball team regarding missed practices. He testified that the policy was that if one practice was missed, then you did not dress for the next game, and if you missed two practices, then you were off the team. Mr. Edwards discussed how there were exceptions to the team policy and he thought, because of the plaintiff's basketball prowess, they may have made an exception for him but he could not recall. He did say, however, that the coaches were much more patient with the plaintiff than with anyone else because of his superior playing abilities.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Edwards estimated that from the third Friday in November up until December 13th when the plaintiff injured his elbow during a basketball game, the plaintiff played in at least 8 to 10 games. He described the play of the plaintiff in those games. He recalled the plaintiff playing hard and tough, and that he was an excellent team player. He described playing the plaintiff in those games for 30 minutes of a 40 minute game. This was, in part, due to the fact that in the first games of the season, they only had 5 to 7 players. He observed no limitations in the play of the plaintiff and had no concerns about his play. Based on his 30 years of experience coaching basketball teams, he described the plaintiff's play, essentially, as being uncompromised. He described the plaintiff as playing with intensity and aggression. He also described the injury sustained by the plaintiff on December 13th being a couple of days before the team left for the tournament in the United States. The plaintiff went down very hard and at the time. The coach thought he would require a week to 10 days to recover.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further describing the plaintiff, Mr. Edwards, utilizing his 30 years experience, described the plaintiff as not being a practice player, and not being the most coachable person. He described the plaintiff as merely going through the motions during practice but a different person when playing.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Coach Edwards was asked to provide his observations of the plaintiff while playing basketball following the third Friday in November. He testified that defensively the plaintiff was a "firecracker" who played hard, harassed players with the ball and was a tough defenseman. Offensively, he described the plaintiff as penetrating shots against players "twice his height". Mr. Edwards was impressed with the plaintiff's physical play. He described the plaintiff's ability to rebound and challenge a dribbler. He said "Sean did it very well, with a lot of speed and intensity".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While there was some oblique reference to Mr. Edwards being biased against the plaintiff, his testimony essentially remained unscathed during cross-examination.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DISCUSSION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Against this background of highly conflicting testimony relative to the physical dexterity of the plaintiff following the motor vehicle accident of November 2nd, 1998, the court is asked to determine what compensation, if any, should be awarded to the plaintiff under the heads of damages claimed.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This is not a case where pain and suffering has allegedly continued past all reasonable expectations of recovery. However, the prudent words of McEachern C.J.S.C. (as he then was) are of relevance to the evidence presented in this case. In Price v. Kostryba et al </w:t>
      </w:r>
      <w:hyperlink r:id="rId106" w:history="1">
        <w:r>
          <w:rPr>
            <w:rFonts w:ascii="arial" w:eastAsia="arial" w:hAnsi="arial" w:cs="arial"/>
            <w:i/>
            <w:color w:val="0077CC"/>
            <w:sz w:val="20"/>
            <w:u w:val="single"/>
            <w:shd w:val="clear" w:color="auto" w:fill="FFFFFF"/>
            <w:lang w:val="en-US" w:eastAsia="en-US" w:bidi="ar-SA"/>
          </w:rPr>
          <w:t>(1986), 70 B.C.L.R. 397</w:t>
        </w:r>
      </w:hyperlink>
      <w:r>
        <w:rPr>
          <w:rFonts w:ascii="arial" w:eastAsia="arial" w:hAnsi="arial" w:cs="arial"/>
          <w:color w:val="000000"/>
          <w:sz w:val="20"/>
          <w:lang w:val="en-US" w:eastAsia="en-US" w:bidi="ar-SA"/>
        </w:rPr>
        <w:t xml:space="preserve"> (S.C.), his Lordship said, at p. 399:</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In Butler v. Blaylock, </w:t>
      </w:r>
      <w:hyperlink r:id="rId528" w:history="1">
        <w:r>
          <w:rPr>
            <w:rFonts w:ascii="arial" w:eastAsia="arial" w:hAnsi="arial" w:cs="arial"/>
            <w:i/>
            <w:color w:val="0077CC"/>
            <w:sz w:val="20"/>
            <w:u w:val="single"/>
            <w:shd w:val="clear" w:color="auto" w:fill="FFFFFF"/>
            <w:lang w:val="en-US" w:eastAsia="en-US" w:bidi="ar-SA"/>
          </w:rPr>
          <w:t>[1981] B.C.J. No. 31</w:t>
        </w:r>
      </w:hyperlink>
      <w:r>
        <w:rPr>
          <w:rFonts w:ascii="arial" w:eastAsia="arial" w:hAnsi="arial" w:cs="arial"/>
          <w:color w:val="000000"/>
          <w:sz w:val="20"/>
          <w:lang w:val="en-US" w:eastAsia="en-US" w:bidi="ar-SA"/>
        </w:rPr>
        <w:t>, decided 7th October 1981, Vancouver No. B781505, I referred to counsel's argument that a defendant is often at the mercy of a plaintiff in actions for damages for personal injuries because complaints of pain cannot easily be disproved. I then said:</w:t>
      </w:r>
    </w:p>
    <w:p>
      <w:pPr>
        <w:spacing w:before="120" w:line="260" w:lineRule="atLeast"/>
        <w:ind w:left="1080"/>
        <w:rPr>
          <w:lang w:val="en-US" w:eastAsia="en-US" w:bidi="ar-SA"/>
        </w:rPr>
      </w:pPr>
      <w:r>
        <w:rPr>
          <w:rFonts w:ascii="arial" w:eastAsia="arial" w:hAnsi="arial" w:cs="arial"/>
          <w:color w:val="000000"/>
          <w:sz w:val="20"/>
          <w:lang w:val="en-US" w:eastAsia="en-US" w:bidi="ar-SA"/>
        </w:rPr>
        <w:t>I am not stating any new principle when I say that the court should be exceedingly careful when there is little or no objective evidence of continuing injury and when complaints of pain persist for long periods extending beyond the normal or usual recovery.</w:t>
      </w:r>
    </w:p>
    <w:p>
      <w:pPr>
        <w:spacing w:before="120" w:line="260" w:lineRule="atLeast"/>
        <w:ind w:left="1080"/>
        <w:rPr>
          <w:lang w:val="en-US" w:eastAsia="en-US" w:bidi="ar-SA"/>
        </w:rPr>
      </w:pPr>
      <w:r>
        <w:rPr>
          <w:rFonts w:ascii="arial" w:eastAsia="arial" w:hAnsi="arial" w:cs="arial"/>
          <w:color w:val="000000"/>
          <w:sz w:val="20"/>
          <w:lang w:val="en-US" w:eastAsia="en-US" w:bidi="ar-SA"/>
        </w:rPr>
        <w:t>An injured person is entitled to be fully and properly compensated for any injury or disability caused by a wrongdoer. But no one can expect his fellow citizen or citizens to compensate him in the absence of convincing evidence - which could be just his own evidence if the surrounding circumstances are consistent - that his complaints of pain are true reflections of a continuing injury.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this case, the testimony of the plaintiff, if believed, and in the absence of any surrounding circumstances that are inconsistent with that testimony might support a two year recovery period. However, what we have in this case is overwhelming evidence that the plaintiff remained physically active in a sport that requires extreme physical exertion for some time before injuring his elbow on December 13th. If he did indicate to his treating physician that he had quit basketball he did not tell him, in fact, that he had, at that time, been dismissed from the team for an unrelated activity.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find the evidence of Mr. Edwards to be impartial, objective and compelling. That evidence could, however, still be consistent with the plaintiff suffering discomfort at times but such discomfort being at a frequency and level of minor proportions.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fact, although already commented upon earlier in these reasons, I found the plaintiff to be inconsistent relative to the history of his pain and suffering, and it was only when being repeatedly referred to his previous statements given under oath at his discovery, just three months prior, that a better picture of the plaintiff's alleged pain and suffering could be seen.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addition, there are the post-accident injuries sustained by the plaintiff in December 1998 as a result of the hard fall when he injured his elbow, in March 1999 as a result of the sprained ankle and in July 1999 as a result of the second motor vehicle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Lastly, there is the evidence of the plaintiff being able to work full time lifting cartons of wine estimated to weigh between 10 to 30 pounds, with a frequency rate in the hundreds per day in November 1999.</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totality of this evidence, in my view, is so inconsistent with the plaintiff's claim of not having "fully recovered until November 2000" to make his claim highly improbable.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will accept that an individual can suffer discomfort rather than pain, and that this discomfort can, in certain circumstances, impede one's ability in one physical activity while not necessarily impeding to the same degree one's ability to perform another physical process. I do not accept, however, that an individual could suffer a moderate whiplash injury, as claimed by the plaintiff, and still be able to perform, as well as he did following the accident, the physical demands of a basketball player with his undisputed qualities.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my view, the only conclusion I can come to is that the plaintiff suffered a mild whiplash type injury. In coming to this conclusion I have rejected the defence position that the plaintiff suffered no damage as a result of the motor vehicle accident. I find the plaintiff to be an individual who will minimize and embellish when the need to do so suits him. For example, in describing his health prior to the accident he did not advise the court that he had been ill with mononucleosis from December 1997 to such an extent that he was unable to work in the family business until July 1998.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Further, his direct testimony relative to his pain and inability to perform certain tasks was inconsistent with the evidence given by him at his examination for discovery.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 therefore find that the plaintiff had, essentially, made a full recovery from his whiplash type injury within three months when he started playing recreational basketball and subsequently injured his ankle. I find that the remaining discomfort he experienced had essentially resolved itself by September 1999, when he and his family went to Ireland for three weeks, and on his return he started work at the container company lifting and moving cartons of wine. I find that any pain sustained by the plaintiff over this time must, essentially, be described as discomfort. I reject any evidence that continuing pain or discomfort after that time is somehow related to this motor vehicle accident. There is evidence of numerous injuries following the accident and injuries sustained by the plaintiff, for example, while weight lifting. There is simply no convincing evidence before me that would lead me to conclude, on a balance of probabilities, that any further discomfort is wholly or in part associated with this motor vehicle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my view, this is a case where the court must be cognizant of the conflict in the plaintiff's allegations of his reduced abilities and pain and the objective independent assessments of his physical agility following the motor vehicle accident. The plaintiff's non-disclosure to his coach of his discomfort following the accident is a neutral factor. In my view, an appropriate award for his pain and suffering over the period of time indicated is $4,000.</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WAGE LOSS CLAIM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plaintiff claims gross income loss for 8 weeks.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That calculation does not take into account the fact that he was injured on December 13th, or the fact that had he not been sent back from the tournament in the United States he would have been unavailable to work. I do, however, accept the evidence of Mrs. Gibson that there was work available for him if he was able to do it, and that the did not perform that work. I also accept that the requirement to stand in one position holding a sixty pound object against a spinning wheel is quite different from the physical dexterity required to be moving around a basketball court or a soccer field.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But, at the same time, the compelling evidence of Mr. Edwards as to the physical abilities of the plaintiff after the third week in November are impossible to rationalize with the assertions of the plaintiff that he could not do the physical work required at his employment after the third Friday in November.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 accept that the plaintiff was unable to work for a period of time. That time must end on November 29, 1998, when the basketball season started in earnest and the observations of Coach Edwards were made of the plaintiff's ability and mobility. This represents a total of three weeks, or $1,350 gross wages. Based on the 1998 Income Tax Return of the plaintiff I would apply a marginal rate of 10%, thus reducing it to a net amount of $1,215.</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SPECIAL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plaintiff claims, in total, special damages in the amount of $459.21, representing $100 as a mileage claim for attendance at physiotherapy, and the balance of $359.21 for physiotherapy, massage and medicinal expenses.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claim for mileage was made at the end of the trial without any evidence at all to substantiate it. I would not allow any expense for mileage.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evidence with respect to necessary physiotherapy and massage therapy is sketchy at best. His attendance at physiotherapy and massage therapy is confirmed by Dr. Crossley and I accept that that therapy is related to the plaintiff's motor vehicle accident in question. I would not find it proper to accept any other special damage claim sought by the plaintiff solely on his evidence that the therapy was directly related to the accident in question. Without any corroborative evidence, this reluctance must result in a denial of any physiotherapy, massage therapy and medicinal claims past March 1999. Therefore, I allow the amount of $179.22 for special damages, representing one prescription for Tylenol #3, two message therapy sessions at $60 each, and five physiotherapy sessions, up to and including February 15, 1999.</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In summary the defendant shall pay to the plaintiff damages as follows: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1882"/>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3277"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Non-Pecuniary Damages</w:t>
            </w:r>
          </w:p>
        </w:tc>
        <w:tc>
          <w:tcPr>
            <w:tcW w:w="1843"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$ 4,000.00</w:t>
            </w:r>
          </w:p>
        </w:tc>
        <w:tc>
          <w:tcPr>
            <w:tcW w:w="4506"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510"/>
        <w:gridCol w:w="2718"/>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2458"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Wage Loss</w:t>
            </w:r>
          </w:p>
        </w:tc>
        <w:tc>
          <w:tcPr>
            <w:tcW w:w="2662"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$ 1,215.00</w:t>
            </w:r>
          </w:p>
        </w:tc>
        <w:tc>
          <w:tcPr>
            <w:tcW w:w="4506"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928"/>
        <w:gridCol w:w="1150"/>
        <w:gridCol w:w="1150"/>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2867"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Special Damages</w:t>
            </w:r>
          </w:p>
        </w:tc>
        <w:tc>
          <w:tcPr>
            <w:tcW w:w="1126"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w:t>
            </w:r>
          </w:p>
        </w:tc>
        <w:tc>
          <w:tcPr>
            <w:tcW w:w="1126"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179.22</w:t>
            </w:r>
          </w:p>
        </w:tc>
        <w:tc>
          <w:tcPr>
            <w:tcW w:w="4506"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301"/>
        <w:gridCol w:w="2927"/>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2253"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TOTAL</w:t>
            </w:r>
          </w:p>
        </w:tc>
        <w:tc>
          <w:tcPr>
            <w:tcW w:w="2867"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$ 5,394.22</w:t>
            </w:r>
          </w:p>
        </w:tc>
        <w:tc>
          <w:tcPr>
            <w:tcW w:w="4506"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Given the result, I will hear further submissions regarding costs.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CHAMBERLIST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5" style="position:absolute;z-index:251817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9"/>
          <w:headerReference w:type="default" r:id="rId530"/>
          <w:footerReference w:type="even" r:id="rId531"/>
          <w:footerReference w:type="default" r:id="rId532"/>
          <w:headerReference w:type="first" r:id="rId533"/>
          <w:footerReference w:type="first" r:id="rId53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535" w:history="1">
        <w:r>
          <w:rPr>
            <w:rFonts w:ascii="arial" w:eastAsia="arial" w:hAnsi="arial" w:cs="arial"/>
            <w:b/>
            <w:bCs/>
            <w:i/>
            <w:color w:val="0077CC"/>
            <w:kern w:val="32"/>
            <w:sz w:val="28"/>
            <w:szCs w:val="32"/>
            <w:u w:val="single"/>
            <w:shd w:val="clear" w:color="auto" w:fill="FFFFFF"/>
            <w:lang w:val="en-US" w:eastAsia="en-US" w:bidi="ar-SA"/>
          </w:rPr>
          <w:t>Lewis v. Magil, [2003] B.C.J. No. 196</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Dillon J.</w:t>
      </w:r>
    </w:p>
    <w:p>
      <w:pPr>
        <w:spacing w:before="120" w:line="260" w:lineRule="atLeast"/>
        <w:jc w:val="center"/>
        <w:rPr>
          <w:lang w:val="en-US" w:eastAsia="en-US" w:bidi="ar-SA"/>
        </w:rPr>
      </w:pPr>
      <w:r>
        <w:rPr>
          <w:rFonts w:ascii="arial" w:eastAsia="arial" w:hAnsi="arial" w:cs="arial"/>
          <w:color w:val="000000"/>
          <w:sz w:val="20"/>
          <w:lang w:val="en-US" w:eastAsia="en-US" w:bidi="ar-SA"/>
        </w:rPr>
        <w:t>Heard: May 27 - 31, June 2 and 4, 2002.</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January 28, 2003.</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B963744</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[2003] B.C.J. No. 196</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2003 BCSC 141</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119 A.C.W.S. (3d) 584</w:t>
      </w:r>
    </w:p>
    <w:p>
      <w:pPr>
        <w:spacing w:before="120" w:line="260" w:lineRule="atLeast"/>
        <w:rPr>
          <w:lang w:val="en-US" w:eastAsia="en-US" w:bidi="ar-SA"/>
        </w:rPr>
      </w:pPr>
      <w:r>
        <w:rPr>
          <w:rFonts w:ascii="arial" w:eastAsia="arial" w:hAnsi="arial" w:cs="arial"/>
          <w:color w:val="000000"/>
          <w:sz w:val="20"/>
          <w:lang w:val="en-US" w:eastAsia="en-US" w:bidi="ar-SA"/>
        </w:rPr>
        <w:t>Between Shelley Ann Lewis, plaintiff, and Blair Magil and Insurance Corporation of British Columbia,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(81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06" style="position:absolute;z-index:251681792"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18" w:name="Keywords_4"/>
      <w:bookmarkEnd w:id="118"/>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Causal connection — Damage awards — Neck injuries — Back — Soft tissue injuries — General damage awards — Pain and suffering, loss of amenities and other nonpecuniary damages.</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19" w:name="Case Summary_3"/>
            <w:bookmarkEnd w:id="119"/>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Lewis against Magil for damages for injuries sustained in a motor vehicle accident. She claimed that as a result of the accident, she suffered headaches for seven years that delayed her entry into the workforce. Lewis was a passenger in a vehicle driven by Magil. The accident occurred on January 17, 1995 when Magil's vehicle was hit from behind as he waited to make a turn. Lewis strained her neck and lower back in the accident. She quit school and began working as a waitress. Her general practitioner, who could find no objective evidence to support her complaints, did not recommend this. Lewis did not report that she experienced headaches until seven weeks after the accident. By May 1995, when Lewis was discharged from a recovery management program, the pain in her neck had mostly subsided. She continued to have pain in her lower back when she sat for more than 20 minutes. She was symptom-free on some days. There was no suggestion at that time of debilitating headaches. After six months, Lewis had a stiff back and some neck pain. There were no objective findings to support any continued disability. At nine months, the neck pain continued but her general practitioner could find no basis for the continued problems. There followed a series of referrals over the years to ascertain the nature of Lewis's problems. None of these physicians could find an objective basis for Lewis's complaints. Some of the physicians who examined Lewis were not given an accurate medical history by her. One physician who concluded that her headaches were caused by the accident withdrew that opinion when he was presented with an accurate history of her symptoms. The general consensus from the medical evidence was that Lewis's headaches had nothing to do with the accident. Lewis claimed damages of $1 million. Magil submitted that Lewis suffered relatively minor soft tissue injuries that resolved themselves within 18 months. </w:t>
            </w:r>
            <w:r>
              <w:rPr>
                <w:lang w:val="en-US" w:eastAsia="en-US" w:bidi="ar-SA"/>
              </w:rPr>
              <w:cr/>
            </w:r>
          </w:p>
          <w:p>
            <w:pPr>
              <w:spacing w:before="120" w:line="260" w:lineRule="atLeast"/>
              <w:ind w:left="240"/>
              <w:jc w:val="both"/>
              <w:rPr>
                <w:lang w:val="en-US" w:eastAsia="en-US" w:bidi="ar-SA"/>
              </w:rPr>
            </w:pPr>
            <w:bookmarkStart w:id="120" w:name="Holdings of Court_3"/>
            <w:bookmarkEnd w:id="120"/>
            <w:r>
              <w:rPr>
                <w:rFonts w:ascii="arial" w:eastAsia="arial" w:hAnsi="arial" w:cs="arial"/>
                <w:color w:val="000000"/>
                <w:sz w:val="20"/>
                <w:lang w:val="en-US" w:eastAsia="en-US" w:bidi="ar-SA"/>
              </w:rPr>
              <w:t>HELD: Action allowed in part.</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Lewis was awarded non-pecuniary damages of $28,000. The neck and back strain suffered in the accident only affected her until June 1997. Any complaints that she had after that date were not caused by the accident. Past wage losses from January to August 1995 were also allowed in the amount of $3,500. This was a generous award given that there was no evidence that she was medically required to refrain from work. Lewis did not prove that her continued headaches were caused by the accident. The medical opinions did not support her claims. Lewis was not a credible witness. She self-directed much of her care. Any part-time attendance at school was not medically directed and was planned to obtain better grades. </w:t>
            </w:r>
            <w:r>
              <w:rPr>
                <w:lang w:val="en-US" w:eastAsia="en-US" w:bidi="ar-SA"/>
              </w:rPr>
              <w:cr/>
            </w:r>
          </w:p>
          <w:p>
            <w:pPr>
              <w:rPr>
                <w:lang w:val="en-US" w:eastAsia="en-US" w:bidi="ar-SA"/>
              </w:rPr>
            </w:pPr>
          </w:p>
        </w:tc>
      </w:tr>
    </w:tbl>
    <w:p>
      <w:pPr>
        <w:jc w:val="both"/>
        <w:rPr>
          <w:lang w:val="en-US" w:eastAsia="en-US" w:bidi="ar-SA"/>
        </w:rPr>
      </w:pPr>
      <w:bookmarkStart w:id="121" w:name="Counsel_22"/>
      <w:bookmarkEnd w:id="121"/>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07" style="position:absolute;z-index:25173299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B. Lemer and D. Soiseth, for the plaintiff. G. Ritchey and D. Joyce, for the defendants.</w:t>
      </w:r>
      <w:r>
        <w:rPr>
          <w:lang w:val="en-US" w:eastAsia="en-US" w:bidi="ar-SA"/>
        </w:rPr>
        <w:cr/>
      </w:r>
    </w:p>
    <w:p>
      <w:pPr>
        <w:spacing w:after="240"/>
        <w:rPr>
          <w:lang w:val="en-US" w:eastAsia="en-US" w:bidi="ar-SA"/>
        </w:rPr>
      </w:pPr>
      <w:bookmarkStart w:id="122" w:name="Judgment_22"/>
      <w:bookmarkEnd w:id="122"/>
      <w:r>
        <w:pict>
          <v:line id="_x0000_s1108" style="position:absolute;z-index:251784192"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23" w:name="DILLON J."/>
            <w:bookmarkEnd w:id="123"/>
            <w:r>
              <w:rPr>
                <w:rFonts w:ascii="arial" w:eastAsia="arial" w:hAnsi="arial" w:cs="arial"/>
                <w:b/>
                <w:color w:val="000000"/>
                <w:sz w:val="30"/>
                <w:lang w:val="en-US" w:eastAsia="en-US" w:bidi="ar-SA"/>
              </w:rPr>
              <w:t>DILLON J.</w:t>
            </w:r>
          </w:p>
        </w:tc>
      </w:tr>
    </w:tbl>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Introduction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defendants admitted liability for a motor vehicle accident that occurred on January 17, 1995 near Southwest Marine Drive and Cambie Street in Vancouver, British Columbia in which the plaintiff, Shelley Ann Lewis, was a passenger in a vehicle driven by the defendant, Blair Magil. The plaintiff claims that, as a result of the accident, she has suffered personal injury, particularly headaches for over seven years, which has delayed her entry into the workforce, caused her to lose earning capacity and employment income, caused special damage, and will cost for future care. The plaintiff claims a total loss in excess of one million dollars. The defendants assert that the plaintiff's claim that she was left with disabling headaches as a result of the accident has not been proven and that the damages suffered were relatively minor soft tissue injuries that resolved within eighteen months. Because of the wide divergence in positions, it will be necessary to review the evidence in detail.</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Facts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January 17, 1995, the plaintiff was a passenger in a motor vehicle that was stopped, waiting to turn left, when it was hit from behind. The plaintiff testified at trial that she was reading a CD cover with her head down when the accident occurred. She said that she had no warning that the accident was about to occur. She did not recall seeing the other vehicle involved. She said that she did not look up when she was hit. However, in a statement given to police the day following the accident, which the plaintiff admitted under cross-examination to be true, the plaintiff reported that her vehicle had stopped for about three seconds when she looked up in response to a scream from the defendant and was then hit by a blue pickup with a coloured stripe that then drove away. The plaintiff's vehicle spun around and came to a halt. The plaintiff explained that her recollection closer to the time was probably more accurate, but she preferred her memory as it existed now. Notably, the plaintiff did not provide these details to her first treating physicians and first gave this testimonial history of the accident to Dr. Gordon Robinson 39 months later.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felt stiff in her neck and back but attended her classes the next day at Langara College where she was a full time student, having graduated from high school in 1993. She left the class with the blessing of her professor who encouraged her to go home, but she continued to work full shifts at her part time waitressing job throughout the first week after the accident. She missed classes afterwards but worked at home on her papers and met with her professors on a monthly basis. It is unclear from her evidence exactly how many classes she initially missed.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attended to her general physician, Dr. Murschell on January 18, 1995 complaining of discomfort from her low back to her neck and with rotation and side flexion of her neck in either direction. A trial of physiotherapy was recommended.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did not recall how much work she missed the first week after the accident and did not know if she had headaches at that time. She said that her back spasmed when driving to work. In fact, the plaintiff's evidence is quite confused as to her early symptoms, how often she worked, and how much school she missed.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From the physiotherapy records, it appears that the plaintiff began attending physiotherapy on January 19, 1995 when the physiotherapist wrote a letter to the school about prolonged sitting. The physiotherapist also notes on January 25, 1995 that the plaintiff was not to return to school yet. The January 19, 1995 note to the school is not in evidence before me. However, a note dated February 1, 1995 from the physiotherapist suggests rest from work and study. The general practitioner's notes indicate that the plaintiff reported on January 25, 1995 that she had not attended school for the last two weeks.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testified that she had headaches that increased when she wrote papers for school. She said at first that these began in February, before she had her wisdom teeth removed on March 10, 1995. She said that her complaints of headaches were such that either her doctor, Dr. Murschell, or her physiotherapist suggested that her wisdom teeth be removed. However, there is no supporting evidence that either of these professionals recommended the removal of her wisdom teeth for relief from headaches at this time, although there is a reference to wisdom teeth in a physiotherapy progress report dated March 9, 1995. The first report of headaches to Dr. Murschell was made on March 9, 1995. In cross-examination, the plaintiff said that there was a period of time after the accident when she did not have headaches and could not pinpoint when the headaches first arose.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At the end of February 1995, the plaintiff requested a referral to the ICBC recovery management program. She went to Dr. Murschell for an examination to support this referral, even though she had seen him the week before. Dr. Murschell found nothing remarkable, no tenderness, and nothing abnormal to counterindicate participation in this program. On March 2, 1995, the plaintiff reported to this program that she was not using any prescription medication, that the pain in her neck had mostly subsided and that the primary difficulty was pain in the low and mid back when sitting for more than twenty minutes. Among other things, the plaintiff was provided with occupational therapy intervention to assist her when studying and tutors for schoolwork. She was discharged from this program in May 1995. At that time, it was reported that the plaintiff was managing well with a summer course and had returned to part-time work. She was expected to return to full-time work in three weeks. Dr. Murschell found the plaintiff improved after a trip to Montreal in May 1995 although she still complained of neck spasm and back discomfort.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took an extra English course over the summer of 1995 and said that she did not work at all. This is contrary to the report from the recovery management program in May 1995 that indicated that the plaintiff had returned to work part-time and was expected to be ready for full-time work in three weeks. The plaintiff said that her headaches were less in the summer of 1995 than in the school year, but she could not really recall. She said that her back hurt "occasionally but not much" during the summer of 1995 but increased in the fall with more classes. By this time, the plaintiff had transferred to the University of British Columbia. She could not recall which symptoms improved over the summer of 1995, but, she was swimming, rollerblading, dancing, and biking over the summer. The plaintiff testified that she drank quite a lot of alcohol in 1995 and admitted that some of her headaches could have been hangovers. The plaintiff told Dr. Murschell in the summer of 1995 that she was feeling better "except when she had to think" but had constant headaches, which she only noticed when she tried to concentrate.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had another motor vehicle accident in August 1995. She testified that she could not tell if it exacerbated her problems. However, on an accident benefits application, the plaintiff reported "pain/strain to back and neck, headaches". She also reported that she was employed as a waitress at the time even though she had quit prior to the accident. She also exaggerated her hourly income from this employment on the benefits claim form.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Lewis took a full course load from the fall of 1995 through to the summer of 1997. Her marks were generally very good. The plaintiff explained that she did not want any withdrawals on her record so she decided to push through the pain even though she had daily headaches and vomiting. She lost weight. Her mother helped her with typing essays. In November 1995, the plaintiff requested a referral to the Canadian Back Institute for their rehabilitation program. It is not known whether the plaintiff attended this program.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was referred to Dr. Tsang, a rheumatologist, in February 1996. The plaintiff could not recall when her major problem of headache had started, although she was substantially bothered by the summer of 1995. She also complained of dizzy spells but could not determine when they first arose. The doctor could find no signs to explain these symptoms and recommended an increase in exercise.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Dr. Murschell wrote a letter in March 1996 requesting that the plaintiff be allowed to stand during examinations because she could not sit for prolonged periods. It was about this time that the plaintiff recorded in her diary that she experienced a new type of headache. By April 1996, however, the plaintiff's headaches had decreased and her energy was up even at a time of exam stress.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Although the plaintiff stated in her direct testimony that she attended physiotherapy three times a week since the accident, the physiotherapy records do not bear this out. She attended regularly from January to June 1995. The physiotherapist reported on June 16, 1995 that she had discharged the plaintiff, encouraging her to continue swimming, stretching and exercises at the gym. The plaintiff did not attend physio from the end of July 1995 to the end of November 1995. Although there is evidence of acupuncture treatment during this time, it is not known if they related to this accident. The plaintiff said that she stopped physiotherapy in the summer of 1995 because there was no improvement with treatment. There were no physiotherapy treatments from February 7, 1996 to January 1997, a period of ten months. Again, there is a suggestion of acupuncture treatment during this time but there are no records to establish that this was related to the accident. After February 1997, there followed a three month period without therapy. The plaintiff testified that she attended physio again in order to prepare to write the law school admission test. However, when she wrote the test in October 1997, she left without finishing because of a headache. There is evidence of one further physiotherapy treatment since November 1997. This was in September 1998. Any acupuncture ceased in March 1997. The plaintiff said that she went to acupuncture and massage therapy on her own to "figure a way out past the pain".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May 1995, the plaintiff travelled to Montreal for a sightseeing holiday with friends. She did not find the trip taxing, although she went to physio while there. In the summer of 1996, she travelled for five weeks to Israel, Greece, and Egypt with her brother on a backpacking holiday, travelling often by bus. She missed a visit to a friend in Israel one evening due to vomiting. There was no description of headache associated with this occurrence although her brother said that the plaintiff had complained of strain in her back. She went snorkelling while in Israel and took up scuba diving upon her return. On one occasion, however, she had a back spasm, a bad headache and became confused, so she quit scuba diving.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early January 1997, the plaintiff asked Dr. Murschell for a referral to a social worker to assist her with stress that had been particularly bad over the holiday season. She reported that the continuing headaches were a cause of her stress. She considered dropping out of school but decided against it. About this time, she abruptly stopped taking Elavil, which had been prescribed by Dr. Murschell. She started to drink copious amounts of water and was taken to St. Paul's hospital emergency department around February 14, 1997 suffering from psychogenic polydipsia. Her attending physician at St. Paul's reported that the plaintiff was taking large amounts of Tylenol and caffeine. The plaintiff refused a referral to a psychiatrist after this event. She started self hypnosis and meditation instead. Dr. Murschell wrote a letter in March 1997, requesting that the plaintiff be given an extension on deadlines for her papers because of the limited amount of time that the plaintiff could spend sitting, reading or writing at a single stretch. About this time, the plaintiff was seen by an internal medicine specialist for a constellation of symptoms including headache, fatigue, skin rash and muscle pain. Dr. Chan-Yan concluded that the plaintiff had multiple, non-specific, unrelated symptoms that he thought were psychogenic due to her prior history of chronic fatigue and polydipsia and the unremarkable physical examination.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April and May 1997, the plaintiff complained of headaches only after studying for five hours or prolonged sitting. She developed gastrointestinal problems from eating too much fruit. During this time, she was able to cycle fifteen kilometres and maintain other physical activity with no problems. However, there was a deterioration in June 1997 when the plaintiff had headaches even when not sitting or reading for long periods.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took an extra course in the summer of 1997, which entailed an archaeological dig to the United Kingdom. She received an A- in the course, putting her ahead of schedule to graduate. She worked at the Pacific National Exhibition full time when she returned home. In the fall of 1997, the plaintiff took only a partial course load at university. This coincided with the plaintiff's plan to take her law school admission test and apply to law school. There had been no medical recommendation for a reduced course load. The plaintiff has not taken a full course load since that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Up to 1997, the plaintiff played basketball, volleyball, floor hockey and other sports on a regular Monday night drop-in. She said that she had progressed to the gym with the assistance of the physiotherapist. Although she was nauseous at first with physical activity, this appears to have abated as the plaintiff also swam, rollerbladed and biked.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said that she stopped telling Dr. Murschell about her headaches at some point because he "did not know what to do". This was after her parents had also met with the doctor. She said that she did not see Dr. Murschell for headaches after this time. She also said that she had not complained to Dr. Murschell about headaches prior to this unless he specifically asked and also because others were treating her headaches. However, she could not remember when others first started treating her headaches, what symptoms she reported to Dr. Murschell, or when she reported them. She said that she answered the questions that he asked. She said that she would have reported to Dr. Murschell if she was vomiting regularly. Generally, the plaintiff had no specific recollection of what symptoms she reported to what doctors or when she reported them.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At the plaintiff's first discovery in March 1998, she reported that she was biking, rollerblading and playing basketball. In April 1998, the plaintiff first saw Dr. Robinson, a neurologist specializing in headache disorders. He diagnosed cervicogenic headache and recommended a stepwise approach to pain management based upon a programme for patients with migraine headache. Her medication was also changed.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the summer of 1998, the plaintiff took two courses at university, biked to school each day and worked at the Pacific National Exhibition. She completed her undergraduate degree in May 1999.</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backed her vehicle into a pole in October 1998. She felt that her recovery had been set back; she was "stiffer" after this accident. The plaintiff said that she went to a clinic about her symptoms on October 8, 1998, because she knew that Dr. Murschell would not refer her to massage therapy. At the clinic, she told the physician that she had neck pain, shoulder pain, headache, and lower back pain, apparently from hitting the pole. She got her referral to a massage therapist. When the plaintiff saw Dr. Murschell on October 14, 1998 regarding this same event, Dr. Murschell reported that the plaintiff had a full range of motion in her neck with "slight discomfort" on rotation to the right. There were no back problems. She complained of headaches but said that they were much better and "had subsided a lot". In direct testimony, the plaintiff said that she could not remember exactly how she felt after this accident but it was "not huge", minimal. When asked in cross-examination why she had not reported the same problems to Dr. Murschell that she did at the clinic, the plaintiff could not specifically recall.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applied to law school at the University of British Columbia and at Queen's University. In February 1999, the plaintiff wrote the law school admission test again. Dr. Murschell wrote her an accommodation letter stating that she suffered neck pain and severe headaches with prolonged sitting or concentrating. He wrote that this was first diagnosed in 1995 and that it had been re-evaluated in October 1998.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1999, the plaintiff was in a theatrical play at the university that ran for three nights. Following her law school admission test, she started work as a waitress in a Greek restaurant where she was still employed in the summer of 2001. She did this along with regular full time summer work at the Pacific National Exhibition.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began law school in the fall of 1999, taking three courses. She also joined the student legal advice programme, taught public speaking in the commerce department, and worked for the Department of Justice over the Christmas break. She played intramural volleyball and regularly worked out at the gym, doing cardio and weight activities for forty-five minutes to an hour.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 said that the change of medication recommended by Dr. Robinson had not worked and, without seeing Dr. Robinson again, she was referred to Dr. Krushelnycky, a chronic pain specialist located in Trail, B.C. in October 1999. At that time, the plaintiff complained of daily headaches after sitting for an hour and a half with her neck in a flexed position. There was no suggestion by the plaintiff that other head positions brought on a headache. The headaches were considerably reduced with physical activity and weight lifting. She received injection therapy at that time. After treatment by Dr. Krushelnycky, the plaintiff said that she felt better.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Dr. Robinson then referred the plaintiff to Dr. Crosby who treated her in January 2000 with injection therapy to her neck and recommended stretch exercises. According to Dr. Crosby's consultation letter to Dr. Robinson dated January 17, 2000, the plaintiff had reported to Dr. Crosby that Dr. Krushelnycky told her that her headaches were due to stretched cervical ligaments and that he had recommended another course of injection therapy, called prolotherapy. It was on this basis that Dr. Crosby treated the plaintiff with more injection therapy. However, when Dr. Krushelnycky received the report, he contested the plaintiff's interpretation and told Dr. Crosby that he did not think that her symptoms were due to headaches and had not recommended another course of prolotherapy. Notwithstanding this fact, the plaintiff continued to be treated by Dr. Crosby until the summer of 2000 when she returned to Trail to be treated by Dr. Krushelnycky.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 received several days of injection therapy from Dr. Krushelnycky in the summer of 2000. In cross-examination, the plaintiff admitted that she tended to minimize the pain on the pain scale sheet that he had given her in order to assess her pain after therapy, thus overstating the relief that she was getting. The plaintiff testified that she generally tended to minimize the pain. However, the plaintiff also said that she did not remember specifically what relief she got from the therapy.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She continued to work at the Greek restaurant over the summer of 2000 and also worked full time at the Pacific National Exhibition. In addition, the plaintiff also worked at the student legal advice clinic, billing for hours worked by invoice. In these invoices, the plaintiff made up days and hours worked during the time when she was actually working at the Pacific National Exhibition because she had to invoice by the end of August in order to be paid. She knowingly billed for hours not yet worked, expecting to complete the hours in September, after the period in which she was to have performed the work. She billed for the total allowable hours under her contract even though she had not yet worked those hours and even though she knew that the hours had to have been worked before the end of August. She did not discuss this with her supervisor beforehand but said that all of the students did this because the billings had to be submitted by the end of August. The plaintiff also explained that she did some research while working as a waitress and was essentially paid twice for the same time. She said that she "felt bad" about this practice.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the fall of 2000, the plaintiff increased her course load, although still not to full time, and continued with her public speaking course, legal advice programme, and work for the Department of Justice. In September 2000, she asked Dr. Murschell to complete a handicapped parking pass because she found it hard to carry her books to class. Dr. Murschell would not complete the form.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 returned to Dr. Crosby for treatments in the summer of 2001 after Dr. Krushelnycky left Canada. She told Dr. Crosby that she wanted the same botox injection treatments given by Dr. Krushelnycky to continue. As the plaintiff reported excellent results with a July 2001 injection, she returned after three months and the injections were continued. At present, the plaintiff receives injections every three months.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worked at the law school legal advice programme in the summer of 2001, seeing clients for up to five hours per day, four days per week and doing research on the fifth day. She also worked at the Pacific National Exhibition as before. She attended law school with a seventy-five percent course load in the fall of 2001 and still continued with her public speaking course and work for the Department of Justice. She was on the moot team in 2002 and played basketball and dodgeball. She travelled to Israel during reading week. She started yoga and pilates.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 expects to graduate from law school in December 2003, taking four and a half years to get her degree. She said that because of her headaches, she graduated one year later from her undergraduate degree and that her law school graduation was delayed for two to three years. Her marks have been mostly A's and B's since 1995. She has decided to become a solicitor instead of a litigator because she perceives this work as being more flexible. The plaintiff said that she would have worked as a waitress for two or three extra shifts per week as an undergraduate and one shift per week in law school if not for her headaches. However, she has worked full time since the accident at times, particularly at the Pacific National Exhibition when she sometimes worked up to eleven hours per day.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 says that she has daily headaches if she sits too much. However, she could not differentiate whether it was from sitting or concentrating. On discovery, the plaintiff said that continued mental activity produces headache. Since March 1998, this begins after two or three hours of such mental activity. She has no other pain except related to the headaches. The pattern consists of increased headaches when she is in school and lessening during the summer months or when she is not in class. She said that since March 1995, the longest period she has gone without a headache is one week. She said that if she had been free of headaches for a month or two, she would remember. She can work thirty-five to forty hours per week provided that she takes breaks. She testified that she had headaches daily if in class or studying. She said that she overdid it once a month, resulting in vomiting. She attends yoga four mornings per week and exercises at home. The plaintiff said that her social life has suffered, especially during the school term.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Prior to the accident in January 1995, the plaintiff considered herself a disabled student. In 1992, she declared that she was disabled from chronic fatigue syndrome in an application for admission to Langara College. When cross-examined on this application, the plaintiff said that she could not remember having completed the form in this way and did not understand why she would have said that she was disabled. She admitted, however, that this was related to chronic fatigue that was treated from 1990-1991. During this time, the plaintiff had experienced headaches and was referred to a neurologist and to an infectious disease specialist by Dr. Murschell. No clinical evidence supported the diagnosis of chronic fatigue syndrome that was made by several specialists around this time. The neurologist diagnosed basal migraine headache to account for the recurrent dizzy spells and headaches that the plaintiff experienced. No specific therapy was recommended. She missed a considerable amount of school and had to be encouraged to engage in the physical activity that was expected to reduce her symptoms. When the plaintiff started at Langara College in the fall of 1993, she did not take a full course load.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Medical/Health Professional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Dr. Murschell had been the plaintiff's general physician since 1989. He saw the plaintiff initially with respect to this accident on January 18, 1995 and regularly over the next seven years. At that time, she complained of discomfort in her neck and lower back. She also had discomfort on rotation of the neck but not on downward flexion of the neck. The doctor's impression was of a strain to the neck and back. By January 25, 1995, the plaintiff's back pain has worsened such that the plaintiff was not attending school, but she continued to work. Dr. Murschell had not recommended absence from school. Although there were no significant abnormalities on examination, the doctor prescribed anti-inflammatory medication because the plaintiff said that her physiotherapist had recommended them. By February 10, 1995, the plaintiff had quit both work and school despite a completely normal examination with no apparent discomfort. She complained of pain in her tailbone if she sat for more than twenty minutes. Dr. Murschell thought that the plaintiff's curtailment of activities was excessive and encouraged her to return to school, work and physical activity. He ordered an x-ray partly for reassurance. One month after the accident, the plaintiff was swimming for up to sixty minutes, five times a week but experienced discomfort while sitting for an hour. There was no report of nausea or vomiting after physical activity. Again, the doctor described "a paucity of findings".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When the plaintiff came for an examination to get into the ICBC Recovery Management Programme, she described herself as symptom free on some days, even with sitting, but had discomfort after playing pool. Her first complaint of headache was on March 9, 1995 despite no significant change in her condition. There were no physical symptoms associated with the headaches. Dr. Murschell thought that the plaintiff was "somewhat better". In the visits that followed, the plaintiff complained of some headaches and discomfort when sitting. The doctor recommended exercises, which the plaintiff did not immediately perform, and then only when she had a headache. By May 2, 1995, the plaintiff had been well for a week but then experienced a headache after a one hour car ride. This pattern continued. Dr. Murschell could not explain her ongoing symptoms. The plaintiff was discharged from the ICBC recovery management program in May 1995 with the main continuing problem of headache and with the recommendation of a gradual return to work and cessation of physiotherapy.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Six months after the accident, the plaintiff complained that she was tired all the time with a stiff back and "gentle pain". Despite an essentially normal examination, she described continued posterior headaches but improved strength. At this time, Dr. Murschell considered the previous diagnosis of chronic fatigue syndrome.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Ten months after the accident, the plaintiff had an independent medical examination with Dr. MacNiel and knew that he did not consider her to be a candidate for a rehabilitation programme and did not consider that her headaches were associated with the accident. She had started acupuncture on her own. She reported that when someone had accidentally bumped into her, she collapsed and was carried from the room. There were still no discrete areas of tenderness; there was a full range of motion and the neurological examination was unremarkable. Dr. Murschell concluded in his report of October 6, 1995 that the plaintiff sustained a back and neck strain in the accident from which her recovery had been slow. He distinguished a strain from a sprain, the latter involving a tearing, which the plaintiff did not have. He found no objective signs of injury after the motor vehicle accident except for possible tenderness of the anterior sternocleidomastoid muscles bilaterally. He had no explanation for her continued pain but thought that she fit into a diagnosis of chronic pain syndrome and could benefit from amitriptyline and increased activity. By "chronic", Dr. Murschell meant greater than six weeks. He thought that her difficulty concentrating was related to her chronic discomfort and that her previous diagnosis of chronic fatigue syndrome might be a contributing factor. He considered permanent sequelae unlikely.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On January 23, 1996, the plaintiff reported headache when her head was down but otherwise she was all right with increased physical activity. There was no nausea or vomiting associated with the headaches. Dr. Murschell referred the plaintiff to a rheumatologist because of the ongoing neck pain and because he wanted a second opinion following the report of Dr. MacNiel. In July 1996, the plaintiff was exhausted working two jobs. The doctor thought that there was an exacerbation of low back pain but there was no report of headaches. There was no complaint of headache from May 1996 until November 15, 1996 when the plaintiff said that she had vomited three days before and had what the doctor described as a "breakthrough headache". In the six months prior, the plaintiff had appeared to be doing well and had substantially recovered from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January 1997, the plaintiff requested to see a psychiatrist but then decided against it. She complained of procrastination and stress, which Dr. Murschell believed affected her academic performance and concentration. He considered that this also contributed to her headaches and, as he said, he "was not certain where the circle started". Shortly after that, the plaintiff stopped the amitryptoline medication on her own and developed poor sleep hygiene, both of which could have brought on headaches. Dr. Murschell recommended that the plaintiff see a psychiatrist. By February 1997, the doctor thought that the plaintiff's depression and chronic fatigue made her symptoms more likely. Although the plaintiff attributed her symptoms to the motor vehicle accident at this time, Dr. Murschell testified that he did not directly attribute her symptoms to injury sustained in the motor vehicle accident of January 1995. He testified that he had difficulty attributing the plaintiff's symptoms after June 1997 to the accident but deferred to Dr. Robinson with respect to the headaches.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Dr. Murschell reported again on August 19, 1999. By this time, the plaintiff's self-described back pain was rare and she was seeing Dr. Robinson for her headaches upon referral by Dr. Murschell. In June 1998, she had one headache weekly and sometimes less. The plaintiff had requested massage therapy in July 1998 but Dr. Murschell did not consider it appropriate. The last time that the doctor had seen the plaintiff with respect to the accident was October 14, 1998 when she had backed into a pole and felt that her recovery was set back. At that time, she reported no back problems and her headaches had subsided. She had slight discomfort on rotation of her neck to the right. She attributed her headaches to her neck injury. Dr. Murschell concluded in August 1999 that the plaintiff had made a significant recovery, was no longer bothered by back pain, and her headaches were decreased in frequency and severity. He expected that the role played by the neck injury with regard to her headaches would decrease over time with exercise and relaxation. At no time from 1995 did Dr. Murschell recommend that the plaintiff not attend school on a full-time basis. He said that he would not have encouraged her to attend university part-time. He did, however, ask for special concessions for the plaintiff to write exams and the law school admission test at the request of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When asked at trial about the persisting headaches, Dr. Murschell said that he deferred to Dr. Robinson with respect to the cervicogenic headache but felt that the prior history of basal headache, chronic fatigue, family history of headache, and stress contributed to the diagnosis. He said that psychological factors such as stress and headache predisposed her to headaches and prolonged symtomatology. He had no explanation for her prolonged, intense symptoms. He said that she focused on her symptoms more than he thought average. He said that her very vigorous physical activity and apprehension about academic and work performance affected her ability to concentrate and sit. He said that his encouragement to activity and full function was viewed by the plaintiff as lack of appreciation of her symptoms. Although he told her to report adverse symptoms after activities, she never did. He said that the plaintiff was not always accurate in reciting the history of symptoms and sometimes did not volunteer information. If the plaintiff had reported persistent or regular vomiting, it would have been a significant symptom to note. He said that it was rare to see constant worsening of symptoms and that the expectation was for gradual but full recovery in a minor injury lacking objective symptoms. He said that lack of symptoms for twelve months presumably indicated recovery. He also agreed that if the plaintiff could not run for six minutes without vomiting, this would represent a significant deterioration indicative of an intervening event.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Dr. MacNiel, an orthopaedic surgeon, examined the plaintiff on August 23, 1995 to assess injuries arising from the motor vehicle accident of January 17, 1995. The plaintiff inaccurately reported the history of her symptoms to this doctor. She told him that she had initially reported headaches and shooting pain in her legs to Dr. Murschell three or four days after the accident. She said that these headaches were one to two times a week. When she saw Dr. MacNiel, the plaintiff said that she had headaches located in the back of her skull that moved towards the top of her head, dizziness, and disorientation. These headaches occurred three or four times a week since she stopped attending school. She was exercising regularly including thirty laps of swimming.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MacNiel concluded that the plaintiff suffered neck and back pain and headaches after the accident, which had improved according to her own report. She had successfully completed her courses and was functioning reasonably well. She still had headaches and cognitive dysfunction. He said that these were "possibly a function of the trauma she sustained some seven months ago, though there may well be associated environmental stresses which may be playing a role". He was aware, through the plaintiff, of the history of chronic fatigue including migraine headaches and considered that this may have been a recurring problem, so that the stress of work and school, plus pain, would accentuate her symptoms. He did not recommend passive therapy but rather, a regime of self-directed exercise. He foresaw no long term consequences but agreed that only time would tell how long recovery could take.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Dr. Tsang, a rheumatologist, assessed the plaintiff in February 1996 with regard to headache, upper neck pain and lower back pain. The plaintiff said that she had stayed off work and school until May 1995 due to back pain. She had almost no back pain when seen by Dr. Tsang but complained of frontal headaches. She could not recall when these headaches had started except that they were a substantial bother by the summer of 1995. The headaches were worse when she sat or maintained her neck in a forward flexed position. A physiotherapist had told her that there was instability in her cervical spine and that she should be careful about moving her head. However, neither Dr. Murschell nor Dr. Tsang could detect this. Dr. Tsang's physical examination revealed nothing in particular. He concluded that the plaintiff's symptoms had improved but found no explanation for them. He recommended a reactivation program with increased exercise in her neck. After this, the plaintiff reported to Dr. Murschell that she had significant improvement with only an occasional headache.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When Dr. Wilkins, an endocrinologist, assessed the plaintiff in March 1997, he agreed with the diagnosis of polydipsia given at St. Paul's hospital three weeks previously. The plaintiff was taking large doses of Tylenol and caffeine. Dr. Wilkins' physical examination was unremarkable. He could not explain the plaintiff's other symptom complex.</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Chan-Yan, an internist, saw the plaintiff on April 22, 1997 at the request of Dr. Murschell. The plaintiff told Dr. Chan-Yan that she had neck sprain and headaches after the accident. The headaches were daily, mostly on the left side of her head but extending to the right side as well. She complained of generalized muscle ache, particularly in her neck and back, and fatigue. She had been attending an alternative physiotherapy practitioner and had also been to naturopaths, chiropractors, and acupuncturists. Most recently, the plaintiff had developed what she called "hypoglycemia". She was hungry all the time and would have to eat, otherwise she would develop a rash. She had also started to drink large amounts of fluid again after her polydipsia episode.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Chan-Yan concluded that the plaintiff had multiple, non-specific and unrelated symptoms. Her physical examination was unremarkable except for a rash. He concluded that her symptoms were a psychogenic problem because of the prior history of polydipsia, chronic fatigue syndrome, and flushing of the skin associated with hunger dispelled by eating. The plaintiff was so concerned about a tumour that Dr. Chan-Yan suggested to Dr. Murschell that he "go through with this request" for a CT or MRI scan on a non-urgent basis.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Dr. Robinson, a neurologist specializing in headaches, saw the plaintiff on April 16, 1998 upon referral from Dr. Murschell. At the request of plaintiff's counsel, the doctor reported on April 6, 1999. The plaintiff had told him that the accident occurred when her head was down, reading, and without warning. Back, head and neck pain occurred within weeks of the accident. The plaintiff reported that headache had occurred by mid-February 1995. Moderate to severe headaches came on with prolonged sitting. Analgesics had not worked. By April 1998, the plaintiff was having mild chronic daily headache and neck pain. Dr. Robinson was aware of the history of chronic fatigue with severe headaches but he knew of no headaches in the years prior to the accident. He understood that the plaintiff's symptoms had been persistent since onset and was unaware of any gaps, particularly of up to six months, in her symptoms. He was not aware of her physical activity. The neurologic examination was normal.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On the basis of the plaintiff's report and his physical examination, Dr. Robinson concluded that the plaintiff had sustained soft tissue injury to the cervical spine in the motor vehicle accident three years ago. He did not believe that the plaintiff was predisposed to headache prior to the accident. He said that it was not unusual for a delay sometimes in excess of six weeks before onset of migraine. The report of vomiting, first associated with headache in November 1995, did not affect his diagnosis.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Dr. Robinson diagnosed cervicogenic headache as a direct result of the accident. Such a headache is not dependent upon what a person can do in terms of physical activity; however, swimming, biking and hiking are usually difficult for persons with severe cervicogenic headache. He was unaware of the plaintiff's physical activities. The lack of objective symptoms is also not determinative as the usual signs are reduced range of motion, discomfort, and tenderness on palpation, all subjective symptoms. However, the failure to have neck pain for four to six weeks after the accident would be unusual, but not cause to rule out cervicogenic headache if no other diagnosis was available. Dr. Robinson said that even if there was no link between neck injury and the onset of headache, if there had been no headache before the accident and there is headache afterwards, it was probable that the accident and the headache disorder are related. This diagnosis, however, was based upon historical grounds as reported by the patient. Persistence of head and neck pain was a significant factor to the diagnosis. Dr. Robinson was not aware that the plaintiff had not complained of head or neck pain from May to November 1995; he had thought that her complaints of headache had been persistently ongoing since March 1995. In cross-examination, Dr. Robinson said that if there were a period of months without headache, this would be unusual and inexplicable. The prognosis was uncertain but might indicate continued disability.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Robinson did not refer the plaintiff to Dr. Krushelnycky, a specialist in chronic pain disorder, until a medical student friend of the plaintiff's intervened to request the referral. When this referral was made, Dr. Robinson had not seen the plaintiff for over a year.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Robinson saw the plaintiff the second time on July 25, 2001 at the request of plaintiff's counsel. At that time, the plaintiff's headaches continued exclusively on the left side of her head and may have been associated with nausea and vomiting. Sitting aggravated them, particularly with her head flexed. She could not work more than three hours at a time without increased head and neck pain. The reports of Dr. Krushelnycky were the only new additional material to the April 1999 report. Dr. Robinson considered Dr. Krushelnycky's report that anaesthetic injection into the left rectus capitus minor blocked major head and neck pain to be a significant finding as it was then believed that this was the source of the pain. The neurological examination was again normal. Dr. Robinson concluded that the headaches were compatible with cervicogenic headache. The blocks administered to the upper cervical spine by Dr. Krushelnycky were reported to have brought marked relief, giving credence to Dr. Robinson's diagnosis of cervicogenic headache. The response to blocking was one of the criteria for diagnosis of cervocogenic headache. Dr. Robinson thought that these would continue on an indefinite basis. Injection therapy to reduce overall disability would have to continue every three months but would not result in a cure. Dr. Robinson believed that the plaintiff's ability to practice law would be affected by her continued pain. Dr. Robinson deferred to Dr. Krushelnycky on everything having to do with these issues.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cross-examination, Dr. Robinson was asked about an alternative history to the one that he had been given by the plaintiff. This included a report by the plaintiff to Dr. Murschell in April 1996 of a drastic improvement in her headaches and that she felt great apart from the occasional headache. In addition, there followed a period of seven months with no headache complaint, as well as activities including scuba diving, swimming, rollerblading, travel and a full course load at university. Given that scenario, and without any other information, Dr. Robinson agreed that any headache as a result of the accident would have resolved. He would have to have more information about the November 1996 "breakthrough" headache to conclude that it was connected with the January 1995 accident. He said that exercise such as swimming, running, cycling or working out for forty-five minutes to an hour, which was said to improve symptoms of headache, was not consistent with his diagnosis of cervicogenic headache and was most unusual and atypical. He said that he only saw the plaintiff twice (April 1998 and July 2001) and this information went to her credibility as he accepted her description of her symptoms. He would want to take another history if this information was accurate. Dr. Robinson also said that the response to blocking, such as done by Dr. Krushelnycky, was also a criterion for diagnosis. Blocking was expected to abolish the pain for a period of months after the injections. Dr. Robinson was under the impression that Dr. Krushelnycky's treatment had produced 95% relief. If this was not so, then Dr. Robinson would defer to Dr. Krushelnycky as to the significance of a lesser result. Dr. Robinson also said that if present treatments by Dr. Crosby were in multiple areas with the same relief as obtained by Dr. Krushelnycky, then he would doubt the diagnosis of cervicogenic headache. Finally, Dr. Robinson was not aware that the plaintiff had complained of neck injury after the other accidents in August 1995 and October 1998. He said that he would have wanted details of those events to determine what role, if any, these accidents played in the plaintiff's condition.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Dr. Krushelnycky is a neurologist with a subspecialty interest in pain management. He first saw the plaintiff on referral from Dr. Robinson on October 13, 1999 and on multiple follow-up occasions until April 30, 2001. When first seen, the plaintiff told Dr. Krushelnycky that she noted headache in the left temporal region within six weeks of the accident with prolonged sitting when studying. Within an hour, the headache would radiate into the right temporal region. By September 1995, the headaches were daily. At the initial assessment, her headaches were a daily constant left temporal ache that could be reduced with physical activity. They were brought on only by maintenance of her head in a flexed position. His initial impression was of a probable cervicogenic headache, possibly secondary to injury of the musculo-ligamentous structures involving the posterior neck. He could not rule out a tension type component. Cervicogenic headache is a headache due to referral of pain from irritated or injured structures in the neck. The critical point is that the injured structures refer pain to the same side of the head so that they are necessarily unilateral in nature. At the initial appointment, he performed diagnostic procedures to confirm the diagnosis of cervicogenic headache and to localize the pain generators.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plaintiff then went to Dr. Crosby from January to May 2000 for trigger point injections. When the relief obtained from one of Dr. Crosby's injections could not be duplicated, the plaintiff returned to Dr. Krushelnycky in the summer of 2000 for more treatments.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From June 8 to 22, 2000, Dr. Krushelnycky performed a series of injections into the muscles of the plaintiff's neck with varying results, obtaining as high as 95% relief in the left head. When the plaintiff next attended in November 2000, she reported 70% relief of left sided pain in the three months after the Botulinum toxin injection. The plaintiff said that she could work for up to six hours for two out of three days, and could maintain half-time studies and job-related activities on a consistent basis. When next seen in April 2001, the plaintiff reported increased pain and decreased attention when compared to the results of the first Botox injection. Dr. Krushelnycky repeated the injections into the same region, obtaining 70% relief according to the plaintiff's report.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 Krushelnycky concluded that the plaintiff had cervicogenic headache because her predominantly left-sided head pain was precipitated by awkward, sustained head position and local anaesthetic injection produced greater than 95% relief of her left sided head pain. In his report of August 19, 2001, Dr. Krushelnycky concluded that the motor vehicle accident of January 1995 was "most likely...in some way responsible for her head and neck pain" because she had not experienced headaches for many years prior to the accident and her headaches developed within six weeks of the accident. He clarified in deposition evidence admitted at trial that the motor vehicle accident was a probable factor in the headaches, but not totally responsible. The fact that he could not completely abolish the pain indicated that injury to the neck was not the only cause of her pain. Although the plaintiff might eventually recover, Dr. Krushelnycky concluded that the level of disability would continue indefinitely given the lack of improvement over many years. It was likely that muscle relaxants could assist the plaintiff's condition. The cost of continuation of the Botox treatments every three months for an indefinite period is $340-380 per treatment.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Dr. Krushelnycky said that his opinion would be significantly impacted if the plaintiff had overstated the relief that she obtained as a result of the injections. He also said that the probability that the accident was a significant contributing cause of the accident diminished with a passage of time between the accident to the onset of headaches, but that six weeks was not inconsistent with that conclusion. At several months, the likelihood would be improbable. He did not consider the cause of the plaintiff's headaches until asked to write the report of August 2001.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Dr. Krushelnycky relied upon the history given by the plaintiff to determine the role that the accident may have played. That history included that the plaintiff's head was down when the accident occurred, a significant point as it is a similar positioning that brings on the headaches. It also included the fact that no neck pain was initially reported to the general practitioner. This indicated that the plaintiff did not sustain a generalized neck injury in the accident. If there had been an initial report of generalized neck pain and decreased range of motion in the neck, Dr. Krushelnycky said that it is more likely that the onset of headaches would have been sooner than six weeks especially if the plaintiff carried on with activities that now cause headache. The plaintiff told Dr. Krushelnycky that her headaches worsened in September 1995, occurring on a daily basis. She did not tell the doctor that she had been involved in a motor vehicle accident in August 1995. Dr. Krushelnycky agreed that a worsening of symptoms in September 1995 would be consistent with a new injury from a different accident. He also agreed that if there were a period from May to November 1996 with no reported headaches, but with the same activity that presently brought on the headaches, he would have expected the plaintiff to have headaches if they were related to the accident. The same could be said for the period from May 1996 to April 1997, if there was only two months when headaches were reported and the activities requiring her to maintain her head in a flexed position were the same. Dr. Krushelnycky also agreed that if there was another accident in October 1998 resulting in neck injury and worsened symptoms, then he would have no way of estimating which accident made it more or less probable that she had these complaints. It would be impossible to say that it was probable that the January 1995 accident remained a material contributing cause of the headaches that Dr. Krushelnycky treated the plaintiff for. Given the second accident, he could not estimate probability.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Dr. Bratty, a neurologist, saw the plaintiff on October 20, 1999 at the request of the defendant. After taking a long history, doing a physical examination, and extensively reviewing Dr. Murschell's charts, Dr. Bratty diagnosed the plaintiff with tension headache. Although the plaintiff had been led to believe that her headaches derived from an injury or strain to an unspecified ligament in her neck, he saw no reason to believe that this explanation was valid because the plaintiff could go for weeks without headache. The plaintiff satisfied the criteria for tension headache. He thought that her headache was brought on by her habitual cringing behavior. The initial report of headache starting in the back of her head spreading forward and the report to Dr Tsang of headache in the frontal area was classic of tension headache. The physical examination performed by Dr. Bratty was also consistent with tension headache.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Dr. Bratty specifically disagreed with Dr. Robinson's diagnosis of cervicogenic headache, a "controversial disorder" not generally accepted by neurologists. He said that his diagnosis of tension headache was strongly supported by the facts including the cringing habit of the plaintiff, a characteristic pattern of discomfort increasing as the day goes on associated with what are perceived as knots in her neck, distractibility, fatigue and dizziness, a sensitive, vulnerable personality, and stress related to family, school and work. He also did not agree that the treatments given by Dr. Krushelnycky related only to cervicogenic headache but said that they could also be applied to tension headache. He also did not think that they were effective.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Dr. Crosby treated the plaintiff from January 17, 2000 to January 28, 2002, giving the plaintiff continued injection therapy after Dr. Krushelnycky moved from Canada. He was not called to testify but the defendant put his medical records into evidence. Over the course of his injection treatments, multiple locations were injected with Botox. Dr. Crosby noted that the plaintiff told him that she wanted the treatments to continue exactly as had been administered by Dr. Krushelnycky. In his January 17, 2000 report to Dr. Robinson, Dr. Crosby's impression was that the plaintiff's headaches were muscular. He said that it seemed that the rear end collision five years ago initially caused her headaches but he was "suspicious that emotional factors are now the reason for their perpetuation". He had trouble believing that her symptoms were due to lax ligaments in the neck. He thought that such a diagnosis was made on conjecture. He said that the fact that exercise eased her symptoms made this diagnosis "rather unlikely".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Dr. Yorke, a rheumatologist, assessed the plaintiff on September 28, 2001. He interviewed the plaintiff, did a thorough physical examination, and reviewed all of the medical reports as well as Dr. Murschell's and Dr. Crosby's clinical records. Dr. Yorke noted that there were various opinions given as to the nature of the plaintiff's headaches, including psychogenic origin, tension, emotional factors, and cervicogenic. Dr. Yorke said that if three to six weeks elapsed between the accident and the onset of headache, he failed to see how linkage could be established. He thought it was conceivable but unlikely. He also thought that if the headaches were cervicogenic, then it is unlikely that the plaintiff would have been able to perform strenuous physical activity such as swimming, volleyball and rollerblading. He did not defer to Dr. Robinson on this diagnosis because he had more information than Dr. Robinson. Dr. Yorke was of the opinion that the headaches should have been manifest before four weeks. He could not offer a definitive cause of the headaches. He thought that there was an overlap between cervicogenic and tension headache but could not separate out these factors in the plaintiff's case. He said that Botox injection had been used to treat headaches of multiple etiologies and so was not indicative solely of cervocogenic headache. He expected the plaintiff's headaches to improve over time, although they might not resolve completely.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Non-pecuniary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plaintiff suffered a strain to her neck and lower back in the motor vehicle accident of January 17, 1995. She quit school and work shortly after this accident. Her general practitioner, who could find no objective findings to support her complaints by February 1995, had not recommended this. The plaintiff did not report that she experienced headache until seven weeks after the accident. By May 1995 when the plaintiff was discharged from the recovery management program, the pain in her neck had mostly subsided but she continued to have pain in her low back after sitting for more than twenty minutes. She was symptom free on some days. There was no suggestion at this time of debilitating headache.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After six months, the plaintiff had a stiff back and some neck pain. There were no objective findings to support any continued disability. At nine months, the neck pain had continued but Dr. Murschell could find no basis for the continuing problems. There followed a series of referrals over the years to ascertain the nature of the plaintiff's problems.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When seen by Dr. Tsang a year or so after the accident, the plaintiff had almost no back pain but complained of headaches. There was no objective basis for these symptoms. After another year, Dr. Chan-Yan also found no objective findings and he concluded that her symptoms were psychogenic in nature. After June 1997, Dr. Murschell did not directly attribute the plaintiff's continuing symptoms to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Three years after the accident, Dr. Robinson saw the plaintiff. The plaintiff did not give this doctor an accurate history of the accident or her symptoms. He also found no objective basis for her symptoms. Although he initially testified that the plaintiff's headaches were caused by the accident, he resiled from this opinion when faced with an accurate history of symptoms, description of the activities of the plaintiff, reports of lesser results of Dr. Krushelnycky's injections, the multiple locations of injections by Dr. Crosby, and information about other accidents since January 1995.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plaintiff also did not give Dr. Krushelnycky an accurate report of the accident or her initial symptoms. With generalized neck pain as initially reported to Dr. Murschell, Dr. Krushelnycky would have expected onset of headache sooner than six weeks. He also would not have expected periods of up to seven months headache-free, with activities, if the accident had caused the headaches. He could not estimate the probability of the January 1995 accident causing the headaches with the intervention of two other accidents of which he had no previous knowledge.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Dr. Bratty diagnosed tension headaches and found no causal connection with the accident. Dr. Yorke concluded that it was unlikely that the headaches were caused by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plaintiff has not proven that her continuing headaches were probably caused by the accident. The preponderance of medical opinion does not support this conclusion. None of the doctors who saw the plaintiff and who offered an opinion to this court came to this conclusion once faced with the full details about the plaintiff's activities and history of symptoms, or lack thereof. The preponderance of medical evidence does not show that the plaintiff's headaches were probably caused by the January 1995 accident. I rely especially on the opinions of Dr. Murschell, who treated the plaintiff throughout this time, and Dr. Yorke, who examined the plaintiff and also reviewed all of the medical records and reports. These doctors had the best overall accurate perception of what had transpired. Neither concluded that the headaches were caused by the accident, although Dr. Murschell deferred to Dr. Robinson after June 1997 with regard to the headaches. Dr. Murschell's careful notes indicate that the plaintiff was substantially recovered by the summer of 1996 with only one three-day report of headache between May 1996 and January 1997, when the plaintiff had a period of stress leading to the St. Paul's hospitalization. I find that both Dr. Robinson and Dr. Krushelnycky had inaccurate histories of the plaintiff's symptoms. Dr. Robinson saw the plaintiff twice and would have reached a different conclusion with accurate information.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plaintiff self-directed much of her own care. This included physiotherapy, acupuncture, anti-inflammatory medication, referral to a back institute, massage therapy, social worker assistance, and accommodations for exams. The plaintiff's part-time attendance at university was not medically directed and, I conclude, had much to do with wanting to secure better grades. Much of this was contrary to the advice of Dr. Murschell. The plaintiff went to the extent of attending a clinic after the October 1998 accident because she knew that Dr. Murschell would not recommend massage therapy. When she then had to explain the discrepancy between the symptoms she reported to Dr. Murschell and those she reported to the clinic as a result of this 1998 accident, the plaintiff could not recall her symptoms.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This was a frequent problem with the plaintiff's testimony. She could not explain the apparent worsening of her symptoms when she described them to Dr. Krushelnucky in 1999, as opposed to her report to Dr. Robinson in 1998. When asked about her reports of different symptoms to different doctors, the plaintiff said that she did not know what she realized when. She exaggerated the relief obtained from Dr. Krushelnycky's injections and then said that she really could not remember what relief she obtained. She gave inconsistent reports to various doctors about whether the Nadadol prescribed by Dr. Robinson had been helpful. Dr. Murschell said that the plaintiff refused to see a psychiatrist after he set up a referral, but the plaintiff said that she would have gone to one if Dr. Murschell had recommended it. She could not remember why she described herself as disabled from chronic fatigue in 1993 but agreed that this condition was associated with headaches. Dr. Murschell testified that the plaintiff was predisposed to headache. When coupled with serious concerns about the plaintiff's credibility generally, I find that I cannot accept the plaintiff's testimony as to what symptoms she had at any particular time. I also find that the plaintiff exaggerated her symptoms, a common sense conclusion when her stated symptoms are juxtaposed against her activities and medical records. Further, I cannot conclude that the plaintiff was free of headaches prior to the accident as she has claimed, even though there are no reports of headache to Dr. Murschell just prior to the accident. The plaintiff admitted that she did not report everything to Dr. Murschell, especially when, I conclude, she thought that he would not follow her directions as to what she wanted him to do.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There are other significant reasons to doubt the credibility of the plaintiff. She failed mathematics in grade twelve. However, she professed not to have been aware of that fact and said that she had never seen her grade twelve transcript before. This is not believable especially when she had repeated grade eleven mathematics twice, she was always concerned and stressed about her marks, and her mother remembered this grade twelve failure. The plaintiff admitted that her 1993 and 1994 income tax returns were not accurate. She was not truthful on a 1995 accident benefits claim form with respect to her employment or income. She falsified invoices in 2000 to the law student legal advice clinic as to dates, times, and hours worked. She testified that she changed her major from English to classical studies because it was easier for her in her condition. In her essay in support of admission to law school, however, she gave a much more profound explanation as to her interest in classics. The plaintiff testified that she was accepted to Queen's University Law School on a part-time basis; but the documentation from that school does not support this. These are all examples where documentation established the inaccuracy of the plaintiff's recollection. Given these inaccuracies on relatively unrelated details, the reliability of her recollection of the progress of her symptoms is significantly jeopardized.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a case of this nature, when there are no objective medical findings in support of the plaintiff's claim that her continuing headaches were caused by the January 1995 accident, I must be extremely cautious and examine all the evidence carefully before coming to a conclusion. I have done so. There is no convincing medical evidence to explain the plaintiff's continuing symptoms. Her subjective complaints have continued far beyond what would normally be expected after this accident. The plaintiff's evidence is unreliable and exaggerated. She did not always accurately report the details of the accident or her symptoms to her doctors. She perceived herself as disabled prior to the accident. She tried to get benefits and accommodations that were inappropriate.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The plaintiff's neck and back strain suffered in the January 1995 accident affected her, at most, until June 1997. Dr. Murschell testified that he had difficulty attributing any ongoing symptoms to the accident after this time. I do not find that her complaints were caused by the accident after June 1997. The appropriate range of damage is as suggested by the defendant (See: Iverson v. Onland, </w:t>
      </w:r>
      <w:hyperlink r:id="rId536" w:history="1">
        <w:r>
          <w:rPr>
            <w:rFonts w:ascii="arial" w:eastAsia="arial" w:hAnsi="arial" w:cs="arial"/>
            <w:i/>
            <w:color w:val="0077CC"/>
            <w:sz w:val="20"/>
            <w:u w:val="single"/>
            <w:shd w:val="clear" w:color="auto" w:fill="FFFFFF"/>
            <w:lang w:val="en-US" w:eastAsia="en-US" w:bidi="ar-SA"/>
          </w:rPr>
          <w:t>[1992] B.C.J. No. 1698</w:t>
        </w:r>
      </w:hyperlink>
      <w:r>
        <w:rPr>
          <w:rFonts w:ascii="arial" w:eastAsia="arial" w:hAnsi="arial" w:cs="arial"/>
          <w:color w:val="000000"/>
          <w:sz w:val="20"/>
          <w:lang w:val="en-US" w:eastAsia="en-US" w:bidi="ar-SA"/>
        </w:rPr>
        <w:t xml:space="preserve"> (S.C.); Belanger v. Johnsen, </w:t>
      </w:r>
      <w:hyperlink r:id="rId537" w:history="1">
        <w:r>
          <w:rPr>
            <w:rFonts w:ascii="arial" w:eastAsia="arial" w:hAnsi="arial" w:cs="arial"/>
            <w:i/>
            <w:color w:val="0077CC"/>
            <w:sz w:val="20"/>
            <w:u w:val="single"/>
            <w:shd w:val="clear" w:color="auto" w:fill="FFFFFF"/>
            <w:lang w:val="en-US" w:eastAsia="en-US" w:bidi="ar-SA"/>
          </w:rPr>
          <w:t>[1998] B.C.J. No. 446</w:t>
        </w:r>
      </w:hyperlink>
      <w:r>
        <w:rPr>
          <w:rFonts w:ascii="arial" w:eastAsia="arial" w:hAnsi="arial" w:cs="arial"/>
          <w:color w:val="000000"/>
          <w:sz w:val="20"/>
          <w:lang w:val="en-US" w:eastAsia="en-US" w:bidi="ar-SA"/>
        </w:rPr>
        <w:t xml:space="preserve"> (S.C.); Farewell v. Cook, </w:t>
      </w:r>
      <w:hyperlink r:id="rId538" w:history="1">
        <w:r>
          <w:rPr>
            <w:rFonts w:ascii="arial" w:eastAsia="arial" w:hAnsi="arial" w:cs="arial"/>
            <w:i/>
            <w:color w:val="0077CC"/>
            <w:sz w:val="20"/>
            <w:u w:val="single"/>
            <w:shd w:val="clear" w:color="auto" w:fill="FFFFFF"/>
            <w:lang w:val="en-US" w:eastAsia="en-US" w:bidi="ar-SA"/>
          </w:rPr>
          <w:t>[1999] B.C.J. No. 1801</w:t>
        </w:r>
      </w:hyperlink>
      <w:r>
        <w:rPr>
          <w:rFonts w:ascii="arial" w:eastAsia="arial" w:hAnsi="arial" w:cs="arial"/>
          <w:color w:val="000000"/>
          <w:sz w:val="20"/>
          <w:lang w:val="en-US" w:eastAsia="en-US" w:bidi="ar-SA"/>
        </w:rPr>
        <w:t xml:space="preserve"> (S.C.); Sandhu v. Gill, </w:t>
      </w:r>
      <w:hyperlink r:id="rId539" w:history="1">
        <w:r>
          <w:rPr>
            <w:rFonts w:ascii="arial" w:eastAsia="arial" w:hAnsi="arial" w:cs="arial"/>
            <w:i/>
            <w:color w:val="0077CC"/>
            <w:sz w:val="20"/>
            <w:u w:val="single"/>
            <w:shd w:val="clear" w:color="auto" w:fill="FFFFFF"/>
            <w:lang w:val="en-US" w:eastAsia="en-US" w:bidi="ar-SA"/>
          </w:rPr>
          <w:t>[1999] B.C.J. No. 2742</w:t>
        </w:r>
      </w:hyperlink>
      <w:r>
        <w:rPr>
          <w:rFonts w:ascii="arial" w:eastAsia="arial" w:hAnsi="arial" w:cs="arial"/>
          <w:color w:val="000000"/>
          <w:sz w:val="20"/>
          <w:lang w:val="en-US" w:eastAsia="en-US" w:bidi="ar-SA"/>
        </w:rPr>
        <w:t xml:space="preserve"> (S.C.)). Non-pecuniary damages are $28,000.</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Past Wage Loss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There is a basis for a claim for wages lost from waitressing to the end of August 1995. This is awarded generously because there is no evidence that not working was medically required. Damages are assessed at $3,500 for past wage loss.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Special Damage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Dr. Murschell and Dr. MacNiel did not recommend further passive therapy after the fall of 1995. I agree with the defence that no further costs should be given for anything after October 1995. Special damages are assessed at $403.50.</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defendants have been mostly successful and are entitled to costs on the scale of 3, if sought. Either party may request further consideration of costs, if appropriate.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DILLON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819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0"/>
          <w:headerReference w:type="default" r:id="rId541"/>
          <w:footerReference w:type="even" r:id="rId542"/>
          <w:footerReference w:type="default" r:id="rId543"/>
          <w:headerReference w:type="first" r:id="rId544"/>
          <w:footerReference w:type="first" r:id="rId54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546" w:history="1">
        <w:r>
          <w:rPr>
            <w:rFonts w:ascii="arial" w:eastAsia="arial" w:hAnsi="arial" w:cs="arial"/>
            <w:b/>
            <w:bCs/>
            <w:i/>
            <w:color w:val="0077CC"/>
            <w:kern w:val="32"/>
            <w:sz w:val="28"/>
            <w:szCs w:val="32"/>
            <w:u w:val="single"/>
            <w:shd w:val="clear" w:color="auto" w:fill="FFFFFF"/>
            <w:lang w:val="en-US" w:eastAsia="en-US" w:bidi="ar-SA"/>
          </w:rPr>
          <w:t>Mackichan v. June, [2004] B.C.J. No. 2296</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Master Groves</w:t>
      </w:r>
    </w:p>
    <w:p>
      <w:pPr>
        <w:spacing w:before="120" w:line="260" w:lineRule="atLeast"/>
        <w:jc w:val="center"/>
        <w:rPr>
          <w:lang w:val="en-US" w:eastAsia="en-US" w:bidi="ar-SA"/>
        </w:rPr>
      </w:pPr>
      <w:r>
        <w:rPr>
          <w:rFonts w:ascii="arial" w:eastAsia="arial" w:hAnsi="arial" w:cs="arial"/>
          <w:color w:val="000000"/>
          <w:sz w:val="20"/>
          <w:lang w:val="en-US" w:eastAsia="en-US" w:bidi="ar-SA"/>
        </w:rPr>
        <w:t>Oral judgment: October 21, 2004.</w:t>
      </w:r>
    </w:p>
    <w:p>
      <w:pPr>
        <w:spacing w:before="120" w:line="260" w:lineRule="atLeast"/>
        <w:jc w:val="center"/>
        <w:rPr>
          <w:lang w:val="en-US" w:eastAsia="en-US" w:bidi="ar-SA"/>
        </w:rPr>
      </w:pPr>
      <w:r>
        <w:rPr>
          <w:rFonts w:ascii="arial" w:eastAsia="arial" w:hAnsi="arial" w:cs="arial"/>
          <w:color w:val="000000"/>
          <w:sz w:val="20"/>
          <w:lang w:val="en-US" w:eastAsia="en-US" w:bidi="ar-SA"/>
        </w:rPr>
        <w:t>Released: November 5, 2004.</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M010282</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[2004] B.C.J. No. 2296</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2004 BCSC 1441</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135 A.C.W.S. (3d) 584</w:t>
      </w:r>
    </w:p>
    <w:p>
      <w:pPr>
        <w:spacing w:before="120" w:line="260" w:lineRule="atLeast"/>
        <w:rPr>
          <w:lang w:val="en-US" w:eastAsia="en-US" w:bidi="ar-SA"/>
        </w:rPr>
      </w:pPr>
      <w:r>
        <w:rPr>
          <w:rFonts w:ascii="arial" w:eastAsia="arial" w:hAnsi="arial" w:cs="arial"/>
          <w:color w:val="000000"/>
          <w:sz w:val="20"/>
          <w:lang w:val="en-US" w:eastAsia="en-US" w:bidi="ar-SA"/>
        </w:rPr>
        <w:t>Between Nicole Mackichan, plaintiff, and Lorraine June and Aoyama Takeshi,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(16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10" style="position:absolute;z-index:251682816"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24" w:name="Keywords_5"/>
      <w:bookmarkEnd w:id="124"/>
      <w:r>
        <w:rPr>
          <w:rFonts w:ascii="arial" w:eastAsia="arial" w:hAnsi="arial" w:cs="arial"/>
          <w:b/>
          <w:color w:val="000000"/>
          <w:sz w:val="20"/>
          <w:lang w:val="en-US" w:eastAsia="en-US" w:bidi="ar-SA"/>
        </w:rPr>
        <w:t xml:space="preserve">Civil procedure — Applications and motions — Time requirements — 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Damages — General damages — For personal injuries — Non-pecuniary damages, including pain and suffering.</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25" w:name="Case Summary_4"/>
            <w:bookmarkEnd w:id="125"/>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Application by the defendant, June, to require the plaintiff, Mackichan, to attend a doctor's office for an independent medical examination. The action arose as a result of a motor vehicle accident. The application was brought 30 days before trial. June alleged that the nature of Mackichan's claim had changed over time requiring the new doctor's report to get a level playing field, particularly on the new issue of chronic pain. Mackichan argued that June knew of the serious nature of the injuries for a longtime from previous doctor reports and that this request had been made and denied months earlier, and should have been dealt with then. </w:t>
            </w:r>
            <w:r>
              <w:rPr>
                <w:lang w:val="en-US" w:eastAsia="en-US" w:bidi="ar-SA"/>
              </w:rPr>
              <w:cr/>
            </w:r>
          </w:p>
          <w:p>
            <w:pPr>
              <w:spacing w:before="120" w:line="260" w:lineRule="atLeast"/>
              <w:ind w:left="240"/>
              <w:jc w:val="both"/>
              <w:rPr>
                <w:lang w:val="en-US" w:eastAsia="en-US" w:bidi="ar-SA"/>
              </w:rPr>
            </w:pPr>
            <w:bookmarkStart w:id="126" w:name="Holdings of Court_4"/>
            <w:bookmarkEnd w:id="126"/>
            <w:r>
              <w:rPr>
                <w:rFonts w:ascii="arial" w:eastAsia="arial" w:hAnsi="arial" w:cs="arial"/>
                <w:color w:val="000000"/>
                <w:sz w:val="20"/>
                <w:lang w:val="en-US" w:eastAsia="en-US" w:bidi="ar-SA"/>
              </w:rPr>
              <w:t>HELD: Application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court needed to balance the prejudice to June in not having a report against the prejudice to Mackichan in having a report prepared late which would likely cause an adjournment of the trial. June should have acted on the report months earlier when their first request was denied by Mackichan. The issue of chronic pain had been raised much earlier in the litigation and was only being addressed now. The balance of prejudice favoured Mackichan. </w:t>
            </w:r>
            <w:r>
              <w:rPr>
                <w:lang w:val="en-US" w:eastAsia="en-US" w:bidi="ar-SA"/>
              </w:rPr>
              <w:cr/>
            </w:r>
          </w:p>
          <w:p>
            <w:pPr>
              <w:rPr>
                <w:lang w:val="en-US" w:eastAsia="en-US" w:bidi="ar-SA"/>
              </w:rPr>
            </w:pPr>
          </w:p>
        </w:tc>
      </w:tr>
    </w:tbl>
    <w:p>
      <w:pPr>
        <w:jc w:val="both"/>
        <w:rPr>
          <w:lang w:val="en-US" w:eastAsia="en-US" w:bidi="ar-SA"/>
        </w:rPr>
      </w:pPr>
      <w:bookmarkStart w:id="127" w:name="Legislation Cited_3"/>
      <w:bookmarkEnd w:id="127"/>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111" style="position:absolute;z-index:25173401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British Columbia Supreme Rules of Court, Rules 30, 40A.</w:t>
      </w:r>
      <w:r>
        <w:rPr>
          <w:lang w:val="en-US" w:eastAsia="en-US" w:bidi="ar-SA"/>
        </w:rPr>
        <w:cr/>
      </w:r>
    </w:p>
    <w:p>
      <w:pPr>
        <w:keepNext/>
        <w:spacing w:before="240" w:line="340" w:lineRule="atLeast"/>
        <w:rPr>
          <w:lang w:val="en-US" w:eastAsia="en-US" w:bidi="ar-SA"/>
        </w:rPr>
      </w:pPr>
      <w:bookmarkStart w:id="128" w:name="Counsel_23"/>
      <w:bookmarkEnd w:id="128"/>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12" style="position:absolute;z-index:25178521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Plaintiff: D.N. Osborne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Defendants: M. von Niessen</w:t>
      </w:r>
      <w:r>
        <w:rPr>
          <w:lang w:val="en-US" w:eastAsia="en-US" w:bidi="ar-SA"/>
        </w:rPr>
        <w:cr/>
      </w:r>
    </w:p>
    <w:p>
      <w:pPr>
        <w:spacing w:after="240"/>
        <w:rPr>
          <w:lang w:val="en-US" w:eastAsia="en-US" w:bidi="ar-SA"/>
        </w:rPr>
      </w:pPr>
      <w:bookmarkStart w:id="129" w:name="Judgment_23"/>
      <w:bookmarkEnd w:id="129"/>
      <w:r>
        <w:pict>
          <v:line id="_x0000_s1113" style="position:absolute;z-index:251820032"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9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30" w:name="MASTER GROVES (orally)"/>
            <w:bookmarkEnd w:id="130"/>
            <w:r>
              <w:rPr>
                <w:rFonts w:ascii="arial" w:eastAsia="arial" w:hAnsi="arial" w:cs="arial"/>
                <w:b/>
                <w:color w:val="000000"/>
                <w:sz w:val="30"/>
                <w:lang w:val="en-US" w:eastAsia="en-US" w:bidi="ar-SA"/>
              </w:rPr>
              <w:t>MASTER GROVES (orally)</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 personal injury action in which the plaintiff alleges to have suffered injuries as a result of a motor vehicle accident which I am advised occurred in March 1999.</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trial for this matter is set for the 22nd of November 2004 and today is the 21st of October, 2004 so we are approximately 30 days prior to trial. The application before the court is an application to require the plaintiff to attend at Dr. Reebye's office for an independent medical examination on October 25th at 8:30 a.m., and an application for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It is the defendants' position that the nature of the plaintiff's claim has changed over time, requiring them to have the report of Dr. Reebye in order to get to a "level playing field". The suggestion by counsel for the defendants is that initially this action concerned a soft tissue injury and that there was nothing to suggest long term consequences in regards to the soft tissue injury, although there was early on a suggestion that there could be a mild traumatic brain injury.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It is the defendants' position that the claim has changed over time to one in which there is a claim of chronic pain disorder, a diagnosis they say has arisen recently as a result of Dr. Travlos' report which they received sometime in April 2004. That reports suggests the chronic pain was of a significant and debilitating nature.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 second report of Dr. Travlos seems to indicate that the pain will not resolve itself. The defendants also note that Dr. Travlos' diagnosis was enhanced by a report received at the 60-day mark from Dr. Robinson which confirms much of what Dr. Travlos says.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sees this issue quite differently. They say that the injury was significant from the beginning, and that there was always some lack of certainty as to recovery. These injuries were never at the stage where the plaintiff could have been said to have completely recovered from her injury. Most importantly, they say that the evidence of Dr. Travlos in particular and his diagnosis of chronic pain has been known to the defendants for some time. The first report of Dr. Travlos was dated July of 2003 and the second in April of 2004.</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Counsel for the plaintiff notes particularly that in July of this year, well before trial, which is scheduled for November, there was a request by defendants' counsel that the plaintiff attend at the same Dr. Reebye for an independent medical examination. That request by letter was turned down. The argument of the plaintiff is that if the defendants wanted this type of report they should have dealt with the matter in July so as not to require an adjournment of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Clearly a medical examination done less than 30 days in advance of trial and the report which would have to be generated and served upon counsel for the plaintiff would be a report which is outside the admissibility rules of Rule 40A. It would no doubt result in an adjournment of the trial, or be inadmissible.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As set out in the case of Stainer v. Plaza, </w:t>
      </w:r>
      <w:hyperlink r:id="rId547" w:history="1">
        <w:r>
          <w:rPr>
            <w:rFonts w:ascii="arial" w:eastAsia="arial" w:hAnsi="arial" w:cs="arial"/>
            <w:i/>
            <w:color w:val="0077CC"/>
            <w:sz w:val="20"/>
            <w:u w:val="single"/>
            <w:shd w:val="clear" w:color="auto" w:fill="FFFFFF"/>
            <w:lang w:val="en-US" w:eastAsia="en-US" w:bidi="ar-SA"/>
          </w:rPr>
          <w:t>87 B.C.L.R. (3d) 182</w:t>
        </w:r>
      </w:hyperlink>
      <w:r>
        <w:rPr>
          <w:rFonts w:ascii="arial" w:eastAsia="arial" w:hAnsi="arial" w:cs="arial"/>
          <w:color w:val="000000"/>
          <w:sz w:val="20"/>
          <w:lang w:val="en-US" w:eastAsia="en-US" w:bidi="ar-SA"/>
        </w:rPr>
        <w:t>, a decision of the British Columbia Court of Appeal, it is the role of the court in these applications under Rule 30 to put the parties on equal footing with respect to medical evidence. In Stainer v. Plaza, Mr. Justice Finch, as he then was, wrote for the majority. He says: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What steps are necessary to achieve that end is a matter of discretion for the chambers judge to assess in the circumstance of each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There are a number of authorities provided by counsel for the plaintiff including a decision of Giles v. Emde </w:t>
      </w:r>
      <w:hyperlink r:id="rId548" w:history="1">
        <w:r>
          <w:rPr>
            <w:rFonts w:ascii="arial" w:eastAsia="arial" w:hAnsi="arial" w:cs="arial"/>
            <w:i/>
            <w:color w:val="0077CC"/>
            <w:sz w:val="20"/>
            <w:u w:val="single"/>
            <w:shd w:val="clear" w:color="auto" w:fill="FFFFFF"/>
            <w:lang w:val="en-US" w:eastAsia="en-US" w:bidi="ar-SA"/>
          </w:rPr>
          <w:t>[2002] B.C.J. No. 2965</w:t>
        </w:r>
      </w:hyperlink>
      <w:r>
        <w:rPr>
          <w:rFonts w:ascii="arial" w:eastAsia="arial" w:hAnsi="arial" w:cs="arial"/>
          <w:color w:val="000000"/>
          <w:sz w:val="20"/>
          <w:lang w:val="en-US" w:eastAsia="en-US" w:bidi="ar-SA"/>
        </w:rPr>
        <w:t xml:space="preserve">, a decision of Master Horn; Baron v. Wywitka </w:t>
      </w:r>
      <w:hyperlink r:id="rId549" w:history="1">
        <w:r>
          <w:rPr>
            <w:rFonts w:ascii="arial" w:eastAsia="arial" w:hAnsi="arial" w:cs="arial"/>
            <w:i/>
            <w:color w:val="0077CC"/>
            <w:sz w:val="20"/>
            <w:u w:val="single"/>
            <w:shd w:val="clear" w:color="auto" w:fill="FFFFFF"/>
            <w:lang w:val="en-US" w:eastAsia="en-US" w:bidi="ar-SA"/>
          </w:rPr>
          <w:t>[2004] B.C.J. No. 1930</w:t>
        </w:r>
      </w:hyperlink>
      <w:r>
        <w:rPr>
          <w:rFonts w:ascii="arial" w:eastAsia="arial" w:hAnsi="arial" w:cs="arial"/>
          <w:color w:val="000000"/>
          <w:sz w:val="20"/>
          <w:lang w:val="en-US" w:eastAsia="en-US" w:bidi="ar-SA"/>
        </w:rPr>
        <w:t xml:space="preserve">, a decision of Master Patterson; Cruikshank v. Rathy </w:t>
      </w:r>
      <w:hyperlink r:id="rId550" w:history="1">
        <w:r>
          <w:rPr>
            <w:rFonts w:ascii="arial" w:eastAsia="arial" w:hAnsi="arial" w:cs="arial"/>
            <w:i/>
            <w:color w:val="0077CC"/>
            <w:sz w:val="20"/>
            <w:u w:val="single"/>
            <w:shd w:val="clear" w:color="auto" w:fill="FFFFFF"/>
            <w:lang w:val="en-US" w:eastAsia="en-US" w:bidi="ar-SA"/>
          </w:rPr>
          <w:t>[2003] B.C.J. No. 1819</w:t>
        </w:r>
      </w:hyperlink>
      <w:r>
        <w:rPr>
          <w:rFonts w:ascii="arial" w:eastAsia="arial" w:hAnsi="arial" w:cs="arial"/>
          <w:color w:val="000000"/>
          <w:sz w:val="20"/>
          <w:lang w:val="en-US" w:eastAsia="en-US" w:bidi="ar-SA"/>
        </w:rPr>
        <w:t>, also a decision of Master Patterson. Those cases all deal with the issue of request for late medical examinations.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argument for a late medical examination is really a complication, or better put, an extension of the Stainer v. Plaza reasoning in that, I believe, the court must consider fairness between the parties and a balancing of prejudice when a request for a late medical examination is made. It is not simply a question of putting the parties on a level playing field at this stage, it is a question of really balancing the prejudice which will result to the defendants in not having a report and the prejudice that will result to the plaintiff in having a report prepared late which would no doubt, I accept, cause an adjournment of the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my view, if the defendants wanted this report, they should have acted upon the issue in July of 2004 when it was made to clear them by counsel for the plaintiff that he would not consent to a further medical examination. It could have been prepared in time for trial if the defendants had acted then, when the request was denied. No information is provided as to why there was no application made in July when it became apparent that counsel for the plaintiff would not consent to another independent medical examination.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Counsel for the defendants, had they acted at that time, could have had their independent medical examination if the court found it reasonable and that examination could have happened and the report served within a Rule 40A time limit.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note in particular that the issue of chronic pain which is the concern of the defendants was an issue raised not only in the report of Dr. Travlos in April of 2004, which the defendants say gave rise to the request for Dr. Reebye's independent examination in July of 2004, but it was also raised in Dr. Travlos' report of July of 2003. The defendants could have considered their position as early as that date.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my view to allow an independent medical examination at this time would unduly prejudice the plaintiff's need for a trial and expectations of resolution of the issue at trial in November 2004. To allow the medical examination at this late stage, when the defendants had knowledge of this concern in April of this year if not earlier, would be grossly unfair to the plaintiff. The balancing of prejudice clearly favours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So as a result I am not granting an order for the independent medical exam and the plaintiff will have her costs of the application.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MASTER GROVES</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4" style="position:absolute;z-index:2518312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51"/>
          <w:headerReference w:type="default" r:id="rId552"/>
          <w:footerReference w:type="even" r:id="rId553"/>
          <w:footerReference w:type="default" r:id="rId554"/>
          <w:headerReference w:type="first" r:id="rId555"/>
          <w:footerReference w:type="first" r:id="rId55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57" w:history="1">
        <w:r>
          <w:rPr>
            <w:rFonts w:ascii="arial" w:eastAsia="arial" w:hAnsi="arial" w:cs="arial"/>
            <w:b/>
            <w:bCs/>
            <w:i/>
            <w:color w:val="0077CC"/>
            <w:kern w:val="32"/>
            <w:sz w:val="28"/>
            <w:szCs w:val="32"/>
            <w:u w:val="single"/>
            <w:shd w:val="clear" w:color="auto" w:fill="FFFFFF"/>
            <w:lang w:val="en-US" w:eastAsia="en-US" w:bidi="ar-SA"/>
          </w:rPr>
          <w:t>MacLaren v. Kucharek, [2008] B.C.J. No. 982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M.E. Boyd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12-15,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29,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M054396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982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673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68 M.V.R. (5th) 290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CarswellBC 1074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167 A.C.W.S. (3d) 701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Daniel MacLaren, Plaintiff, and Artur Kucharek,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5" style="position:absolute;z-index:2516838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31" w:name="Keywords_6"/>
      <w:bookmarkEnd w:id="131"/>
      <w:r>
        <w:rPr>
          <w:rFonts w:ascii="arial" w:eastAsia="arial" w:hAnsi="arial" w:cs="arial"/>
          <w:b/>
          <w:color w:val="000000"/>
          <w:sz w:val="20"/>
          <w:lang w:val="en-US" w:eastAsia="en-US" w:bidi="ar-SA"/>
        </w:rPr>
        <w:t>Damages — Physical and psychological injuries — Physical injuries — Body injuries — Plaintiff cyclist awarded $44,559 in damages, including $35,000 in general damages, an agreed-upon wage claim of $8,750, and $809 for his damages to the bike and his helmet, after the defendant was found solely liable for the accident in which he struck the plaintiff with his motor vehicle — Plaintiff suffered right shoulder injury and low back and neck pain — The court considered his ongoing shoulder symptoms, the likelihood of ongoing chronic discomfort, the risk of some progression of symptoms in the future, and the risk of the diminishment of his capacity to physically manage his ranch single-handedly in the future.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Considerations — Extent of incapacity — Plaintiff cyclist awarded $44,559 in damages, including $35,000 in general damages, an agreed-upon wage claim of $8,750, and $809 for his damages to the bike and his helmet, after the defendant was found solely liable for the accident in which he struck the plaintiff with his motor vehicle — Plaintiff suffered right shoulder injury and low back and neck pain — The court considered his ongoing shoulder symptoms, the likelihood of ongoing chronic discomfort, the risk of some progression of symptoms in the future, and the risk of the diminishment of his capacity to physically manage his ranch single-handedly in the future.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Liability of driver — Defendant was found solely liable for the accident in which he struck the plaintiff with his motor vehicle — The defendant failed to ensure no traffic was approaching before making the turn — The plaintiff had no opportunity to avoid the collision and was not contributorily negligent.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32" w:name="Case Summary_5"/>
            <w:bookmarkEnd w:id="13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Claim by 53-year-old plaintiff cyclist for damages for injuries sustained in an accident when he was struck by the defendant's left-turning vehicle while attempting to ride his bicycle through an intersection. Both liability and quantum of damages were in issue. The defence argued that by travelling in a corridor well to the right of stopped southbound traffic, the plaintiff was illegally passing on the right of the southbound vehicles and that the defendant could not have anticipated his presence in the through lane.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33" w:name="Holdings of Court_5"/>
            <w:bookmarkEnd w:id="133"/>
            <w:r>
              <w:rPr>
                <w:rFonts w:ascii="arial" w:eastAsia="arial" w:hAnsi="arial" w:cs="arial"/>
                <w:color w:val="000000"/>
                <w:sz w:val="20"/>
                <w:lang w:val="en-US" w:eastAsia="en-US" w:bidi="ar-SA"/>
              </w:rPr>
              <w:t>HELD: Plaintiff awarded $44,559 in damages.</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a member of the Ambulance Services Bike squad, was an experienced, trained cyclist, very much familiar with the challenges of urban vehicular traffic. Based on the evidence, the court was satisfied the plaintiff was travelling properly in the extreme right side of the southbound turn lane, yet travelling in a corridor well to the right of the stopped southbound traffic. The court rejected the defence submission that by travelling in that corridor he was thereby illegally passing on the right of the southbound vehicles and that the defendant could not have anticipated his presence in the through lane. The court rejected the notion that a cyclist was confined to travelling behind vehicular traffic. His position on the roadway was lawful and proper and satisfied his obligation under s. 183(2)(c) of the Motor Vehicle Act to ride "as near as practicable to the right side of the highway. He was keeping a proper lookout for traffic ahead. Before turning left, past the stopped pick-up truck and into the next lane of traffic, the defendant failed to ensure there was no traffic approaching so closely as to constitute an immediate hazard, and was in breach of s. 174. The plaintiff had no opportunity to avoid the collision and he was not contributorily negligent. The plaintiff was unable to work for one month, losing 18 shifts of work as a paramedic and the ability to participate in a Justice Institute training course he was scheduled to teach. His low back pain persisted for 3-4 months, while the neck pain was not resolved until 18 months post-accident. Prognosis for a full recovery of his right shoulder injury was guarded, as his symptoms persisted. He was awarded $35,000 in general damages, considering his ongoing shoulder symptoms, the likelihood of ongoing chronic discomfort, the risk of some progression of symptoms in the future, and the risk of the diminishment of his capacity to physically manage his ranch single-handedly in the future. The parties agreed on the wage claim of $8,750. He was awarded $809 for his damages bicycle and helmet.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34" w:name="Legislation Cited_4"/>
      <w:bookmarkEnd w:id="13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16" style="position:absolute;z-index:2517350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558" w:history="1">
        <w:r>
          <w:rPr>
            <w:rFonts w:ascii="arial" w:eastAsia="arial" w:hAnsi="arial" w:cs="arial"/>
            <w:i/>
            <w:color w:val="0077CC"/>
            <w:sz w:val="20"/>
            <w:u w:val="single"/>
            <w:shd w:val="clear" w:color="auto" w:fill="FFFFFF"/>
            <w:lang w:val="en-US" w:eastAsia="en-US" w:bidi="ar-SA"/>
          </w:rPr>
          <w:t>RSBC 1996, CHAPTER 318, s. 158</w:t>
        </w:r>
      </w:hyperlink>
      <w:r>
        <w:rPr>
          <w:rFonts w:ascii="arial" w:eastAsia="arial" w:hAnsi="arial" w:cs="arial"/>
          <w:color w:val="000000"/>
          <w:sz w:val="20"/>
          <w:lang w:val="en-US" w:eastAsia="en-US" w:bidi="ar-SA"/>
        </w:rPr>
        <w:t>, s. 174, s. 183(1)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35" w:name="Counsel_24"/>
      <w:bookmarkEnd w:id="13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7" style="position:absolute;z-index:2517862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D.G. Crane.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A.J. DuPlessis.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6" w:name="Judgment_24"/>
      <w:bookmarkEnd w:id="136"/>
      <w:r>
        <w:pict>
          <v:line id="_x0000_s1118" style="position:absolute;z-index:25182105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7" w:name="M.E. BOYD J."/>
            <w:bookmarkEnd w:id="137"/>
            <w:r>
              <w:rPr>
                <w:rFonts w:ascii="arial" w:eastAsia="arial" w:hAnsi="arial" w:cs="arial"/>
                <w:b/>
                <w:color w:val="000000"/>
                <w:sz w:val="30"/>
                <w:lang w:val="en-US" w:eastAsia="en-US" w:bidi="ar-SA"/>
              </w:rPr>
              <w:t>M.E. BOYD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claims damages arising from an accident which occurred on October 3, 2003, when he was struck by the defendant's left turning vehicle while attempting to ride his bicycle through an intersection. Both liability and the quantum of damages (other than his pecuniary loss) are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is 53 years of age. For approximately 20 years he has worked as an ambulance paramedic, latterly as a member of the Advanced Life Support team. In addition to his regular paramedic duties, he also serves as a member of the Ambulance Services Bike squad as well as the Urban Search and Rescue Team and the Anti-Terrorist Bio-Chemical team.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Approximately ten years ago, in preparation for his Bike squad duties, he underwent intensive bicycle training, learning to handle and manoeuvre a bicycle while carrying two heavy panniers in urban traffic. Given his training and background, I am satisfied that on the date of the accident, the plaintiff was an experienced, trained cyclist, very much familiar with the challenges of urban vehicular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October 3, 2003 was a clear, dry fall day. The accident occurred at 5:30 p.m., in full daylight hours. There were no visibility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Following his usual bicycle commuting route to work, the plaintiff was riding his mountain bicycle southbound on 140th Street in Surrey. He was wearing a blue bicycle helmet, a bright yellow riding jacket and red riding pants, as well as riding shoes and gloves. He intended to travel southbound on 140th Street, passing Laurel Drive to his west, then through the intersection of 96th Avenue and 140th, and then some two blocks later, to turn onto a bicycle path leading to the rear of the Surrey Memorial Hospital grounds.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very unusual layout of the various roads and intersections at and near the scene of the accident must be appreciated in determining the issue of liability. While the layout has changed somewhat since the date of the accident, on the date of the accident the layout was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140th Street, in the stretch North of Laurel Drive, there are two lanes of traffic, although there are no lines dividing the two lanes. As the Speed Scene Diagram (Exhibit 2) demonstrates, at this point the southbound roadway is 24'4" wide, just slightly narrower than the northbound lanes of traffic which, at that juncture, are divided by broken painted lines. As the black tire and grease markings in the aerial view of the intersection demonstrate, (Exhibit 1, Tab 7), in this stretch of the southbound roadway north of Laurel Drive, the vehicular traffic regularly travels side by side in two distinct lanes. To the south of the intersection of 140th Street and 96th Avenue, the road widens to a full 34'6", allowing 10'3" for a mandatory left turn lane, 12' for a through lane, and 12'3" for a mandatory right turn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explained that historically, as he approached the intersection of 140th Street and 96th Avenue, he would not travel in the curb lane (where he would normally cycle on any roadway), since, beyond the intersection, such a route would lead him directly into the mandatory right hand turn lane on 140th Street. In his view, since he intended to proceed straight ahead on 140th Street and not turn right, it was dangerous if not illegal to travel in the curb lane. Moreover, in his view, it would be dangerous to wait until after passing through the Laurel/140th Street intersection, before moving back into the southbound through lane. In his view, to adopt such a route would fail to provide other motorists with as much notice as possible of his intended route and thus potentially give rise to confusion or surprises, and hence perhaps an unnecessary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the date of the accident, following his usual pattern, he coasted down 140th Street towards the intersection of 140th and 96th Avenue. He could not recall noticing any southbound vehicular traffic to his left which was stopped, either waiting to turn left or waiting to travel through the intersection of 140th Street and 96th Avenue. Nor did he recall seeing a break in stopped traffic at the intersection of 140th Street and Laurel Drive. His only recollection was looking ahead and seeing that southbound traffic was moving through the intersection on a green light. He testified he was "coasting" downhill. He estimated his speed to be approximately 25-30kph. The posted speed limit was 50kph.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Just as he was about to enter the intersection of 140th Street and Laurel Drive, he suddenly noticed "some movement from a vehicle in the northbound lane". He stated that in the next instant this vehicle "was basically right in front of me", attempting to make a left hand turn across his path. He could not recall seeing the vehicle's turn signal. He said the vehicle was "well into the intersection" when the driver applied his brakes, presumably having seen the plaintiff at the last moment. The plaintiff immediately applied his own bicycle brakes but otherwise he says he had no opportunity to take any evasive action. His bicycle struck the right front passenger side wheel area of the defendant's vehicle, causing the plaintiff to fly over the hood of the vehicle and land some distance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 is a young man who had lived in the vicinity for some period prior to the accident. He admitted that he was familiar with the intersection in issue. Immediately before the accident, he was returning from a soccer game, driving northbound on 140th Street and intending to turn left, across southbound traffic, to travel westbound on Laurel Drive. While he had no recollection of the state of the northbound traffic, he said southbound traffic on 140th Street was "pretty heavy" and was backed up to the north of the intersection, past Laurel Drive.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He testified that at the intersection of 140th Street and Laurel Drive, he brought his SUV truck to a stop and applied his left hand turn signal, waiting for an opportunity to turn left across the southbound lanes. He said a southbound F350 Ford pick up truck stopped, just to the north of Laurel Drive, thus allowing him a pathway across the southbound lanes of traffic. Although the pickup had stopped, the defendant admitted he was aware he would still have to cross a second lane of southbound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He says that he began to execute his left hand turn and after he reached a point some 2-3 feet beyond the front of the stopped pick up truck, he saw another southbound vehicle on 140th Street, driving in the "shoulder" of 140th Street. Since he was unsure whether that vehicle intended to continue southbound or whether it was going to turn (presumably westbound onto Laurel Drive), he stopped his own vehicle. In the next instant, he says his vehicle was struck by the plaintiff's bicycle. (While the sequence of events is not clear, I should note that at some point, he observed the second vehicle actually stop just north of Laurel Drive and let a passenger out of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Riding in the defendant's vehicle were his two friends, a Mr. Kosinski and a Mr. Neil Carroll. Some time ago Mr. Kosinski returned to his native Poland and he has had no further contact with the defendant. Thus he was not called as a witness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However the second passenger, Mr. Carroll, did testify on behalf of the defence. Mr. Carroll was sitting in the rear passenger side seat of the defendant's vehicle. Just before the accident, he noted that southbound traffic was backed up on 140th Street. He was aware of his friend's intention to turn left, across the southbound traffic, so as to proceed onto Laurel Drive. He noted that a vehicle "was letting us through" and that the defendant "was easing into making his turn", moving "at a crawling speed". He testified that "the next thing I know we were struck by a bicycle". He did not see the plaintiff's bicycle before the collision. He said that just the "tip of the front end" of the defendant's vehicle was beyond the front of the stopped southbound vehicle when the impact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This witness' evidence was significant in the sense that he did not describe the defendant's vehicle coming to a full stop either prior to the commencement of the left hand turn, or in the course of the turn as the defendant described. Nor did he describe seeing the second southbound vehicle, the presence of which had apparently caused the defendant to suddenly stop his vehicle in the course of his left hand turn. Clearly, the appearance of the plaintiff's bicycle was a complete surprise to the witness. It is unclear whether this witness was simply not paying particular attention to the situation at hand or whether, given his position in the rear seat of the vehicle, his view of any other oncoming southbound traffic was either partially or totally blocked by the pick up truck at the head of the line of stopped traffic. In any case, I do not find that his evidence is of much assistance in resolving the liability issue at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only other witness to the accident was a Mr. Michael Sanchez, an off-duty RCMP officer, who was sitting in his SUV truck, southbound on 140th Street, four to seven vehicles north of the intersection of 140th Street and Laurel Drive. He was sitting in his vehicle in a line of stopped cars, intending to continue to proceed southbound on 140th Street, past Laurel Drive, and then southbound through the intersection of 140th Street and 96th Avenue. Since he was on a downhill grade and sitting somewhat higher than other vehicles in his SUV truck, he says he could see there was a gap in the line of southbound traffic ahead, presumably to allow for northbound vehicles to turn left onto Laurel Drive.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While in his stopped position, he saw the plaintiff's bicycle pass him on his right, proceeding southbound, "going very fast, at a sprint speed". In cross examination he conceded that while he was aware the speed limit on the road was 50kph, he was unable to attribute any particular speed of travel to the plaintiff's bicycle. He could not say if the bicycle was travelling at a speed over the posted speed limit.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As the plaintiff's bicycle passed him, he says he looked ahead and could see the defendant's vehicle making a left hand turn westbound "creeping through the intersection -- through the gap" at 140th Street and Laurel Drive. He said the defendant's vehicle was a half a car length through the intersection when the impact occurred. He agreed in cross examination that it appeared the defendant's SUV had turned right into the path of the plaintiff's bicycle and that in the circumstances, the plaintiff had no opportunity to avoid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Like the plaintiff and the defendant, Mr. Sanchez agreed that in the area to the north of Laurel Drive, the usual pattern of traffic was for southbound traffic to divide into two clear lines of traffic -- that is (1) vehicles which intended to either turn left or drive straight through the intersection at 96th Avenue and 140th Street, and (2) vehicles which intended to enter the right hand turn lane so as to turn right at 96th Avenue. Had he intended to turn right on 96th Avenue, he testified he would have been travelling along the most westerly of the two southbound lanes on 140th Street rather than sitting in the lane of stopped traffic. Since he intended to travel straight through the 96th Avenue intersection, he remained in the most easterly of the southbound lanes.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plaintiff's position is that in the circumstances, since he was proceeding southbound, straight through an uncontrolled intersection, he was the dominant driver and that while the defendant, as the servient driver, was allowed to make his left turn this was only after ensuring there were no vehicles approaching so closely as to constitute an immediate hazard. He says that in making his turn, the defendant failed to ensure that before doing so there was no traffic approaching so closely as to constitute an immediate hazard, contrary to s. 174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Relying on his own evidence and that of Mr. Sanchez, he says there was nothing he could have done to avoid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defendant's position is that in travelling southbound on 140th Street, and passing to the right of the line of stopped southbound vehicles, at or prior to the intersection of Laurel Drive, the plaintiff was riding his bicycle in contravention of s. 158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Section 158(1)(b)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driver of a vehicle must not permit the vehicle to overtake or pass on the right of another vehicle, except</w:t>
      </w:r>
    </w:p>
    <w:p>
      <w:pPr>
        <w:numPr>
          <w:numId w:val="1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on a laned roadway there is one or more than one unobstructed lane on the side of the roadway on which the driver is permitted to drive.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Since there is only one marked lane for southbound traffic on 140th Street to the north of Laurel Street, the defence submits the plaintiff was not entitled to pass the stopped southbound vehicles on 140th Street by overtaking them on the right. In effect the defence says that the plaintiff was where he should not have been; that he was illegally overtaking the stopped traffic; and that accordingly the defendant cannot be at fault for colliding with a cyclist who was proceeding illegally through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the alternative, the defence submits that if the Court finds there were two southbound lanes rather than a single southbound lane, then, based on the plaintiff's as well as Mr. Sanchez's evidence, the Court ought to find the plaintiff was improperly in the "through" lane, rather than in the unmarked "right" lane at the point of collision. While Mr. Sanchez and other southbound drivers in the "through" lane had stopped and had yielded the right of way to the left-turning defendant's vehicle, the defence says that the plaintiff wrongfully passed to the right of the stopped vehicles in the "through" lane, contrary to both s. 158 and s. 174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While s. 158(1)(b) refers to the duties of the "driver of a vehicle", I am satisfied the section applies equally to cyclists notwithstanding the definition of "vehicle" found in s. 1 of the Act, which excludes cyclists. Section 183(1) specifically provides that a person operating a cycle on a highway has the same rights and duties as the driver of a vehicle. (see also </w:t>
      </w:r>
      <w:r>
        <w:rPr>
          <w:rFonts w:ascii="arial" w:eastAsia="arial" w:hAnsi="arial" w:cs="arial"/>
          <w:b/>
          <w:i/>
          <w:color w:val="000000"/>
          <w:sz w:val="20"/>
          <w:lang w:val="en-US" w:eastAsia="en-US" w:bidi="ar-SA"/>
        </w:rPr>
        <w:t>Rudman v. Hollander</w:t>
      </w:r>
      <w:r>
        <w:rPr>
          <w:rFonts w:ascii="arial" w:eastAsia="arial" w:hAnsi="arial" w:cs="arial"/>
          <w:color w:val="000000"/>
          <w:sz w:val="20"/>
          <w:lang w:val="en-US" w:eastAsia="en-US" w:bidi="ar-SA"/>
        </w:rPr>
        <w:t xml:space="preserve"> </w:t>
      </w:r>
      <w:hyperlink r:id="rId559" w:history="1">
        <w:r>
          <w:rPr>
            <w:rFonts w:ascii="arial" w:eastAsia="arial" w:hAnsi="arial" w:cs="arial"/>
            <w:i/>
            <w:color w:val="0077CC"/>
            <w:sz w:val="20"/>
            <w:u w:val="single"/>
            <w:shd w:val="clear" w:color="auto" w:fill="FFFFFF"/>
            <w:lang w:val="en-US" w:eastAsia="en-US" w:bidi="ar-SA"/>
          </w:rPr>
          <w:t>2005 BCSC 1342</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Dolphin v. Lepine</w:t>
      </w:r>
      <w:r>
        <w:rPr>
          <w:rFonts w:ascii="arial" w:eastAsia="arial" w:hAnsi="arial" w:cs="arial"/>
          <w:color w:val="000000"/>
          <w:sz w:val="20"/>
          <w:lang w:val="en-US" w:eastAsia="en-US" w:bidi="ar-SA"/>
        </w:rPr>
        <w:t xml:space="preserve">, </w:t>
      </w:r>
      <w:hyperlink r:id="rId560" w:history="1">
        <w:r>
          <w:rPr>
            <w:rFonts w:ascii="arial" w:eastAsia="arial" w:hAnsi="arial" w:cs="arial"/>
            <w:i/>
            <w:color w:val="0077CC"/>
            <w:sz w:val="20"/>
            <w:u w:val="single"/>
            <w:shd w:val="clear" w:color="auto" w:fill="FFFFFF"/>
            <w:lang w:val="en-US" w:eastAsia="en-US" w:bidi="ar-SA"/>
          </w:rPr>
          <w:t>[1999] B.C.J. No. 103</w:t>
        </w:r>
      </w:hyperlink>
      <w:r>
        <w:rPr>
          <w:rFonts w:ascii="arial" w:eastAsia="arial" w:hAnsi="arial" w:cs="arial"/>
          <w:color w:val="000000"/>
          <w:sz w:val="20"/>
          <w:lang w:val="en-US" w:eastAsia="en-US" w:bidi="ar-SA"/>
        </w:rPr>
        <w:t xml:space="preserve"> (S.C); </w:t>
      </w:r>
      <w:r>
        <w:rPr>
          <w:rFonts w:ascii="arial" w:eastAsia="arial" w:hAnsi="arial" w:cs="arial"/>
          <w:b/>
          <w:i/>
          <w:color w:val="000000"/>
          <w:sz w:val="20"/>
          <w:lang w:val="en-US" w:eastAsia="en-US" w:bidi="ar-SA"/>
        </w:rPr>
        <w:t>Hill v. Reekie</w:t>
      </w:r>
      <w:r>
        <w:rPr>
          <w:rFonts w:ascii="arial" w:eastAsia="arial" w:hAnsi="arial" w:cs="arial"/>
          <w:color w:val="000000"/>
          <w:sz w:val="20"/>
          <w:lang w:val="en-US" w:eastAsia="en-US" w:bidi="ar-SA"/>
        </w:rPr>
        <w:t xml:space="preserve">, </w:t>
      </w:r>
      <w:hyperlink r:id="rId561" w:history="1">
        <w:r>
          <w:rPr>
            <w:rFonts w:ascii="arial" w:eastAsia="arial" w:hAnsi="arial" w:cs="arial"/>
            <w:i/>
            <w:color w:val="0077CC"/>
            <w:sz w:val="20"/>
            <w:u w:val="single"/>
            <w:shd w:val="clear" w:color="auto" w:fill="FFFFFF"/>
            <w:lang w:val="en-US" w:eastAsia="en-US" w:bidi="ar-SA"/>
          </w:rPr>
          <w:t>[1998] B.C.J. No. 40</w:t>
        </w:r>
      </w:hyperlink>
      <w:r>
        <w:rPr>
          <w:rFonts w:ascii="arial" w:eastAsia="arial" w:hAnsi="arial" w:cs="arial"/>
          <w:color w:val="000000"/>
          <w:sz w:val="20"/>
          <w:lang w:val="en-US" w:eastAsia="en-US" w:bidi="ar-SA"/>
        </w:rPr>
        <w:t xml:space="preserve"> (S.C.); and </w:t>
      </w:r>
      <w:r>
        <w:rPr>
          <w:rFonts w:ascii="arial" w:eastAsia="arial" w:hAnsi="arial" w:cs="arial"/>
          <w:b/>
          <w:i/>
          <w:color w:val="000000"/>
          <w:sz w:val="20"/>
          <w:lang w:val="en-US" w:eastAsia="en-US" w:bidi="ar-SA"/>
        </w:rPr>
        <w:t>Briscoe v. Hives</w:t>
      </w:r>
      <w:r>
        <w:rPr>
          <w:rFonts w:ascii="arial" w:eastAsia="arial" w:hAnsi="arial" w:cs="arial"/>
          <w:color w:val="000000"/>
          <w:sz w:val="20"/>
          <w:lang w:val="en-US" w:eastAsia="en-US" w:bidi="ar-SA"/>
        </w:rPr>
        <w:t xml:space="preserve">, </w:t>
      </w:r>
      <w:hyperlink r:id="rId562" w:history="1">
        <w:r>
          <w:rPr>
            <w:rFonts w:ascii="arial" w:eastAsia="arial" w:hAnsi="arial" w:cs="arial"/>
            <w:i/>
            <w:color w:val="0077CC"/>
            <w:sz w:val="20"/>
            <w:u w:val="single"/>
            <w:shd w:val="clear" w:color="auto" w:fill="FFFFFF"/>
            <w:lang w:val="en-US" w:eastAsia="en-US" w:bidi="ar-SA"/>
          </w:rPr>
          <w:t>[1999] B.C.J. No. 445</w:t>
        </w:r>
      </w:hyperlink>
      <w:r>
        <w:rPr>
          <w:rFonts w:ascii="arial" w:eastAsia="arial" w:hAnsi="arial" w:cs="arial"/>
          <w:color w:val="000000"/>
          <w:sz w:val="20"/>
          <w:lang w:val="en-US" w:eastAsia="en-US" w:bidi="ar-SA"/>
        </w:rPr>
        <w:t xml:space="preserve"> (Prov. 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Notwithstanding the applicability of s. 158(1)(b), I am not persuaded the defence position can prevail here -- that is that the evidence supports a finding the plaintiff was illegally passing on the right, in contravention of that section when the collision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Very clearly all of the parties, including the plaintiff, the defendant and the witness Mr. Sanchez, acknowledged a clear pattern of traffic in this area to the north of Laurel Drive. There were effectively two lanes of southbound traffic, although not divided by marked lines. The defendant admitted that even though the vehicles in the stopped line of southbound "through" traffic were allowing him to begin his left hand turn through the intersection, he was well aware he had yet another lane of southbound traffic to cross.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the circumstances of this case, I am satisfied the plaintiff was travelling properly in the extreme right side of the southbound through lane, avoiding the mandatory right turn lane, yet travelling in a corridor well to the right of the stopped southbound traffic. I reject the submission that by travelling in that corridor, he was thereby illegally passing on the right of the southbound vehicles and that the defendant could therefore not have anticipated his presence in the through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 also reject the defendant's alternative argument that assuming two lanes of southbound traffic, rather than travelling in on the right side of the southbound through lane, the plaintiff ought to have been travelling behind other southbound vehicular traffic and ought to have stopped behind that traffic so as to yield to the left turning northbound vehicles. This submission flies in the face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which specifically provides that a cyclist must ride "as near as practicable to the right side of the highway" (s. 183(2)(c)). The realities of daily urban traffic is that cyclists regularly travel to the right side of vehicular traffic, often overtaking them in heavy traffic situations. While the cyclist has a duty to keep a proper lookout, I reject the notion that he is confined to travelling behind vehicular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accept the plaintiff's testimony that while he could not recall any vehicular traffic to his left, he was at least travelling as far as practicable to the right side of the highway, although (in the circumstances at hand) not on the farthest right side of the highway. I accept his explanation that this was not possible since he would have found himself in the mandatory right turn bay, thus eventually forcing him, at or near the intersection, to make an abrupt and dangerous move across that lane to the southbound through lane. So as to avoid this situation, he aligned himself to ride just to the left of the western perimeter of the through lane, south of Laurel Drive.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am satisfied that given the idiosyncrasies of this intersection, and in particular the presence of a mandatory right turn lane of traffic immediately to the south of Laurel Drive, the plaintiff properly positioned his bicycle so that he would enter the right hand side of the through lane once he crossed to the south side of the intersection of 140th Street and 96th Avenue. I find that his position on the roadway was lawful and proper and satisfied his obligation under s. 183((2)(c) to ride "as near as practicable to the right side of the highway". I find that he was keeping a proper lookout for traffic ahead and saw nothing to alert him that the defendant's vehicle was about to turn into his pathway.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Before turning left, past the stopped pick up truck and into the next lane of traffic, I find that the defendant failed to ensure there was no traffic approaching so closely as to constitute an immediate hazard. Accordingly I find he was in breach of s. 174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My overall sense of the defendant's evidence was that at some point during his left hand turn his attention was drawn to or momentarily distracted by an approaching southbound vehicle in the curb lane, which he was concerned might either be proceeding straight through or might be turning right at the intersection. At a point when he was halfway across the through lane, he stopped his vehicle to avoid any collision with that vehicle. However in the interim he overlooked that he had driven into the path of the plaintiff's own oncoming bicycle.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While the defence raised the suggestion the plaintiff's bicycle approached at such a high speed that he could not be seen by the defendant, there was no evidence to support such a theory. As I noted earlier, Mr. Sanchez was unable to attribute any speed to the plaintiff's bicycle. Nor was it put to the plaintiff on cross examination that he was speeding down the hill as he approached the intersection. To the contrary he testified that he was not speeding and estimated his own speed at 25kph-30kph, well below the 50kph speed limit. I find there is no evidence that excessive speed played any role in this accident. The burden is on the servient driver to establish that the speed of the dominant vehicle prevented its driver from taking reasonable measures to avoid the accident. That burden has not been met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Thus, in all of the circumstances, I find that the plaintiff was travelling lawfully along 140th Street at Laurel Drive when the defendant turned into his path. The defendant negligently failed to ensure he could complete his left hand turn without first ensuring before doing so that there was no traffic approaching so closely as to constitute an immediate hazard, thus breaching s. 174 of the Act. By the same token I find the plaintiff had no opportunity to avoid the collision and that accordingly he was not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Non Pecuniary: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As I noted earlier, the plaintiff struck the right passenger wheel area of the defendant's SUV and was catapulted through the air, landing on the roadway nearby. While he was stunned for a moment, he admitted he was unaware of any loss of consciousness. Almost immediately he attempted to assume a seated position but could not do so, given the extreme pain in his pelvis and hip area. He was transported by ambulance to the local Emergency Department of the Surrey Memorial Hospital where he complained of pain in the neck, right hand, arm and shoulder, as well as the back, pelvis and right hip. He was x-rayed and no fractures were identified, He was released some hours later with instructions to take Tylenol #3 for pain and to report to his own family doctor for follow-up.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That night the plaintiff was in such extreme pain his paramedic wife insisted he return to the Emergency but he refused. His wife attended the Emergency herself where the doctors provided her with a prescription for a narcotic drug (Percoset) to tide him over for a few days until he was well enough to attend on his doctor. On October 6, 2003, he attended upon his family physician, Dr. Fransen, who diagnosed soft tissue injuries of the low back, right hip, right shoulder and left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was unable to work for approximately one month, thus losing 18 shifts of work as a paramedic and the ability to participate in a Justice Institute training course he was scheduled to teach.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plaintiff's overall recovery has been remarkable, no doubt as a result of his excellent physical conditioning. For years he has followed a regular weight training and fitness program. Within a week or so of the accident, his right arm and hand pain had resolved. The hip and pelvic pain also resolved quickly. By October 31, 2003, he described himself to his doctor as "80% improved". The low back pain persisted for approximately 3-4 months post accident. The neck pain was not resolved until approximately 1 1/2 years post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Clearly, the most protracted injury concerns the plaintiff's right shoulder soft tissue injury. For the first several months, he was plagued by continuing pain and discomfort in the right shoulder, associated with some numbness of his right hand. In November 2003, Dr. Fransen referred him to physiotherapy which the plaintiff testified was not particularly helpful. While the plaintiff enjoyed some general improvement over time, he testified that by October 2006, some three years post accident, his condition had more or less plateaued.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While he has been able to return to his full time duties as a paramedic and a member of the various additional groups (ie. Bike Squad, Urban Search &amp; Rescue; Chemical Biological Radioactive Explosive team), he continues to suffer some limitations. After bicycling to work he notes some pain and discomfort in his right shoulder, numbness in his right hand and some thumb pain ("as if my thumb had been hit with a hammer"). He shakes the arm and hand for a period and the numbness and pain go away. He has also learned to modify his regular home weight training routine to entirely avoid bar dips and chin-ups which he has learned trigger the shoulder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his report of March 9, 2006, his family physician opines that the prognosis for a full recovery of the right shoulder is guarded, given the persistence of his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defence relies on the report of Dr. Marc Boyle dated January 5, 2008 (Exhibit 1, Tab 4). Regarding the right shoulder Dr. Boyle notes in the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physical examination is unrewarding. The history was suggestive of a mild impingement syndrome. There was no prior history of such. His complaints are likely secondary to the MVA. </w:t>
      </w:r>
      <w:r>
        <w:rPr>
          <w:rFonts w:ascii="arial" w:eastAsia="arial" w:hAnsi="arial" w:cs="arial"/>
          <w:i/>
          <w:color w:val="000000"/>
          <w:sz w:val="20"/>
          <w:lang w:val="en-US" w:eastAsia="en-US" w:bidi="ar-SA"/>
        </w:rPr>
        <w:t>There is possibility of a progression over time with symptoms that will recur with repeated overhead use. In his age group, the likelihood is for chronic recurring discomfort. He is aware of the precipitating factors and is avoiding these.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 likelihood of late degenerative changes arising in the shoulder since this is a soft tissue problem of a rotator cuff tendonitis and subdeltoid bursitis.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Medical management should be in the form of stretching and strengthening exercises for the rotator cuff, and the use of anti-inflammatories.</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Should his symptoms become more pronounced and in any way limiting, the next step in treatment would be a subacromial injection of Xylocaine and Depo-Medrol</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Should his symptoms progress further, then he would benefit from a subacromial decompression</w:t>
      </w:r>
      <w:r>
        <w:rPr>
          <w:rFonts w:ascii="arial" w:eastAsia="arial" w:hAnsi="arial" w:cs="arial"/>
          <w:color w:val="000000"/>
          <w:sz w:val="20"/>
          <w:lang w:val="en-US" w:eastAsia="en-US" w:bidi="ar-SA"/>
        </w:rPr>
        <w:t>. This would likely be done arthroscopically. Disability on the order of roughly eight weeks would be considered appropriate and perhaps up to 12 weeks for his work as an ambulance attendant.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patient indicated that he is likely to retire in two to three years. It is this writer's opinion that his symptoms are very unlikely to progress to the point where any disability would occur related to his work.</w:t>
      </w:r>
    </w:p>
    <w:p>
      <w:pPr>
        <w:spacing w:before="120" w:line="260" w:lineRule="atLeast"/>
        <w:ind w:left="3240"/>
        <w:rPr>
          <w:rFonts w:ascii="arial" w:eastAsia="arial" w:hAnsi="arial" w:cs="arial"/>
          <w:sz w:val="20"/>
          <w:lang w:val="en-US" w:eastAsia="en-US" w:bidi="ar-SA"/>
        </w:rPr>
      </w:pPr>
      <w:r>
        <w:rPr>
          <w:rFonts w:ascii="arial" w:eastAsia="arial" w:hAnsi="arial" w:cs="arial"/>
          <w:color w:val="000000"/>
          <w:sz w:val="20"/>
          <w:lang w:val="en-US" w:eastAsia="en-US" w:bidi="ar-SA"/>
        </w:rPr>
        <w:t>(my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Relying on Dr. Boyle's report, I am satisfied that the plaintiff's shoulder injury has not resolved entirely and that he faces the likelihood of chronic recurring discomfort. Further, there is a risk of his symptoms progressing, perhaps some day necessitating arthroscopic surgery. Based on the last paragraph above, I conclude that while the progression of the symptoms is not likely to occur within the next 2-3 years, there is indeed a possibility this progression of symptoms may occur during the plaintiff's retirement years, exposing him to a period of reduced capacity and perhaps ultimately to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this regard, the plaintiff is concerned that while his shoulder injury may not presently interfere with his work as a paramedic, it may very well interfere with this retirement plans.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Some time ago, he and his wife purchased a 400 acre ranch near Williams Lake. The land comprises 100 acres of hay and 300 acres of pasture. The plan is to raise hay, alfalfa, and cattle. The plaintiff had not planned to hire any ranch hands, but rather to handle the ranch on his own, with the help of his wife. He is concerned that if the condition of his shoulder worsens, there may be a period when he will not be able to handle the large animals nor bale and stack hundreds of 40 lb. bales of hay. While his counsel has not articulated any specific future pecuniary loss, he submits that the award of general damages ought to reflect this future risk -- that is the diminishment of his ability to physically manage the ranch single-handedly.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 submits that in all of the circumstances an appropriate range of damages is $35,000-$40,000 (</w:t>
      </w:r>
      <w:r>
        <w:rPr>
          <w:rFonts w:ascii="arial" w:eastAsia="arial" w:hAnsi="arial" w:cs="arial"/>
          <w:b/>
          <w:i/>
          <w:color w:val="000000"/>
          <w:sz w:val="20"/>
          <w:lang w:val="en-US" w:eastAsia="en-US" w:bidi="ar-SA"/>
        </w:rPr>
        <w:t>Nisbet v. Pare</w:t>
      </w:r>
      <w:r>
        <w:rPr>
          <w:rFonts w:ascii="arial" w:eastAsia="arial" w:hAnsi="arial" w:cs="arial"/>
          <w:color w:val="000000"/>
          <w:sz w:val="20"/>
          <w:lang w:val="en-US" w:eastAsia="en-US" w:bidi="ar-SA"/>
        </w:rPr>
        <w:t xml:space="preserve">, </w:t>
      </w:r>
      <w:hyperlink r:id="rId563" w:history="1">
        <w:r>
          <w:rPr>
            <w:rFonts w:ascii="arial" w:eastAsia="arial" w:hAnsi="arial" w:cs="arial"/>
            <w:i/>
            <w:color w:val="0077CC"/>
            <w:sz w:val="20"/>
            <w:u w:val="single"/>
            <w:shd w:val="clear" w:color="auto" w:fill="FFFFFF"/>
            <w:lang w:val="en-US" w:eastAsia="en-US" w:bidi="ar-SA"/>
          </w:rPr>
          <w:t>2007 BCSC 1173</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Ho. v Meghani</w:t>
      </w:r>
      <w:r>
        <w:rPr>
          <w:rFonts w:ascii="arial" w:eastAsia="arial" w:hAnsi="arial" w:cs="arial"/>
          <w:color w:val="000000"/>
          <w:sz w:val="20"/>
          <w:lang w:val="en-US" w:eastAsia="en-US" w:bidi="ar-SA"/>
        </w:rPr>
        <w:t xml:space="preserve">, </w:t>
      </w:r>
      <w:hyperlink r:id="rId564" w:history="1">
        <w:r>
          <w:rPr>
            <w:rFonts w:ascii="arial" w:eastAsia="arial" w:hAnsi="arial" w:cs="arial"/>
            <w:i/>
            <w:color w:val="0077CC"/>
            <w:sz w:val="20"/>
            <w:u w:val="single"/>
            <w:shd w:val="clear" w:color="auto" w:fill="FFFFFF"/>
            <w:lang w:val="en-US" w:eastAsia="en-US" w:bidi="ar-SA"/>
          </w:rPr>
          <w:t>2004 BCSC 320</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White v. Stonestreet</w:t>
      </w:r>
      <w:r>
        <w:rPr>
          <w:rFonts w:ascii="arial" w:eastAsia="arial" w:hAnsi="arial" w:cs="arial"/>
          <w:color w:val="000000"/>
          <w:sz w:val="20"/>
          <w:lang w:val="en-US" w:eastAsia="en-US" w:bidi="ar-SA"/>
        </w:rPr>
        <w:t xml:space="preserve">, </w:t>
      </w:r>
      <w:hyperlink r:id="rId565" w:history="1">
        <w:r>
          <w:rPr>
            <w:rFonts w:ascii="arial" w:eastAsia="arial" w:hAnsi="arial" w:cs="arial"/>
            <w:i/>
            <w:color w:val="0077CC"/>
            <w:sz w:val="20"/>
            <w:u w:val="single"/>
            <w:shd w:val="clear" w:color="auto" w:fill="FFFFFF"/>
            <w:lang w:val="en-US" w:eastAsia="en-US" w:bidi="ar-SA"/>
          </w:rPr>
          <w:t>2006 BCSC 801</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Beick v. Webb</w:t>
      </w:r>
      <w:r>
        <w:rPr>
          <w:rFonts w:ascii="arial" w:eastAsia="arial" w:hAnsi="arial" w:cs="arial"/>
          <w:color w:val="000000"/>
          <w:sz w:val="20"/>
          <w:lang w:val="en-US" w:eastAsia="en-US" w:bidi="ar-SA"/>
        </w:rPr>
        <w:t xml:space="preserve">, </w:t>
      </w:r>
      <w:hyperlink r:id="rId566" w:history="1">
        <w:r>
          <w:rPr>
            <w:rFonts w:ascii="arial" w:eastAsia="arial" w:hAnsi="arial" w:cs="arial"/>
            <w:i/>
            <w:color w:val="0077CC"/>
            <w:sz w:val="20"/>
            <w:u w:val="single"/>
            <w:shd w:val="clear" w:color="auto" w:fill="FFFFFF"/>
            <w:lang w:val="en-US" w:eastAsia="en-US" w:bidi="ar-SA"/>
          </w:rPr>
          <w:t>2003 BCSC 1251</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Park v. Arthur</w:t>
      </w:r>
      <w:r>
        <w:rPr>
          <w:rFonts w:ascii="arial" w:eastAsia="arial" w:hAnsi="arial" w:cs="arial"/>
          <w:color w:val="000000"/>
          <w:sz w:val="20"/>
          <w:lang w:val="en-US" w:eastAsia="en-US" w:bidi="ar-SA"/>
        </w:rPr>
        <w:t xml:space="preserve">, </w:t>
      </w:r>
      <w:hyperlink r:id="rId567" w:history="1">
        <w:r>
          <w:rPr>
            <w:rFonts w:ascii="arial" w:eastAsia="arial" w:hAnsi="arial" w:cs="arial"/>
            <w:i/>
            <w:color w:val="0077CC"/>
            <w:sz w:val="20"/>
            <w:u w:val="single"/>
            <w:shd w:val="clear" w:color="auto" w:fill="FFFFFF"/>
            <w:lang w:val="en-US" w:eastAsia="en-US" w:bidi="ar-SA"/>
          </w:rPr>
          <w:t>2007 BCSC 1365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defence submits the injuries are not as serious and suggests an award of $20,000 would be appropriate. (</w:t>
      </w:r>
      <w:r>
        <w:rPr>
          <w:rFonts w:ascii="arial" w:eastAsia="arial" w:hAnsi="arial" w:cs="arial"/>
          <w:b/>
          <w:i/>
          <w:color w:val="000000"/>
          <w:sz w:val="20"/>
          <w:lang w:val="en-US" w:eastAsia="en-US" w:bidi="ar-SA"/>
        </w:rPr>
        <w:t>Ferreira v. Sahota</w:t>
      </w:r>
      <w:r>
        <w:rPr>
          <w:rFonts w:ascii="arial" w:eastAsia="arial" w:hAnsi="arial" w:cs="arial"/>
          <w:color w:val="000000"/>
          <w:sz w:val="20"/>
          <w:lang w:val="en-US" w:eastAsia="en-US" w:bidi="ar-SA"/>
        </w:rPr>
        <w:t xml:space="preserve">, (April 23, 1993, Vancouver Registry No. B914814; </w:t>
      </w:r>
      <w:r>
        <w:rPr>
          <w:rFonts w:ascii="arial" w:eastAsia="arial" w:hAnsi="arial" w:cs="arial"/>
          <w:b/>
          <w:i/>
          <w:color w:val="000000"/>
          <w:sz w:val="20"/>
          <w:lang w:val="en-US" w:eastAsia="en-US" w:bidi="ar-SA"/>
        </w:rPr>
        <w:t>Xu v. Insurance Corp. of British Columbia</w:t>
      </w:r>
      <w:r>
        <w:rPr>
          <w:rFonts w:ascii="arial" w:eastAsia="arial" w:hAnsi="arial" w:cs="arial"/>
          <w:color w:val="000000"/>
          <w:sz w:val="20"/>
          <w:lang w:val="en-US" w:eastAsia="en-US" w:bidi="ar-SA"/>
        </w:rPr>
        <w:t xml:space="preserve">, </w:t>
      </w:r>
      <w:hyperlink r:id="rId568" w:history="1">
        <w:r>
          <w:rPr>
            <w:rFonts w:ascii="arial" w:eastAsia="arial" w:hAnsi="arial" w:cs="arial"/>
            <w:i/>
            <w:color w:val="0077CC"/>
            <w:sz w:val="20"/>
            <w:u w:val="single"/>
            <w:shd w:val="clear" w:color="auto" w:fill="FFFFFF"/>
            <w:lang w:val="en-US" w:eastAsia="en-US" w:bidi="ar-SA"/>
          </w:rPr>
          <w:t>2001 BCSC 830</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Foreman v. Moritz</w:t>
      </w:r>
      <w:r>
        <w:rPr>
          <w:rFonts w:ascii="arial" w:eastAsia="arial" w:hAnsi="arial" w:cs="arial"/>
          <w:color w:val="000000"/>
          <w:sz w:val="20"/>
          <w:lang w:val="en-US" w:eastAsia="en-US" w:bidi="ar-SA"/>
        </w:rPr>
        <w:t xml:space="preserve">, </w:t>
      </w:r>
      <w:hyperlink r:id="rId569" w:history="1">
        <w:r>
          <w:rPr>
            <w:rFonts w:ascii="arial" w:eastAsia="arial" w:hAnsi="arial" w:cs="arial"/>
            <w:i/>
            <w:color w:val="0077CC"/>
            <w:sz w:val="20"/>
            <w:u w:val="single"/>
            <w:shd w:val="clear" w:color="auto" w:fill="FFFFFF"/>
            <w:lang w:val="en-US" w:eastAsia="en-US" w:bidi="ar-SA"/>
          </w:rPr>
          <w:t>2001 BCSC 95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Considering the plaintiff's ongoing shoulder symptoms, the likelihood of ongoing chronic discomfort, the risk of some progression of symptoms in the future and the attendant risk of the diminishment of his capacity to physically manage his ranch single-handedly in future, I find an appropriate award of general damages to be $35,000.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Pecuniary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It was agreed between counsel that the wage claim here amounts to $8,750.36. I will award that amount and leave it to counsel to calculate the necessary tax deductions.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plaintiff's bicycle and helmet were damaged and replaced at a cost of $809.33 which amount is also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Since I am unaware of whatever offers of settlement have been exchanged, I will leave it to counsel to address this issue. If they are unable to resolve it between themselves, they ought to contact the Registry to make arrangements to file written submissions on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M.E. BOYD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9" style="position:absolute;z-index:2518323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70"/>
          <w:headerReference w:type="default" r:id="rId571"/>
          <w:footerReference w:type="even" r:id="rId572"/>
          <w:footerReference w:type="default" r:id="rId573"/>
          <w:headerReference w:type="first" r:id="rId574"/>
          <w:footerReference w:type="first" r:id="rId57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76" w:history="1">
        <w:r>
          <w:rPr>
            <w:rFonts w:ascii="arial" w:eastAsia="arial" w:hAnsi="arial" w:cs="arial"/>
            <w:b/>
            <w:bCs/>
            <w:i/>
            <w:color w:val="0077CC"/>
            <w:kern w:val="32"/>
            <w:sz w:val="28"/>
            <w:szCs w:val="32"/>
            <w:u w:val="single"/>
            <w:shd w:val="clear" w:color="auto" w:fill="FFFFFF"/>
            <w:lang w:val="en-US" w:eastAsia="en-US" w:bidi="ar-SA"/>
          </w:rPr>
          <w:t>Mainland Sawmills Ltd. v. IWA-Canada, Local 1-3567 Society, [2004] B.C.J. No. 2341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Morrison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8 and 27, and May 13,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10,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Nos. S040120 and S041160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2341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77" w:history="1">
        <w:r>
          <w:rPr>
            <w:rFonts w:ascii="arial" w:eastAsia="arial" w:hAnsi="arial" w:cs="arial"/>
            <w:i/>
            <w:color w:val="0077CC"/>
            <w:sz w:val="20"/>
            <w:u w:val="single"/>
            <w:shd w:val="clear" w:color="auto" w:fill="FFFFFF"/>
            <w:lang w:val="en-US" w:eastAsia="en-US" w:bidi="ar-SA"/>
          </w:rPr>
          <w:t>2004 BCSC 1469</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77" w:history="1">
        <w:r>
          <w:rPr>
            <w:rFonts w:ascii="arial" w:eastAsia="arial" w:hAnsi="arial" w:cs="arial"/>
            <w:i/>
            <w:color w:val="0077CC"/>
            <w:sz w:val="20"/>
            <w:u w:val="single"/>
            <w:shd w:val="clear" w:color="auto" w:fill="FFFFFF"/>
            <w:lang w:val="en-US" w:eastAsia="en-US" w:bidi="ar-SA"/>
          </w:rPr>
          <w:t>33 B.C.L.R. (4th) 110</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77" w:history="1">
        <w:r>
          <w:rPr>
            <w:rFonts w:ascii="arial" w:eastAsia="arial" w:hAnsi="arial" w:cs="arial"/>
            <w:i/>
            <w:color w:val="0077CC"/>
            <w:sz w:val="20"/>
            <w:u w:val="single"/>
            <w:shd w:val="clear" w:color="auto" w:fill="FFFFFF"/>
            <w:lang w:val="en-US" w:eastAsia="en-US" w:bidi="ar-SA"/>
          </w:rPr>
          <w:t>37 C.C.E.L. (3d) 89</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77" w:history="1">
        <w:r>
          <w:rPr>
            <w:rFonts w:ascii="arial" w:eastAsia="arial" w:hAnsi="arial" w:cs="arial"/>
            <w:i/>
            <w:color w:val="0077CC"/>
            <w:sz w:val="20"/>
            <w:u w:val="single"/>
            <w:shd w:val="clear" w:color="auto" w:fill="FFFFFF"/>
            <w:lang w:val="en-US" w:eastAsia="en-US" w:bidi="ar-SA"/>
          </w:rPr>
          <w:t>27 C.C.L.T. (3d) 273</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77" w:history="1">
        <w:r>
          <w:rPr>
            <w:rFonts w:ascii="arial" w:eastAsia="arial" w:hAnsi="arial" w:cs="arial"/>
            <w:i/>
            <w:color w:val="0077CC"/>
            <w:sz w:val="20"/>
            <w:u w:val="single"/>
            <w:shd w:val="clear" w:color="auto" w:fill="FFFFFF"/>
            <w:lang w:val="en-US" w:eastAsia="en-US" w:bidi="ar-SA"/>
          </w:rPr>
          <w:t>135 A.C.W.S. (3d) 103</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77" w:history="1">
        <w:r>
          <w:rPr>
            <w:rFonts w:ascii="arial" w:eastAsia="arial" w:hAnsi="arial" w:cs="arial"/>
            <w:i/>
            <w:color w:val="0077CC"/>
            <w:sz w:val="20"/>
            <w:u w:val="single"/>
            <w:shd w:val="clear" w:color="auto" w:fill="FFFFFF"/>
            <w:lang w:val="en-US" w:eastAsia="en-US" w:bidi="ar-SA"/>
          </w:rPr>
          <w:t>[2004] B.C.T.C. 1469</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77" w:history="1">
        <w:r>
          <w:rPr>
            <w:rFonts w:ascii="arial" w:eastAsia="arial" w:hAnsi="arial" w:cs="arial"/>
            <w:i/>
            <w:color w:val="0077CC"/>
            <w:sz w:val="20"/>
            <w:u w:val="single"/>
            <w:shd w:val="clear" w:color="auto" w:fill="FFFFFF"/>
            <w:lang w:val="en-US" w:eastAsia="en-US" w:bidi="ar-SA"/>
          </w:rPr>
          <w:t>[2005] CLLC para. 220-005</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Mainland Sawmills Ltd., Terminal Forest Products Ltd., Michael De Verteuil, Dave Stuart, Rampal Berar, Hari Gill, Joginder Jugpal, Mohinder Ladhar, Jamie Hadley, Ron Lee, Guiseppe Pinzarrone, Lee Young, Christopher Parnell, Devinder Ladhar, Rajinder Braich, James Lillyman, Efren Ocampo, Major Grewal, Donald Haldorson, Larry Anderson, Bruno Benetton, Bill Vidovic, Vivian Yagabarum, Iqbal Parmar, Dave Raj Khauli, Sohan Mann, Sukhbir Moore, Gustavo Caicedo, Aman Aujla, Dan Rosvold, Alessandro Pinzarrone, Karnail Shergill, Walter Girotto, Surjit Mor, Miguel Perez, Parmjit Birk, Federico Pinzarrone, Dan Griffiths, Garry Filgate, Dean Jule, Dwayne Wiebe, Santokh Hiar, Kulwant Kang, Sundeep Gill, Juancho Ocampo, Inderbir Sahi, Joginder Sunner, Avtar Judge, Tomas Navarro, Paul Larocque, Paul Talbot, Balbir Dusanj, Jim McDonald, Narendra Gounder, Jose Sandoval, Victor Alvarez, Gregory Stang, Harpal Berar, Satnam Aujla, Nachhatter Sanghera, Tennes Hamre, Kim Haberman, Surjit Kondola, Nereo Maldonado, Kuldip Gill, Resham Uppal, Mohan Chima, Thersame Mattu, Kanwarjit Sihota, Sean Ward, Bawa Dhesi, Karnail Malhi, Zora Toor, Sukhjinder Auluck, Jose Del Carpio Teran, Victor Tong, Garnet Mushka, Jacquy Pin, Joshua St. Cyr, Rene Lombardo, Satnam Gill, Balhar Kandola, Amarjit Purewal, Parminder Gill, Adam Calverley, Harjinder Sidhu, Jevon Yacyshyn, Gurjant Dhaliwal, Kewal Bahia, Randy Casselman, Lindsay McLean, Donald Vannerus, Robert Berg, Gregory Ho, Mark Renkers, Rod McKenzie, Aaron Montgomery, Kirpal Mand, Mohinder Sapral, Bhupinder Singh Sanghera, Kurt Assen, Pargan Sohal, Jarnail Grewal, Ajmer Chahal, Rod Chaffee, plaintiffs, and IWA-Canada, Local 1-3567 Society, Satnam Singh ("Sonny") Ghag, Brian Lund, Earl Graham, Matyas Fath, Brian T. Harder, Larry Kellum, Jim Kilty, Barry King, Don White, Cheryl Williams, John Doe for all other persons whose names are presently unknown to the plaintiffs, defendants (Vancouver Registry No. S040120) And between Mainland Sawmills Ltd., Terminal Forest Products Ltd., Michael De Verteuil, Dave Stuart, Rampal Berar, Hari Gill, Joginder Jugpal, Mohinder Ladhar, Jamie Hadley, Ron Lee, Guiseppe Pinzarrone, Lee Young, Christopher Parnell, Devinder Ladhar, Rajinder Braich, James Lillyman, Efren Ocampo, Major Grewal, Donald Haldorson, Larry Anderson, Bruno Benetton, Bill Vidovic, Vivian Yagabarum, Iqbal Parmar, Dave Raj Khauli, Sohan Mann, Sukhbir Moore, Gustavo Caicedo, Aman Aujla, Dan Rosvold, Alessandro Pinzarrone, Karnail Shergill, Walter Girotto, Surjit Mor, Miguel Perez, Parmjit Birk, Federico Pinzarrone, Dan Griffiths, Jhalman Uppal, Gorman Khayrah, Garry Filgate, Dean Jule, Dwayne Wiebe, Santokh Hiar, Kulwant Kang, Sundeep Gill, Juancho Ocampo, Inderbir Sahi, Joginder Sunner, Avtar Judge, Tomas Navarro, Paul Larocque, Paul Talbot, Balbir Dusanj, Jim McDonald, Narendra Gounder, Jose Sandoval, Victor Alvarez, Gregory Stang, Harpal Berar, Satnam Aujla, Nachhatter Sanghera, Tennes Hamre, Kim Haberman, Surjit Kondola, Nereo Maldonado, Kuldip Gill, Resham Uppal, Mohan Chima, Thersame Mattu, Kanwarjit Sihota, Sean Ward, Bawa Dhesi, Karnail Malhi, Zora Toor, Sukhjinder Auluck, Jose Del Carpio Teran, Victor Tong, Garnet Mushka, Jacquy Pin, Joshua St. Cyr, Rene Lombardo, Satnam Gill, Balhar Kandola, Amarjit Purewal, Parminder Gill, Adam Calverley, Harjinder Sidhu, Jevon Yacyshyn, Gurjant Dhaliwal, Kewal Bahia, Randy Casselman, Lindsay McLean, Donald Vannerus, Robert Berg, Gregory Ho, Mark Renkers, Rod McKenzie, Aaron Montgomery, Kirpal Mand, Mohinder Sapral, Bhupinder Singh Sanghera, Kurt Assen, Pargan Sohal, Jarnail Grewal, Ajmer Chahal, Rod Chaffee, plaintiffs, and Industrial Wood and Allied Workers of Canada (I.W.A. Canada), CLC, Local Union Number 1-3567, Satnam Singh ("Sonny") Ghag, Barry King, Earl Graham, Les Veale, Larry Kellum, Don White, Brian T. Harder, Len Yalowica, Cheryl Williams, Arnie Rancourt, Jim Kilty, Brian Lund, Fred Caroll, Sue Nielsen, Robert Timmins, Aman Sihota, Carl Morgan, Al Bremner, Cathy Vogel, Pat Poroznuk, Norma Lahti, Denis Moussseau, Tony Calla, Lloyd Hill, Mike McDougall, Gary Herman, Dale Skwarchuk, Ray Jones, Grazio Odorisio, Doug Tingley, Dave Somerville, Michael Schween, Keijo Lahti, Mohinder Gidda, Randolph Baust, Ralph Altenried, Keith Legg, Ken Fleming, Mike Lee, Jack Bigg, Patrick Goslawski, Roger Rudyk, Andy Elesko, Balder Hundal, Kulbir Thandi, Mike Kelley, Bill Boone, Ray Hudon, Rick Randy, Jim Sim, Trevor Richardson, Philip Rose, Dale G. Johnson, Jim Ferris, Jeff Lavigne, Martin Cheremkora, Ron Pastor, Wayne Milligan, Iqbal Purewal, Gurdial Dyal, John Doe for all other persons whose names are presently unknown to the plaintiffs, defendants (Vancouver Registry No. S041160)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(108 paras.)</w:t>
      </w:r>
    </w:p>
    <w:p>
      <w:pPr>
        <w:jc w:val="both"/>
        <w:rPr>
          <w:rFonts w:ascii="arial" w:eastAsia="arial" w:hAnsi="arial" w:cs="arial"/>
          <w:sz w:val="20"/>
          <w:lang w:val="en-US" w:eastAsia="en-US" w:bidi="ar-SA"/>
        </w:rPr>
      </w:pPr>
      <w:bookmarkStart w:id="138" w:name="Counsel_25"/>
      <w:bookmarkEnd w:id="13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0" style="position:absolute;z-index:2516848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Dwight Harbottle, Peter Parsons, and Jeffrey Bryant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certain Defendants: Murray Tevlin and Chris Forguson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9" w:name="Judgment_25"/>
      <w:bookmarkEnd w:id="139"/>
      <w:r>
        <w:pict>
          <v:line id="_x0000_s1121" style="position:absolute;z-index:25173606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0" w:name="MORRISON J."/>
            <w:bookmarkEnd w:id="140"/>
            <w:r>
              <w:rPr>
                <w:rFonts w:ascii="arial" w:eastAsia="arial" w:hAnsi="arial" w:cs="arial"/>
                <w:b/>
                <w:color w:val="000000"/>
                <w:sz w:val="30"/>
                <w:lang w:val="en-US" w:eastAsia="en-US" w:bidi="ar-SA"/>
              </w:rPr>
              <w:t>MORRISON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have brought two actions in the Supreme Court of British Columbia, action number S040120, commenced on January 5, 2004, and action number S041160 on February 26, 2004. The plaintiffs' claims are for alleged torts and criminal activity including trespass to land and other property, breach of contract, unlawful interference with contractual relations, conspiracy to injure the plaintiff Mainland Sawmills Ltd., assault and battery, assault and intimidation and harassment.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defendants have brought an application for a number of orders that centre on the issue of whether jurisdiction to deal with the claims of the plaintiffs should lie with this court or with a specialized labour tribunal under the Labour Relations Code, </w:t>
      </w:r>
      <w:r>
        <w:rPr>
          <w:rFonts w:ascii="arial" w:eastAsia="arial" w:hAnsi="arial" w:cs="arial"/>
          <w:i/>
          <w:color w:val="000000"/>
          <w:sz w:val="20"/>
          <w:lang w:val="en-US" w:eastAsia="en-US" w:bidi="ar-SA"/>
        </w:rPr>
        <w:t>R.S.B.C. 1996, Ch. 244</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argue that alleged picketing events that occurred December 16, 2003 arise out of a labour dispute, and that this court should not assume jurisdiction away from the appropriate and specialized tribunal set up to deal with labour disputes, the Labour Relations Board of British Columbia ("LRB"). That the essential character of the dispute is over picketing and protests over a collective bargaining dispute, and involves alleged violations of the collective agreement and its application and interpretation.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To counter this, the plaintiffs allege that the allegations and facts in the case relate only to tortious and criminal activities, that there are no labour issues. Further, this court has jurisdiction and is the only proper forum to hear and decide matters relating to such tortious and criminal conduct. That any issues between the two locals of the IWA, Local 2171, and Local 1-3567 are not relevant to the two actions brought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Terminal Forest Products Ltd. ("Terminal") operates a division known as Mainland Sawmills Ltd. ("Mainland") which is a sawmill located at 8708 Yukon Street in Vancouver,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Mainland is a custom cut sawmill. It cuts logs owned by customers, for a fee. Mainland operates three shifts, day, afternoon and graveyard. Its workforce is unionized, and the employees are members of the Industrial Wood and Allied Workers of Canada ("IWA"), Local 2171.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Mainland is a member of a group of forestry companies known as FIR. Mainland, as a member of FIR, is a party to the Coast Master Agreement ("the CMA").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There are 103 personal plaintiffs in action S040120 and 105 personal plaintiffs in action S041160, with two exceptions, the same personal plaintiffs. All the personal plaintiffs are unionized members of IWA Local 2171, and all are employees of Mainland. IWA Local 2171 is a party to the CMA.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IWA-Canada is a defendant in action S040120. IWA-Canada is not itself a trade union.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Local 1-3567 Society is a society that holds assets for IWA Local 1-3567. The Society is not a trade union.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There are ten personal defendants in the first action, as well as John Doe. All individual defendants in the first action are members of IWA Local 1-3567. The defendants include officers and directors of IWA Local 1-3567 and the 1-3567 Society. None of the personal defendants of either action are employees of Mainland. Nor does Local 1-3567 have any employees working for any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There are 60 personal defendants in the second action, number S041160 and some or all appear to be members of IWA Local 1-3567. Again, none of the personal defendants were or are employees of either Mainland or Terminal.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the second action, the first named defendant is "Industrial Wood and Allied Workers of Canada (I.W.A. Canada), CLC, Local Union Number 1-3567". Local 1-3567 is also a party to the CMA.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Both Local 2171 and Local 1-3567 are trade unions as defined under the Labour Relations Code. Local 2171 is the bargaining agent certified by the LRB to bargain collectively for Mainland. Local 1-3567 represents employees at a sawmill located in Maple Ridge, known as the Noble Sawmill, alleged to be a competitor of Mainland.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References to events or actions in this decision are not meant to be findings of fact on either the merits or what actually occurred. The only evidence before the court at this time is affidavit evidence, much of it in conflict. But the chronology is related to put the issues in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Sometime in early November, 2003, members of Local 1-3567 were picketing Mainland. Employees of Mainland, members of Local 2171, crossed the picket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November 21, 2003, there was a decision by the LRB that the collective agreement, the CMA, was not in force and had not been since November 6, 2003. At noon on November 21, Local 1-3567 began picketing at Mainland before a general strike went into effect at midnight of November 21. The afternoon shift arrived, and crossed the picket line that had been set up by Local 1-3567.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There was a general strike from midnight of November 21, 2003 to December 14, 2003, when all members of both Local 2171 and Local 1-3567 were on strike.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December 5, while the strike was still on, it is alleged that members of Local 1-3567 learned that the picket line at Mainland, manned by Local 2171, was to be dropped at night to allow a shipment of logs. Members of Local 1-3567 attended and set up a picket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December 14, 2003, at a televised press release, Mr. Dave Haggard, President of IWA Canada, along with the head of FIR, announced that an agreement on the labour dispute had been reached and legislation was to be passed. Members of IWA were urged to go back to work as soon as possible. Once an employer and its IWA local had confirmed that agreement had been reached, then those employees would return to work under the existing CMA.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Government of British Columbia was to pass back-to-work legislation providing, in part, for arbitration and negotiation of a new master agreement. In the meantime, the CMA would remain in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Around 11:00 p.m. on December 14, Mainland and its employees, as represented by Local 2171, had agreed to abide by the existing CMA and the employees returned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 dispute arose at Mainland on December 16, 2003. Members of Local 1-3567 suspected that employees of Local 2171 were working during the strike on "hot logs", and there were apparently some ill feelings.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back-to-work legislation, the Coastal Forest Industry Dispute Settlement Act, received Royal Assent on December 16, 2003 just before 10:00 p.m. It was known as Bill 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events alleged in the statements of claim of both actions occurred on December 16, 2003 at or around the premises of Mainland at approximately 10:00 p.m. A group estimated to be 100 persons or more, members of Local 1-3567, arrived at Mainland. The plaintiffs allege their purpose was to shut down operations. Some of the group were armed with sticks and bats. They allegedly entered the property of Mainland, where they assaulted several personal plaintiffs. They also caused the forcible removal of some members of Local 2171.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There were allegations of members of Local 2171 being scabs; there were threats of violence as well as acts of violence. When the graveyard shift arrived at 11:00 p.m. at Mainland, they were prevented from entering. The police were called.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By the morning of December 17, the remaining members of Local 1-3567 had left, and the operations of Mainland returned to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January 5, 2004 the first action was brought, number S040120.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February 10, 2004 charges were brought under the IWA Constitution against Local 1-3567 and its president with regard to the events of December,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plaintiffs brought their second action, number S041160 on February 26,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term of the CMA was from 2000 to June 14, 2003, between FIR and a number of locals of the IWA, including Locals 2171 and 1-3567. When the LRB determined that the CMA was not in force on November 21, 2003, this triggered an immediate general strike by all employees covered by the CMA.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Bill 99, the Coastal Forest Industry Dispute Settlement Act ("the Act") provided that immediately on the Act coming into force, all lockout and strike activity was to terminate. Further, the Labour Board was to decide any questions arising under the Act, and specifically, in section 2(2) "The Labour Relations Board has exclusive jurisdiction to decide a question arising under this Act, including any question of a conflict or an inconsistency referred to in subsection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defendants have applied to this court for a number of orders including:</w:t>
      </w:r>
      <w:r>
        <w:rPr>
          <w:rFonts w:ascii="arial" w:eastAsia="arial" w:hAnsi="arial" w:cs="arial"/>
          <w:sz w:val="20"/>
          <w:lang w:val="en-US" w:eastAsia="en-US" w:bidi="ar-SA"/>
        </w:rPr>
        <w:cr/>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action S040120, that the proceedings be stayed on the ground that this court ought to decline to exercise jurisdiction over the claims by IWA union members ("the IWA plaintiffs") against fellow IWA union members as the IWA plaintiffs have agreed to defer recourse to the courts until the internal dispute resolution mechanism of the IWA Canada Constitution is exhausted.</w:t>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the proceedings on action S040120 should be stayed on the ground that the court ought to decline to exercise jurisdiction over the claims by Mainland that arise from a work stoppage at the Mainland Sawmill on or about December 16, 2003, and that this stay should be until such time as the LRB has determined whether such activity constitutes a violation of Part 5 of the Labour Relations Code, </w:t>
      </w:r>
      <w:r>
        <w:rPr>
          <w:rFonts w:ascii="arial" w:eastAsia="arial" w:hAnsi="arial" w:cs="arial"/>
          <w:i/>
          <w:color w:val="000000"/>
          <w:sz w:val="20"/>
          <w:lang w:val="en-US" w:eastAsia="en-US" w:bidi="ar-SA"/>
        </w:rPr>
        <w:t>R.S.B.C. 1996, Ch. 244</w:t>
      </w:r>
      <w:r>
        <w:rPr>
          <w:rFonts w:ascii="arial" w:eastAsia="arial" w:hAnsi="arial" w:cs="arial"/>
          <w:color w:val="000000"/>
          <w:sz w:val="20"/>
          <w:lang w:val="en-US" w:eastAsia="en-US" w:bidi="ar-SA"/>
        </w:rPr>
        <w:t>.</w:t>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claims set out in the statement of claim of action number S041160 be dismissed or stayed on the ground that the statement of claim does not allege facts that, if true, would establish that the court has jurisdiction over the defendants in respect of the claim made against the defendants in those proceedings.</w:t>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an order that the claims set out in the statement of claim of S041160 be dismissed or stayed on the ground that the court does not have jurisdiction over the defendants in respect of the claim made against the defendants in those proceedings.</w:t>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that paragraphs 97 to 127 inclusive on the statement of claim of action number S041160, plus the prayer for relief be struck out on the basis that they do not allege facts that, if true, would establish that the court has jurisdiction over the defendants in respect of the claim made against the defendants in that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plaintiffs have filed an application seeking orders that the two actions be consolidated in the Vancouver Registry, and that a consolidated statement of claim and a consolidated statement of defence be filed in accordance with the Rules of Court. Or, in the alternative, that both actions be tried at the same time, subject to the direction of the trial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defendants claim that the first action of the plaintiffs targeted the Society and ten personal defendants. That after the defendants began proceedings for a ruling on the issue of jurisdiction, the plaintiffs then commenced their second action. The second action targets Local 1-3567 as well as 60 personal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Primarily, the defendants claim that the plaintiffs' claims all arise from a labour dispute, in both actions. That the factual matrix giving rise to the dispute resulted in decisions of the LRB as well as specific labour legislation to end the labour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defendants point to the pleadings, where the plaintiffs have alleged that Local 1-3567 and its members set up an illegal picket, with which they picketed Mainland. That although the plaintiffs now seek to characterize the dispute as tortious and criminal behaviour, the events of December 16, 2003 arose from a labour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defendants argue that the pleadings in both actions disclose that the essential character of this dispute involves the alleged violation of the CMA and its application, and the interpretation of the back-to-work legislation. Therefore, as a labour dispute, jurisdiction should be with the LRB, and not the Supreme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That tribunal, the LRB, is where matters should be taken at this time. That this court should either stay these proceedings, or at least decline to exercise jurisdiction until the LRB has made appropriate determinations.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plaintiffs claim both actions are about tortious and criminal activity. The defendants are joint tortfeasors, and the various torts claimed include trespass to land and other property, inducing breach of contract, unlawful interference with contractual relations, conspiracy to injure Mainland, assault and battery against individual plaintiffs, as well as assault, intimidation and harassment.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plaintiffs say these are all acts that occurred on December 16, 2003. When a "mob" referred to as "an illegal assembly" in the pleadings, of about 100 to 150 people, organized by Local 1-3567 or the Society, forcibly shut down the operations of Mainland, and assaulted and battered 16 employees, and prevented by force others from commencing the graveyard shift.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claims include monetary relief, including, but not limited to damage to Mainland's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Stressing there is no collective agreement between Mainland and Local 1-3567, the plaintiffs emphasize there is no legal relationship between Mainland or the individual plaintiffs with the defendants, Local 1-3567. Rather, there is a Collective Agreement between Mainland and its own local, Local 2171. Therefore, Local 1-3567 has no dispute resolution mechanism with Mainland, as it has no Collective Agreement with Mainland.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Counsel for the plaintiffs argues it is irrelevant whether the assembly was lawful or unlawful. That this case is not about whether there was picketing or not, but rather, whether the conduct of the mob and those who organized it, involved tortious and criminal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fact that there have been actions taken under the IWA Constitution is also irrelevant, according to the plaintiffs. There is no provision in that Constitution giving a right to adjudicate personal injury claims of union members before a union tribunal. Nor is there any provision granting a right to award damages, which is what the plaintiffs seek in these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plaintiffs argue the B.C. Supreme Court has jurisdiction over the tortious activities of the defendants, and the foundation of the claims is a violation of laws which govern all citizens. Further, it is irrelevant what name is used to describe what the plaintiffs call a mob, whether it is called an illegal assembly or a group of picketers. In the view of the plaintiffs, the activity of the mob was not picketing. Picketing is described as persuasion, it is not violence or blockades.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plaintiffs seek to have the actions joined and heard at the same time within the jurisdiction of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parties referred me to a number of authorities, including the following: Weber v. Ontario Hydro </w:t>
      </w:r>
      <w:hyperlink r:id="rId375" w:history="1">
        <w:r>
          <w:rPr>
            <w:rFonts w:ascii="arial" w:eastAsia="arial" w:hAnsi="arial" w:cs="arial"/>
            <w:i/>
            <w:color w:val="0077CC"/>
            <w:sz w:val="20"/>
            <w:u w:val="single"/>
            <w:shd w:val="clear" w:color="auto" w:fill="FFFFFF"/>
            <w:lang w:val="en-US" w:eastAsia="en-US" w:bidi="ar-SA"/>
          </w:rPr>
          <w:t>(1995), 125 D.L.R. (4th) 583</w:t>
        </w:r>
      </w:hyperlink>
      <w:r>
        <w:rPr>
          <w:rFonts w:ascii="arial" w:eastAsia="arial" w:hAnsi="arial" w:cs="arial"/>
          <w:color w:val="000000"/>
          <w:sz w:val="20"/>
          <w:lang w:val="en-US" w:eastAsia="en-US" w:bidi="ar-SA"/>
        </w:rPr>
        <w:t xml:space="preserve"> (S.C.C.); Regina Police Assn. Inc. v. Regina (City) Board of Police Commissioners, </w:t>
      </w:r>
      <w:hyperlink r:id="rId380" w:history="1">
        <w:r>
          <w:rPr>
            <w:rFonts w:ascii="arial" w:eastAsia="arial" w:hAnsi="arial" w:cs="arial"/>
            <w:i/>
            <w:color w:val="0077CC"/>
            <w:sz w:val="20"/>
            <w:u w:val="single"/>
            <w:shd w:val="clear" w:color="auto" w:fill="FFFFFF"/>
            <w:lang w:val="en-US" w:eastAsia="en-US" w:bidi="ar-SA"/>
          </w:rPr>
          <w:t>[2000] 1 S.C.R. 360</w:t>
        </w:r>
      </w:hyperlink>
      <w:r>
        <w:rPr>
          <w:rFonts w:ascii="arial" w:eastAsia="arial" w:hAnsi="arial" w:cs="arial"/>
          <w:color w:val="000000"/>
          <w:sz w:val="20"/>
          <w:lang w:val="en-US" w:eastAsia="en-US" w:bidi="ar-SA"/>
        </w:rPr>
        <w:t xml:space="preserve">; Haight-Smith v. Neden, </w:t>
      </w:r>
      <w:hyperlink r:id="rId578" w:history="1">
        <w:r>
          <w:rPr>
            <w:rFonts w:ascii="arial" w:eastAsia="arial" w:hAnsi="arial" w:cs="arial"/>
            <w:i/>
            <w:color w:val="0077CC"/>
            <w:sz w:val="20"/>
            <w:u w:val="single"/>
            <w:shd w:val="clear" w:color="auto" w:fill="FFFFFF"/>
            <w:lang w:val="en-US" w:eastAsia="en-US" w:bidi="ar-SA"/>
          </w:rPr>
          <w:t>[2002] B.C.J. No. 375</w:t>
        </w:r>
      </w:hyperlink>
      <w:r>
        <w:rPr>
          <w:rFonts w:ascii="arial" w:eastAsia="arial" w:hAnsi="arial" w:cs="arial"/>
          <w:color w:val="000000"/>
          <w:sz w:val="20"/>
          <w:lang w:val="en-US" w:eastAsia="en-US" w:bidi="ar-SA"/>
        </w:rPr>
        <w:t xml:space="preserve">, </w:t>
      </w:r>
      <w:hyperlink r:id="rId578" w:history="1">
        <w:r>
          <w:rPr>
            <w:rFonts w:ascii="arial" w:eastAsia="arial" w:hAnsi="arial" w:cs="arial"/>
            <w:i/>
            <w:color w:val="0077CC"/>
            <w:sz w:val="20"/>
            <w:u w:val="single"/>
            <w:shd w:val="clear" w:color="auto" w:fill="FFFFFF"/>
            <w:lang w:val="en-US" w:eastAsia="en-US" w:bidi="ar-SA"/>
          </w:rPr>
          <w:t>2002 BCCA 132</w:t>
        </w:r>
      </w:hyperlink>
      <w:r>
        <w:rPr>
          <w:rFonts w:ascii="arial" w:eastAsia="arial" w:hAnsi="arial" w:cs="arial"/>
          <w:color w:val="000000"/>
          <w:sz w:val="20"/>
          <w:lang w:val="en-US" w:eastAsia="en-US" w:bidi="ar-SA"/>
        </w:rPr>
        <w:t xml:space="preserve">; Paramedical Professional Bargaining Assn. v. Health Employers Assn. of British Columbia, </w:t>
      </w:r>
      <w:hyperlink r:id="rId579" w:history="1">
        <w:r>
          <w:rPr>
            <w:rFonts w:ascii="arial" w:eastAsia="arial" w:hAnsi="arial" w:cs="arial"/>
            <w:i/>
            <w:color w:val="0077CC"/>
            <w:sz w:val="20"/>
            <w:u w:val="single"/>
            <w:shd w:val="clear" w:color="auto" w:fill="FFFFFF"/>
            <w:lang w:val="en-US" w:eastAsia="en-US" w:bidi="ar-SA"/>
          </w:rPr>
          <w:t>[2003] B.C.J. No. 2898</w:t>
        </w:r>
      </w:hyperlink>
      <w:r>
        <w:rPr>
          <w:rFonts w:ascii="arial" w:eastAsia="arial" w:hAnsi="arial" w:cs="arial"/>
          <w:color w:val="000000"/>
          <w:sz w:val="20"/>
          <w:lang w:val="en-US" w:eastAsia="en-US" w:bidi="ar-SA"/>
        </w:rPr>
        <w:t xml:space="preserve">; White v. Kuzych, </w:t>
      </w:r>
      <w:hyperlink r:id="rId580" w:history="1">
        <w:r>
          <w:rPr>
            <w:rFonts w:ascii="arial" w:eastAsia="arial" w:hAnsi="arial" w:cs="arial"/>
            <w:i/>
            <w:color w:val="0077CC"/>
            <w:sz w:val="20"/>
            <w:u w:val="single"/>
            <w:shd w:val="clear" w:color="auto" w:fill="FFFFFF"/>
            <w:lang w:val="en-US" w:eastAsia="en-US" w:bidi="ar-SA"/>
          </w:rPr>
          <w:t>[1951] 3 D.L.R. 641</w:t>
        </w:r>
      </w:hyperlink>
      <w:r>
        <w:rPr>
          <w:rFonts w:ascii="arial" w:eastAsia="arial" w:hAnsi="arial" w:cs="arial"/>
          <w:color w:val="000000"/>
          <w:sz w:val="20"/>
          <w:lang w:val="en-US" w:eastAsia="en-US" w:bidi="ar-SA"/>
        </w:rPr>
        <w:t xml:space="preserve">, reversing </w:t>
      </w:r>
      <w:hyperlink r:id="rId581" w:history="1">
        <w:r>
          <w:rPr>
            <w:rFonts w:ascii="arial" w:eastAsia="arial" w:hAnsi="arial" w:cs="arial"/>
            <w:i/>
            <w:color w:val="0077CC"/>
            <w:sz w:val="20"/>
            <w:u w:val="single"/>
            <w:shd w:val="clear" w:color="auto" w:fill="FFFFFF"/>
            <w:lang w:val="en-US" w:eastAsia="en-US" w:bidi="ar-SA"/>
          </w:rPr>
          <w:t>[1950] 4 D.L.R. 187</w:t>
        </w:r>
      </w:hyperlink>
      <w:r>
        <w:rPr>
          <w:rFonts w:ascii="arial" w:eastAsia="arial" w:hAnsi="arial" w:cs="arial"/>
          <w:color w:val="000000"/>
          <w:sz w:val="20"/>
          <w:lang w:val="en-US" w:eastAsia="en-US" w:bidi="ar-SA"/>
        </w:rPr>
        <w:t xml:space="preserve">; Re: Forest Industrial Relations, BCLRB No. B400/2003; Canex Placer Limited (Endako Mines Division) (the Employer), and Canadian Association of Industrial, Mechanical and Allied Workers, Local 10 (the Union), and Attorney General of British Columbia (Intervenor), and Employers' Council of British Columbia (Intervenor), [1974] B.C.L.R.B. No. 168/74; Central Native Fishermen's Co-operative v. British Columbia Provincial Council, </w:t>
      </w:r>
      <w:hyperlink r:id="rId582" w:history="1">
        <w:r>
          <w:rPr>
            <w:rFonts w:ascii="arial" w:eastAsia="arial" w:hAnsi="arial" w:cs="arial"/>
            <w:i/>
            <w:color w:val="0077CC"/>
            <w:sz w:val="20"/>
            <w:u w:val="single"/>
            <w:shd w:val="clear" w:color="auto" w:fill="FFFFFF"/>
            <w:lang w:val="en-US" w:eastAsia="en-US" w:bidi="ar-SA"/>
          </w:rPr>
          <w:t>[1975] 6 W.W.R. 699</w:t>
        </w:r>
      </w:hyperlink>
      <w:r>
        <w:rPr>
          <w:rFonts w:ascii="arial" w:eastAsia="arial" w:hAnsi="arial" w:cs="arial"/>
          <w:color w:val="000000"/>
          <w:sz w:val="20"/>
          <w:lang w:val="en-US" w:eastAsia="en-US" w:bidi="ar-SA"/>
        </w:rPr>
        <w:t xml:space="preserve"> (B.C.S.C.), </w:t>
      </w:r>
      <w:hyperlink r:id="rId582" w:history="1">
        <w:r>
          <w:rPr>
            <w:rFonts w:ascii="arial" w:eastAsia="arial" w:hAnsi="arial" w:cs="arial"/>
            <w:i/>
            <w:color w:val="0077CC"/>
            <w:sz w:val="20"/>
            <w:u w:val="single"/>
            <w:shd w:val="clear" w:color="auto" w:fill="FFFFFF"/>
            <w:lang w:val="en-US" w:eastAsia="en-US" w:bidi="ar-SA"/>
          </w:rPr>
          <w:t>61 D.L.R. (3d) 677</w:t>
        </w:r>
      </w:hyperlink>
      <w:r>
        <w:rPr>
          <w:rFonts w:ascii="arial" w:eastAsia="arial" w:hAnsi="arial" w:cs="arial"/>
          <w:color w:val="000000"/>
          <w:sz w:val="20"/>
          <w:lang w:val="en-US" w:eastAsia="en-US" w:bidi="ar-SA"/>
        </w:rPr>
        <w:t xml:space="preserve">; Miko &amp; Sons Logging Ltd. v. Penner, </w:t>
      </w:r>
      <w:hyperlink r:id="rId583" w:history="1">
        <w:r>
          <w:rPr>
            <w:rFonts w:ascii="arial" w:eastAsia="arial" w:hAnsi="arial" w:cs="arial"/>
            <w:i/>
            <w:color w:val="0077CC"/>
            <w:sz w:val="20"/>
            <w:u w:val="single"/>
            <w:shd w:val="clear" w:color="auto" w:fill="FFFFFF"/>
            <w:lang w:val="en-US" w:eastAsia="en-US" w:bidi="ar-SA"/>
          </w:rPr>
          <w:t>[1976] 4 W.W.R. 756</w:t>
        </w:r>
      </w:hyperlink>
      <w:r>
        <w:rPr>
          <w:rFonts w:ascii="arial" w:eastAsia="arial" w:hAnsi="arial" w:cs="arial"/>
          <w:color w:val="000000"/>
          <w:sz w:val="20"/>
          <w:lang w:val="en-US" w:eastAsia="en-US" w:bidi="ar-SA"/>
        </w:rPr>
        <w:t xml:space="preserve"> (B.C.S.C.); Pitura v. Lincoln Motors </w:t>
      </w:r>
      <w:hyperlink r:id="rId584" w:history="1">
        <w:r>
          <w:rPr>
            <w:rFonts w:ascii="arial" w:eastAsia="arial" w:hAnsi="arial" w:cs="arial"/>
            <w:i/>
            <w:color w:val="0077CC"/>
            <w:sz w:val="20"/>
            <w:u w:val="single"/>
            <w:shd w:val="clear" w:color="auto" w:fill="FFFFFF"/>
            <w:lang w:val="en-US" w:eastAsia="en-US" w:bidi="ar-SA"/>
          </w:rPr>
          <w:t>(1978), 9 B.C.L.R. 77</w:t>
        </w:r>
      </w:hyperlink>
      <w:r>
        <w:rPr>
          <w:rFonts w:ascii="arial" w:eastAsia="arial" w:hAnsi="arial" w:cs="arial"/>
          <w:color w:val="000000"/>
          <w:sz w:val="20"/>
          <w:lang w:val="en-US" w:eastAsia="en-US" w:bidi="ar-SA"/>
        </w:rPr>
        <w:t xml:space="preserve"> (S.C.); Muckamuck Restaurant Ltd. v. Service, Office and Retail Workers Union of Canada Local 1 </w:t>
      </w:r>
      <w:hyperlink r:id="rId585" w:history="1">
        <w:r>
          <w:rPr>
            <w:rFonts w:ascii="arial" w:eastAsia="arial" w:hAnsi="arial" w:cs="arial"/>
            <w:i/>
            <w:color w:val="0077CC"/>
            <w:sz w:val="20"/>
            <w:u w:val="single"/>
            <w:shd w:val="clear" w:color="auto" w:fill="FFFFFF"/>
            <w:lang w:val="en-US" w:eastAsia="en-US" w:bidi="ar-SA"/>
          </w:rPr>
          <w:t>(1979), 16 B.C.L.R. 370</w:t>
        </w:r>
      </w:hyperlink>
      <w:r>
        <w:rPr>
          <w:rFonts w:ascii="arial" w:eastAsia="arial" w:hAnsi="arial" w:cs="arial"/>
          <w:color w:val="000000"/>
          <w:sz w:val="20"/>
          <w:lang w:val="en-US" w:eastAsia="en-US" w:bidi="ar-SA"/>
        </w:rPr>
        <w:t xml:space="preserve"> (S.C.); Better Value Furniture (CHWK) Ltd. and Vancouver Distribution Centre Ltd. v. General Truck Drivers and Helpers Union, Loc. 31 and Walcott </w:t>
      </w:r>
      <w:hyperlink r:id="rId402" w:history="1">
        <w:r>
          <w:rPr>
            <w:rFonts w:ascii="arial" w:eastAsia="arial" w:hAnsi="arial" w:cs="arial"/>
            <w:i/>
            <w:color w:val="0077CC"/>
            <w:sz w:val="20"/>
            <w:u w:val="single"/>
            <w:shd w:val="clear" w:color="auto" w:fill="FFFFFF"/>
            <w:lang w:val="en-US" w:eastAsia="en-US" w:bidi="ar-SA"/>
          </w:rPr>
          <w:t>(1981), 26 B.C.L.R. 273</w:t>
        </w:r>
      </w:hyperlink>
      <w:r>
        <w:rPr>
          <w:rFonts w:ascii="arial" w:eastAsia="arial" w:hAnsi="arial" w:cs="arial"/>
          <w:color w:val="000000"/>
          <w:sz w:val="20"/>
          <w:lang w:val="en-US" w:eastAsia="en-US" w:bidi="ar-SA"/>
        </w:rPr>
        <w:t xml:space="preserve"> (B.C.C.A.); Vancouver Museums and Planetarium Association v. Vancouver Municipal and Regional Employees' Union et al., </w:t>
      </w:r>
      <w:hyperlink r:id="rId586" w:history="1">
        <w:r>
          <w:rPr>
            <w:rFonts w:ascii="arial" w:eastAsia="arial" w:hAnsi="arial" w:cs="arial"/>
            <w:i/>
            <w:color w:val="0077CC"/>
            <w:sz w:val="20"/>
            <w:u w:val="single"/>
            <w:shd w:val="clear" w:color="auto" w:fill="FFFFFF"/>
            <w:lang w:val="en-US" w:eastAsia="en-US" w:bidi="ar-SA"/>
          </w:rPr>
          <w:t>(1981) 27 B.C.L.R. 73</w:t>
        </w:r>
      </w:hyperlink>
      <w:r>
        <w:rPr>
          <w:rFonts w:ascii="arial" w:eastAsia="arial" w:hAnsi="arial" w:cs="arial"/>
          <w:color w:val="000000"/>
          <w:sz w:val="20"/>
          <w:lang w:val="en-US" w:eastAsia="en-US" w:bidi="ar-SA"/>
        </w:rPr>
        <w:t xml:space="preserve"> (C.A.); Westminster Credit Union v. United Brotherhood of Carpenters and Joiners of America, Local 1251 and Persons Unknown Picketing at 524 Sixth Street and 422 Sixth Street in New Westminster, British Columbia </w:t>
      </w:r>
      <w:hyperlink r:id="rId587" w:history="1">
        <w:r>
          <w:rPr>
            <w:rFonts w:ascii="arial" w:eastAsia="arial" w:hAnsi="arial" w:cs="arial"/>
            <w:i/>
            <w:color w:val="0077CC"/>
            <w:sz w:val="20"/>
            <w:u w:val="single"/>
            <w:shd w:val="clear" w:color="auto" w:fill="FFFFFF"/>
            <w:lang w:val="en-US" w:eastAsia="en-US" w:bidi="ar-SA"/>
          </w:rPr>
          <w:t>(1984), 55 B.C.L.R. 369</w:t>
        </w:r>
      </w:hyperlink>
      <w:r>
        <w:rPr>
          <w:rFonts w:ascii="arial" w:eastAsia="arial" w:hAnsi="arial" w:cs="arial"/>
          <w:color w:val="000000"/>
          <w:sz w:val="20"/>
          <w:lang w:val="en-US" w:eastAsia="en-US" w:bidi="ar-SA"/>
        </w:rPr>
        <w:t xml:space="preserve"> (B.C.S.C.); Leroux v. Molgat, </w:t>
      </w:r>
      <w:hyperlink r:id="rId588" w:history="1">
        <w:r>
          <w:rPr>
            <w:rFonts w:ascii="arial" w:eastAsia="arial" w:hAnsi="arial" w:cs="arial"/>
            <w:i/>
            <w:color w:val="0077CC"/>
            <w:sz w:val="20"/>
            <w:u w:val="single"/>
            <w:shd w:val="clear" w:color="auto" w:fill="FFFFFF"/>
            <w:lang w:val="en-US" w:eastAsia="en-US" w:bidi="ar-SA"/>
          </w:rPr>
          <w:t>[1985] B.C.J. No. 45</w:t>
        </w:r>
      </w:hyperlink>
      <w:r>
        <w:rPr>
          <w:rFonts w:ascii="arial" w:eastAsia="arial" w:hAnsi="arial" w:cs="arial"/>
          <w:color w:val="000000"/>
          <w:sz w:val="20"/>
          <w:lang w:val="en-US" w:eastAsia="en-US" w:bidi="ar-SA"/>
        </w:rPr>
        <w:t xml:space="preserve">; Auto Haulaway Inc. v. Emcon Services Inc. </w:t>
      </w:r>
      <w:hyperlink r:id="rId589" w:history="1">
        <w:r>
          <w:rPr>
            <w:rFonts w:ascii="arial" w:eastAsia="arial" w:hAnsi="arial" w:cs="arial"/>
            <w:i/>
            <w:color w:val="0077CC"/>
            <w:sz w:val="20"/>
            <w:u w:val="single"/>
            <w:shd w:val="clear" w:color="auto" w:fill="FFFFFF"/>
            <w:lang w:val="en-US" w:eastAsia="en-US" w:bidi="ar-SA"/>
          </w:rPr>
          <w:t>(1994), 93 B.C.L.R. (2d) 161</w:t>
        </w:r>
      </w:hyperlink>
      <w:r>
        <w:rPr>
          <w:rFonts w:ascii="arial" w:eastAsia="arial" w:hAnsi="arial" w:cs="arial"/>
          <w:color w:val="000000"/>
          <w:sz w:val="20"/>
          <w:lang w:val="en-US" w:eastAsia="en-US" w:bidi="ar-SA"/>
        </w:rPr>
        <w:t xml:space="preserve"> (S.C.); Lamont v. British Columbia Teachers' Federation, </w:t>
      </w:r>
      <w:hyperlink r:id="rId590" w:history="1">
        <w:r>
          <w:rPr>
            <w:rFonts w:ascii="arial" w:eastAsia="arial" w:hAnsi="arial" w:cs="arial"/>
            <w:i/>
            <w:color w:val="0077CC"/>
            <w:sz w:val="20"/>
            <w:u w:val="single"/>
            <w:shd w:val="clear" w:color="auto" w:fill="FFFFFF"/>
            <w:lang w:val="en-US" w:eastAsia="en-US" w:bidi="ar-SA"/>
          </w:rPr>
          <w:t>[1997] B.C.J. No. 1032</w:t>
        </w:r>
      </w:hyperlink>
      <w:r>
        <w:rPr>
          <w:rFonts w:ascii="arial" w:eastAsia="arial" w:hAnsi="arial" w:cs="arial"/>
          <w:color w:val="000000"/>
          <w:sz w:val="20"/>
          <w:lang w:val="en-US" w:eastAsia="en-US" w:bidi="ar-SA"/>
        </w:rPr>
        <w:t xml:space="preserve"> (B.C.C.A.); Westfair Foods Ltd. (Shop Easy Division) (Re), </w:t>
      </w:r>
      <w:hyperlink r:id="rId591" w:history="1">
        <w:r>
          <w:rPr>
            <w:rFonts w:ascii="arial" w:eastAsia="arial" w:hAnsi="arial" w:cs="arial"/>
            <w:i/>
            <w:color w:val="0077CC"/>
            <w:sz w:val="20"/>
            <w:u w:val="single"/>
            <w:shd w:val="clear" w:color="auto" w:fill="FFFFFF"/>
            <w:lang w:val="en-US" w:eastAsia="en-US" w:bidi="ar-SA"/>
          </w:rPr>
          <w:t>[2000] B.C.L.R.B.D. No. 414</w:t>
        </w:r>
      </w:hyperlink>
      <w:r>
        <w:rPr>
          <w:rFonts w:ascii="arial" w:eastAsia="arial" w:hAnsi="arial" w:cs="arial"/>
          <w:color w:val="000000"/>
          <w:sz w:val="20"/>
          <w:lang w:val="en-US" w:eastAsia="en-US" w:bidi="ar-SA"/>
        </w:rPr>
        <w:t xml:space="preserve">; Forest Industrial Relations ("FIR"), and Industrial Wood &amp; Allied Workers of Canada (I.W.A. Canada) et al. </w:t>
      </w:r>
      <w:hyperlink r:id="rId592" w:history="1">
        <w:r>
          <w:rPr>
            <w:rFonts w:ascii="arial" w:eastAsia="arial" w:hAnsi="arial" w:cs="arial"/>
            <w:i/>
            <w:color w:val="0077CC"/>
            <w:sz w:val="20"/>
            <w:u w:val="single"/>
            <w:shd w:val="clear" w:color="auto" w:fill="FFFFFF"/>
            <w:lang w:val="en-US" w:eastAsia="en-US" w:bidi="ar-SA"/>
          </w:rPr>
          <w:t>[2003] B.C.L.R.B.D. No. 256</w:t>
        </w:r>
      </w:hyperlink>
      <w:r>
        <w:rPr>
          <w:rFonts w:ascii="arial" w:eastAsia="arial" w:hAnsi="arial" w:cs="arial"/>
          <w:color w:val="000000"/>
          <w:sz w:val="20"/>
          <w:lang w:val="en-US" w:eastAsia="en-US" w:bidi="ar-SA"/>
        </w:rPr>
        <w:t xml:space="preserve">; Piko v. Hudson's Bay Co. </w:t>
      </w:r>
      <w:hyperlink r:id="rId593" w:history="1">
        <w:r>
          <w:rPr>
            <w:rFonts w:ascii="arial" w:eastAsia="arial" w:hAnsi="arial" w:cs="arial"/>
            <w:i/>
            <w:color w:val="0077CC"/>
            <w:sz w:val="20"/>
            <w:u w:val="single"/>
            <w:shd w:val="clear" w:color="auto" w:fill="FFFFFF"/>
            <w:lang w:val="en-US" w:eastAsia="en-US" w:bidi="ar-SA"/>
          </w:rPr>
          <w:t>(1998), 41 O.R. (3d) 729</w:t>
        </w:r>
      </w:hyperlink>
      <w:r>
        <w:rPr>
          <w:rFonts w:ascii="arial" w:eastAsia="arial" w:hAnsi="arial" w:cs="arial"/>
          <w:color w:val="000000"/>
          <w:sz w:val="20"/>
          <w:lang w:val="en-US" w:eastAsia="en-US" w:bidi="ar-SA"/>
        </w:rPr>
        <w:t xml:space="preserve">, </w:t>
      </w:r>
      <w:hyperlink r:id="rId594" w:history="1">
        <w:r>
          <w:rPr>
            <w:rFonts w:ascii="arial" w:eastAsia="arial" w:hAnsi="arial" w:cs="arial"/>
            <w:i/>
            <w:color w:val="0077CC"/>
            <w:sz w:val="20"/>
            <w:u w:val="single"/>
            <w:shd w:val="clear" w:color="auto" w:fill="FFFFFF"/>
            <w:lang w:val="en-US" w:eastAsia="en-US" w:bidi="ar-SA"/>
          </w:rPr>
          <w:t>[1998] O.J. No. 4714</w:t>
        </w:r>
      </w:hyperlink>
      <w:r>
        <w:rPr>
          <w:rFonts w:ascii="arial" w:eastAsia="arial" w:hAnsi="arial" w:cs="arial"/>
          <w:color w:val="000000"/>
          <w:sz w:val="20"/>
          <w:lang w:val="en-US" w:eastAsia="en-US" w:bidi="ar-SA"/>
        </w:rPr>
        <w:t xml:space="preserve"> (C.A. Ont.); Kovlaske v. International Woodworkers of America, Local 1-217, </w:t>
      </w:r>
      <w:hyperlink r:id="rId595" w:history="1">
        <w:r>
          <w:rPr>
            <w:rFonts w:ascii="arial" w:eastAsia="arial" w:hAnsi="arial" w:cs="arial"/>
            <w:i/>
            <w:color w:val="0077CC"/>
            <w:sz w:val="20"/>
            <w:u w:val="single"/>
            <w:shd w:val="clear" w:color="auto" w:fill="FFFFFF"/>
            <w:lang w:val="en-US" w:eastAsia="en-US" w:bidi="ar-SA"/>
          </w:rPr>
          <w:t>[1998] B.C.J. No. 1135</w:t>
        </w:r>
      </w:hyperlink>
      <w:r>
        <w:rPr>
          <w:rFonts w:ascii="arial" w:eastAsia="arial" w:hAnsi="arial" w:cs="arial"/>
          <w:color w:val="000000"/>
          <w:sz w:val="20"/>
          <w:lang w:val="en-US" w:eastAsia="en-US" w:bidi="ar-SA"/>
        </w:rPr>
        <w:t xml:space="preserve">; Retail, Wholesale and Department Store Union, Local 558 v. Pepsi-Cola Canada Beverages (West) Ltd., </w:t>
      </w:r>
      <w:hyperlink r:id="rId596" w:history="1">
        <w:r>
          <w:rPr>
            <w:rFonts w:ascii="arial" w:eastAsia="arial" w:hAnsi="arial" w:cs="arial"/>
            <w:i/>
            <w:color w:val="0077CC"/>
            <w:sz w:val="20"/>
            <w:u w:val="single"/>
            <w:shd w:val="clear" w:color="auto" w:fill="FFFFFF"/>
            <w:lang w:val="en-US" w:eastAsia="en-US" w:bidi="ar-SA"/>
          </w:rPr>
          <w:t>[2002] 1 S.C.R. 156</w:t>
        </w:r>
      </w:hyperlink>
      <w:r>
        <w:rPr>
          <w:rFonts w:ascii="arial" w:eastAsia="arial" w:hAnsi="arial" w:cs="arial"/>
          <w:color w:val="000000"/>
          <w:sz w:val="20"/>
          <w:lang w:val="en-US" w:eastAsia="en-US" w:bidi="ar-SA"/>
        </w:rPr>
        <w:t xml:space="preserve">, </w:t>
      </w:r>
      <w:hyperlink r:id="rId597" w:history="1">
        <w:r>
          <w:rPr>
            <w:rFonts w:ascii="arial" w:eastAsia="arial" w:hAnsi="arial" w:cs="arial"/>
            <w:i/>
            <w:color w:val="0077CC"/>
            <w:sz w:val="20"/>
            <w:u w:val="single"/>
            <w:shd w:val="clear" w:color="auto" w:fill="FFFFFF"/>
            <w:lang w:val="en-US" w:eastAsia="en-US" w:bidi="ar-SA"/>
          </w:rPr>
          <w:t>[2002] S.C.J. No. 7</w:t>
        </w:r>
      </w:hyperlink>
      <w:r>
        <w:rPr>
          <w:rFonts w:ascii="arial" w:eastAsia="arial" w:hAnsi="arial" w:cs="arial"/>
          <w:color w:val="000000"/>
          <w:sz w:val="20"/>
          <w:lang w:val="en-US" w:eastAsia="en-US" w:bidi="ar-SA"/>
        </w:rPr>
        <w:t xml:space="preserve">, </w:t>
      </w:r>
      <w:hyperlink r:id="rId596" w:history="1">
        <w:r>
          <w:rPr>
            <w:rFonts w:ascii="arial" w:eastAsia="arial" w:hAnsi="arial" w:cs="arial"/>
            <w:i/>
            <w:color w:val="0077CC"/>
            <w:sz w:val="20"/>
            <w:u w:val="single"/>
            <w:shd w:val="clear" w:color="auto" w:fill="FFFFFF"/>
            <w:lang w:val="en-US" w:eastAsia="en-US" w:bidi="ar-SA"/>
          </w:rPr>
          <w:t>2002 SCC 8</w:t>
        </w:r>
      </w:hyperlink>
      <w:r>
        <w:rPr>
          <w:rFonts w:ascii="arial" w:eastAsia="arial" w:hAnsi="arial" w:cs="arial"/>
          <w:color w:val="000000"/>
          <w:sz w:val="20"/>
          <w:lang w:val="en-US" w:eastAsia="en-US" w:bidi="ar-SA"/>
        </w:rPr>
        <w:t xml:space="preserve">; and Fasslane v. Purolator, </w:t>
      </w:r>
      <w:hyperlink r:id="rId598" w:history="1">
        <w:r>
          <w:rPr>
            <w:rFonts w:ascii="arial" w:eastAsia="arial" w:hAnsi="arial" w:cs="arial"/>
            <w:i/>
            <w:color w:val="0077CC"/>
            <w:sz w:val="20"/>
            <w:u w:val="single"/>
            <w:shd w:val="clear" w:color="auto" w:fill="FFFFFF"/>
            <w:lang w:val="en-US" w:eastAsia="en-US" w:bidi="ar-SA"/>
          </w:rPr>
          <w:t>[2004] B.C.J. No. 1059</w:t>
        </w:r>
      </w:hyperlink>
      <w:r>
        <w:rPr>
          <w:rFonts w:ascii="arial" w:eastAsia="arial" w:hAnsi="arial" w:cs="arial"/>
          <w:color w:val="000000"/>
          <w:sz w:val="20"/>
          <w:lang w:val="en-US" w:eastAsia="en-US" w:bidi="ar-SA"/>
        </w:rPr>
        <w:t xml:space="preserve">, </w:t>
      </w:r>
      <w:hyperlink r:id="rId598" w:history="1">
        <w:r>
          <w:rPr>
            <w:rFonts w:ascii="arial" w:eastAsia="arial" w:hAnsi="arial" w:cs="arial"/>
            <w:i/>
            <w:color w:val="0077CC"/>
            <w:sz w:val="20"/>
            <w:u w:val="single"/>
            <w:shd w:val="clear" w:color="auto" w:fill="FFFFFF"/>
            <w:lang w:val="en-US" w:eastAsia="en-US" w:bidi="ar-SA"/>
          </w:rPr>
          <w:t>2004 BCCA 300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Canex Placer was a 1974 decision of the LRB shortly after the introduction of the new Labour Code. Chairman Paul Weiler set out the parameters of the jurisdiction of the LRB and confirmed the jurisdiction of the courts in relation to certain types of picketing conduct where labour issues were involved. That case involved activity on a picket line to a mine that had only one access road. The picketing effectively cut off almost all access to the mining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Chairman Weiler found that the conduct was illegal, and it violated the requirements of "quite different areas of the law of this province." He then referred to the Criminal Code of Canada and its prohibition of assault, or threats of violence, and the common law torts of assault and battery. When activity on a picket line "goes beyond the bounds of peaceful persuasion and amounts to threats of violence or intimidation, it is no longer permitted by Section 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On page 5 of that decision, referring to the Labour Code, the Board had this to 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more natural interpretation of the Code is that it creates a division of labour in the administration of the law that may affect picketing activity. Under the previous Trade-Unions Act, the courts enforced both the labour law and the criminal or tort law facets of picketing. Now the Labour Relations Board is given exclusive jurisdiction over the industrial relations regulation of picketing while the courts remain charged with jurisdiction over its criminal or civil law features.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decision then went on to quote a number of recommendations that had been made in the Woods Report, Canadian Industrial Relations (1968).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Then at page 7, Chairman Weiler stated, "... the legislature did not intend to confer jurisdiction on this Board, to the exclusion of the courts, to make orders in respect of the manner in which picketing is to be carried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Weiler then went on to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reason is that the Board is simply directed to enforce an additional segment of the comprehensive Labour Code, rather than applying the traditional common law torts to the economic conflict .... ... Very different legal problems would be raised if a provincial administrative agency were empowered to enforce the general criminal or civil law, even if only in the labour relations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Native Fishermen's Co-op, a decision of Mr. Justice Toy of our court in 1975, it was found there was no relationship between the union and an independent fish cannery. The plaintiffs cite this case as similar in fact to the case before this court. Mr. Justice Toy adopted the Canex decision as an accurate statement of the law with regard to the issue of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Justice Munroe in the Pitura case in 1978 confirmed that if the legality of a strike was an issue, this would be for the Labour Relations Board to determine. In that case, the defendant union had objected to the defendant Lincoln Manor using the plaintiff as a construction contractor. The plaintiff sued both defendants, alleging that the union induced Lincoln Manor, the other defendant, to breach the contract, by threats and inducement.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this case, jurisdiction was found to be with the court, and not the Board. The plaintiff was suing for conduct that equalled torts of intimidation and inducing breach of contract. The court found there was no collective agreement between the parties, so there could be no breach of the collective agreement, and there was no jurisdiction with the LRB. It was not a "labour dispute". If it had been a labour dispute, then it would have been within the exclusive jurisdiction of the LRB to determine if the Labour Code had been breached.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1981 decision of Better Value of our Court of Appeal was written by Chief Justice Nemetz. There the plaintiff had sued the defendant company and defendant union and others for breach of contract. The defendant company had failed to deliver goods that had been ordered. It was alleged that the defendant union had threatened the defendant company by pickets if the goods were released to the plaintiff. The LRB had made a decision that the plaintiff was not an ally of the defendant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At page 276 of that decision, the court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Code came into being in 1973, and had the effect, inter alia, of transferring from the courts to the Labour Board the jurisdiction to deal with provincial labour disputes.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court then went on to cite with approval the finding in Canex.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At page 278 of the decision: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Apropos s. 28, it is manifest that a "matter" cannot be the subject of a complaint unless it contravenes the Labour Code, a collective agreement or the regulations. In respect of s. 31 the same situation obtains: "... the board has and shall exercise exclusive jurisdiction to hear and determine an application or complaint under this Act" (the italics are mine). This clearly shows that the board's jurisdiction is confined to hearing applications or complaints coming under the Labour Code. Conversely, it follows that there is jurisdiction in the court to consider any matter that does </w:t>
      </w:r>
      <w:r>
        <w:rPr>
          <w:rFonts w:ascii="arial" w:eastAsia="arial" w:hAnsi="arial" w:cs="arial"/>
          <w:color w:val="000000"/>
          <w:sz w:val="20"/>
          <w:u w:val="single"/>
          <w:lang w:val="en-US" w:eastAsia="en-US" w:bidi="ar-SA"/>
        </w:rPr>
        <w:t>not</w:t>
      </w:r>
      <w:r>
        <w:rPr>
          <w:rFonts w:ascii="arial" w:eastAsia="arial" w:hAnsi="arial" w:cs="arial"/>
          <w:color w:val="000000"/>
          <w:sz w:val="20"/>
          <w:lang w:val="en-US" w:eastAsia="en-US" w:bidi="ar-SA"/>
        </w:rPr>
        <w:t xml:space="preserve"> involve contraventions of the Labour Code, a collective agreement or the regulations. This interpretation is supported by the general scheme of the Act which establishes limits to the extent of the board's jurisdiction, e.g. s. 32(4), which provides that the board's consent to an action for damages is required only in a case where the injury or losses arise as a consequence of conduct contravening the Code. Even s. 33, granting the board jurisdiction to determine the extent of its own jurisdiction, is limited to its jurisdiction "under this Act, a collective agreement or the regulations". This action for damages is brought against the union for inducing breach of contract by interfering with the contractual relations between the non-allied distributor and Better Value. It is an action in tort, the merits of which can be determined independently of finding a breach of the Code, its regulations or a collective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 threat to picket (words expressing an intention to do harm) with its consequential effect of interfering with the contractual relations between Better Value and the distributor is a common law tort and ordinarily would be within the jurisdiction of the courts in order to protect the public from violations of the general law, both civil and criminal. Thus, I agree with the view that where an alleged tort can be established without a finding that the defendant violated provisions of the Labour Code, its regulations or a collective agreement, the jurisdiction of the courts in this province is not ousted and an action may be maintained.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plaintiffs relied upon this case and Westminster Credit Union, a decision of Mr. Justice Finch in 1984. In New Westminster Credit Union, the plaintiff credit union hired a project manager for construction on the renovations of its head office. That manager hired union and non-union employees to do the work. To protest the non-union hiring, the defendant union and defendant picketers had been picketing two sites of business of the credit union. This caused the union employees to leave the job, and other contractors, such as B.C. Tel, to refuse to cross the picket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finding in Westminster Credit Union approved the decision in Better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defendants cite the 1995 decision of the Supreme Court of Canada in Weber v. Ontario Hydro as the leading authority on this issue of jurisdiction. In Weber, the plaintiff was an employee on long term disability whom the employer suspected of malingering. The employer hired a private investigator for secret surveillance. The plaintiff grieved under the collective agreement, and that grievance was settled. The plaintiff also brought an action against the employer for the torts of trespass, nuisance, deceit, and invasion of privacy, plus allegations of violation of his rights under ss. 7 and 8 of the Canadian Charter of Rights and Freedoms.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trial judge held for the employer, and dismissed the action, stating the existence of the grievance procedure was within the jurisdiction of the labour tribunal; that prevailed over the jurisdiction of the court. The Ontario Court of Appeal agreed with the dismissal of the tort action, but allowed the Charter claim to continue. The Supreme Court of Canada held that both the tort and Charter claims were precluded.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In Weber, the court cited with approval its decision in St. Anne-Nackawic Pulp &amp; Paper Co. v. C.P.U., Local 219, </w:t>
      </w:r>
      <w:hyperlink r:id="rId374" w:history="1">
        <w:r>
          <w:rPr>
            <w:rFonts w:ascii="arial" w:eastAsia="arial" w:hAnsi="arial" w:cs="arial"/>
            <w:i/>
            <w:color w:val="0077CC"/>
            <w:sz w:val="20"/>
            <w:u w:val="single"/>
            <w:shd w:val="clear" w:color="auto" w:fill="FFFFFF"/>
            <w:lang w:val="en-US" w:eastAsia="en-US" w:bidi="ar-SA"/>
          </w:rPr>
          <w:t>[1986] 1 S.C.R. 704</w:t>
        </w:r>
      </w:hyperlink>
      <w:r>
        <w:rPr>
          <w:rFonts w:ascii="arial" w:eastAsia="arial" w:hAnsi="arial" w:cs="arial"/>
          <w:color w:val="000000"/>
          <w:sz w:val="20"/>
          <w:lang w:val="en-US" w:eastAsia="en-US" w:bidi="ar-SA"/>
        </w:rPr>
        <w:t>. In that case the employer, after obtaining an interim injunction against the union, then sued the union in tort for damages caused by an illegal strike. The employer had argued that the claim did not depend on the collective agreement and that the mandatory arbitration clause of the legislation did not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court rejected that argument and found that subject to a residual discretionary power in courts of inherent jurisdiction over matters such as injunctions, concurrent court proceedings were not available. The court also rejected the concept of framing the action in terms of a tort. That would not be sufficient to take the action outside the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At paragraph 43 and on, the court in Weber had this to 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Underlying both the Court of Appeal and Supreme Court of Canada decisions in St. Anne-Nackawic is the insistence that the analysis of whether a matter falls within the exclusive arbitration clause must proceed on the basis of the facts surrounding the dispute between the parties, not on the basis of the legal issues which may be framed. The issue is not whether the action, defined legally, is independent of the collective agreement, but rather whether the dispute is one "arising under the collective agreement". Where the dispute, regardless of how it may be characterized legally, arises under the collective agreement, then the jurisdiction to resolve it lies exclusively with the labour tribunal and the courts cannot try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Where the dispute falls within the terms of the Act, there is no room for concurrent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court also rejected the suggestion of overlapping jurisdiction. At paragraph 49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more attractive than the full concurrency model, the overlapping spheres model also presents difficulties. In so far as it is based on characterizing a cause of action which lies outside the arbitrator's power or expertise, it violates the injunction of the Act and St. Anne-Nackawic that one must look not to the legal characterization of the wrong, but to the facts giving rise to the dispute. It would also leave it open to innovative pleaders to evade the legislative prohibition on parallel court actions by raising new and imaginative causes of action, ... This would undermine the legislative purposes underlying such provisions and the intention of the parties to the agreement. This approach, like the concurrency model, fails to meet the test of the statute, the jurisprudence and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court then went on to say that the final alternative "is to accept that if the difference between the parties arises from the collective agreement, the claimant must proceed by arbitration and the courts have no power to entertain an action in respect of that dispute. There is no overlapping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Counsel for the defendants cited with approval the Weber case, and particularly the concept of defining "the essential character" of a dispute. In paragraph 52, the court in Weber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considering the dispute, the decision-maker must attempt to define its "essential character", to use the phrase of La Forest J.A. in Energy and Chemical Workers Union, Local 691 v. Irving Oil Ltd. </w:t>
      </w:r>
      <w:hyperlink r:id="rId376" w:history="1">
        <w:r>
          <w:rPr>
            <w:rFonts w:ascii="arial" w:eastAsia="arial" w:hAnsi="arial" w:cs="arial"/>
            <w:i/>
            <w:color w:val="0077CC"/>
            <w:sz w:val="20"/>
            <w:u w:val="single"/>
            <w:shd w:val="clear" w:color="auto" w:fill="FFFFFF"/>
            <w:lang w:val="en-US" w:eastAsia="en-US" w:bidi="ar-SA"/>
          </w:rPr>
          <w:t>(1983), 148 D.L.R. (3d) 398</w:t>
        </w:r>
      </w:hyperlink>
      <w:r>
        <w:rPr>
          <w:rFonts w:ascii="arial" w:eastAsia="arial" w:hAnsi="arial" w:cs="arial"/>
          <w:color w:val="000000"/>
          <w:sz w:val="20"/>
          <w:lang w:val="en-US" w:eastAsia="en-US" w:bidi="ar-SA"/>
        </w:rPr>
        <w:t xml:space="preserve">. The fact that the parties are employer and employee may not be determinative. Similarly, the place of the conduct giving rise to the dispute may not be conclusive; matters arising from the collective agreement may occur off the workplace and conversely, not everything that happens on the workplace may arise from the collective agreement: ... Sometimes the time when the claim originated may be important, as in Wainwright v. Vancouver Shipyards Co. </w:t>
      </w:r>
      <w:hyperlink r:id="rId377" w:history="1">
        <w:r>
          <w:rPr>
            <w:rFonts w:ascii="arial" w:eastAsia="arial" w:hAnsi="arial" w:cs="arial"/>
            <w:i/>
            <w:color w:val="0077CC"/>
            <w:sz w:val="20"/>
            <w:u w:val="single"/>
            <w:shd w:val="clear" w:color="auto" w:fill="FFFFFF"/>
            <w:lang w:val="en-US" w:eastAsia="en-US" w:bidi="ar-SA"/>
          </w:rPr>
          <w:t>(1987), 38 D.L.R. (4th) 760</w:t>
        </w:r>
      </w:hyperlink>
      <w:r>
        <w:rPr>
          <w:rFonts w:ascii="arial" w:eastAsia="arial" w:hAnsi="arial" w:cs="arial"/>
          <w:color w:val="000000"/>
          <w:sz w:val="20"/>
          <w:lang w:val="en-US" w:eastAsia="en-US" w:bidi="ar-SA"/>
        </w:rPr>
        <w:t>, ... where it was held that the court had jurisdiction over contracts pre-dating the collective agreement: ... In the majority of cases the nature of the dispute will be clear; either it had to do with the collective agreement or it did not. Some cases, however, may be less than obvious. The question in each case is whether the dispute, in its essential character, arises from the interpretation, application, administration or violation of the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defendants argue most strenuously that in the case at bar, the essential character of the dispute is that of a labour dispute, and is therefore not within the jurisdiction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Both parties referred to cases that followed Weber. Piko was a decision of the Ontario Court of Appeal in 1998. There the plaintiff was suing the employer in tort, for damages for malicious prosecution. The Court of Appeal held that the plaintiff's claim that the employer maliciously prosecuted her in the criminal courts lay outside the scope of the collective agreement. And it was no longer just a labour relations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court found the essential character of the dispute did not arise from the interpretation, application, administration or any violation of the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Westmoreland v. Gorman, </w:t>
      </w:r>
      <w:hyperlink r:id="rId599" w:history="1">
        <w:r>
          <w:rPr>
            <w:rFonts w:ascii="arial" w:eastAsia="arial" w:hAnsi="arial" w:cs="arial"/>
            <w:i/>
            <w:color w:val="0077CC"/>
            <w:sz w:val="20"/>
            <w:u w:val="single"/>
            <w:shd w:val="clear" w:color="auto" w:fill="FFFFFF"/>
            <w:lang w:val="en-US" w:eastAsia="en-US" w:bidi="ar-SA"/>
          </w:rPr>
          <w:t>[2003] B.C.J. No. 721</w:t>
        </w:r>
      </w:hyperlink>
      <w:r>
        <w:rPr>
          <w:rFonts w:ascii="arial" w:eastAsia="arial" w:hAnsi="arial" w:cs="arial"/>
          <w:color w:val="000000"/>
          <w:sz w:val="20"/>
          <w:lang w:val="en-US" w:eastAsia="en-US" w:bidi="ar-SA"/>
        </w:rPr>
        <w:t xml:space="preserve">, </w:t>
      </w:r>
      <w:hyperlink r:id="rId599" w:history="1">
        <w:r>
          <w:rPr>
            <w:rFonts w:ascii="arial" w:eastAsia="arial" w:hAnsi="arial" w:cs="arial"/>
            <w:i/>
            <w:color w:val="0077CC"/>
            <w:sz w:val="20"/>
            <w:u w:val="single"/>
            <w:shd w:val="clear" w:color="auto" w:fill="FFFFFF"/>
            <w:lang w:val="en-US" w:eastAsia="en-US" w:bidi="ar-SA"/>
          </w:rPr>
          <w:t>2003 BCSC 447</w:t>
        </w:r>
      </w:hyperlink>
      <w:r>
        <w:rPr>
          <w:rFonts w:ascii="arial" w:eastAsia="arial" w:hAnsi="arial" w:cs="arial"/>
          <w:color w:val="000000"/>
          <w:sz w:val="20"/>
          <w:lang w:val="en-US" w:eastAsia="en-US" w:bidi="ar-SA"/>
        </w:rPr>
        <w:t>, involved an action by a plaintiff, a marine captain and a member of the Canadian Merchant Service Guild, against the Seafarer's International Union of Canada and Gorman, a member of the Seafarer's Union. Both men were employees of the same employer. Gorman and the Seafarer's Union complained about the plaintiff to the employer. The plaintiff brought action for damages against Gorman and the Seafarer's Union, claiming defamation and malice.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A letter with regard to the complaints by Gorman and the union had been placed on the plaintiff's file. Mr. Justice Cole of this court dismissed the action and found it was not within the jurisdiction of this court. He found that the letter placed in the plaintiff's file by the employer amounted to discipline, and was within the scope of the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One of the cases put forward by the plaintiffs was Westfair Foods, a decision of the LRB in October, 2000. Westfair operates the Real Canadian Super Store. The union was picketing at various locations, in a manner that Westfair alleged amounted to coercive activity. Westfair claimed the union had interfered with the economic relations between Westfair and one of its suppliers.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Westfair's employees are represented by United Food and Commercial Workers International Union, Local 777. But the union that was picketing was a different local of the same union, Local 1518.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Board found there was no bargaining relationship between Local 1518 and Westfair. At paragraph 25 of the decision, the Board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note that the jurisdiction of the Board is limited to regulating picketing, and does not extend to any accompanying tortious activity. The Board regulates the time and place requirements of picketing, but the manner in which picketing is conducted remains a matter for the courts. The courts retain jurisdiction to deal with any tortious conduct that may accompany picketing.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Board cited with approval the Canex and Better Value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In Haight-Smith, a retired teacher brought a civil action against her former principal, other teachers and staff members, claiming damages for defamation,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malicious or arbitrary treatment. She had previously grieved a suspension.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On appeal, the issue of whether the court had jurisdiction to deal with these allegations was before the court. The court found that it had no jurisdiction. The Court of Appeal set out the appropriate procedures. The court found none of the alleged statements that had been made against the plaintiff had been made outside the sphere of the employment relationship; they all related to her conduct as a teacher. Thus jurisdiction remained with the labour tribunal, rather than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Pepsi-Cola, a decision of the Supreme Court of Canada in January, 2002, was an appeal from a decision of the Saskatchewan Court of Appeal. The union had been picketing at locations other than the employer's premises. It was a lawful strike, and the picketing had spread to secondary locations. The union tried to prevent delivery of Pepsi products. There had also been intimidating conduct outside the homes of certain management personnel. That was found to be tortious conduct, upheld by the Court of Appeal. In that case the court found that the courts can intervene and preserve the interests of third parties or the struck employer where picketing activities cross the line and become tortious or criminal in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Pepsi-Cola, the collective agreement had expired and negotiations for a new collective agreement had broken down. The employer had locked out the employees; the employees had declared a strike; both actions were legal under the Saskatchewan Trade Union Act. Some employees had taken control of part of the employer's premises, disabled some trucks, and threatened management personnel. An interim injunction had been given, and business resumed, with management and substituted labour from another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Things became more difficult again, and it was at that time picketing spread to the secondary locations, for example, retail outlets. Picketing and freedom of expression with regard to the Charter were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court confirmed, "Secondary picketing is generally lawful, unless it involves tortious or criminal conduct." At paragraph 73,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Courts may intervene and preserve the interests of third parties or the struck employer where picketing activity crosses the line and becomes tortious or criminal in nature. It is in this sense that third parties will be protected from "undue" harm in a labour dispute. Torts such as trespass, intimidation, nuisance and inducing breach of contract will protect property interests and ensure free access to private premises. Rights arising out of contracts or business relationships will also receive basic protection. Torts, themselves the creatures of common law, may grow and be adapted to current needs.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A recent decision of our court in December, 2003 by Masuhara J. was in the Paramedical Professional Bargaining Association case. Here the union began action against the Health Employers Association of B.C. ("HEABC") in tort for damages for interference with contractual relations, deceit, unjust enrichment and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employer argued that the action was outside the jurisdiction of the court, and was within the jurisdiction of the LRB. The union's complaint arose because of the collective bargaining regime.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collective agreement had expired. The employer was found to be exerting secret pressure on the government to pass an Act that would impose a collective agreement on the union with less security.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 this case the court followed the reasoning in Weber, and found that the plaintiff had a remedy under the Labour Code, and the jurisdiction lay with the "labour and arbitral tribunals." The jurisdiction was not within that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most recent case cited by the defendants was Fasslane, a decision of our Court of Appeal in 2004. Purolator, the defendant, had a collective agreement with the Teamsters. Members of the Teamsters local included owner/operators who may own their own trucks and drive certain routes for delivery for Purolator. Mr. Culchesky was an owner/operator so defined under the collective agreement. He was carrying on business under his privately held company, Fasslane. Under the collective agreement, the definition of owner/operator included a privately held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There was a disagreement between Fasslane and Purolator with regard to a layoff option concerning routes.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court accepted the submission of Purolator that the evidence raised an issue involving the interpretation and application of the collective agreement, and the chambers judge should have refused jurisdiction over the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It seems quite clear from the findings of fact in the Fasslane case that any question with regard to the interpretation, application or alleged violation of the collective agreement would proceed before the tribunal, and not before the courts. However, the facts are not the same as before the court in this instance.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Finally, there is the case of The Board of Governors of Lethbridge Community College v. Alberta Union of Provincial Employees and Sylvia Babin, </w:t>
      </w:r>
      <w:hyperlink r:id="rId600" w:history="1">
        <w:r>
          <w:rPr>
            <w:rFonts w:ascii="arial" w:eastAsia="arial" w:hAnsi="arial" w:cs="arial"/>
            <w:i/>
            <w:color w:val="0077CC"/>
            <w:sz w:val="20"/>
            <w:u w:val="single"/>
            <w:shd w:val="clear" w:color="auto" w:fill="FFFFFF"/>
            <w:lang w:val="en-US" w:eastAsia="en-US" w:bidi="ar-SA"/>
          </w:rPr>
          <w:t>[2004] 1 S.C.R. 727</w:t>
        </w:r>
      </w:hyperlink>
      <w:r>
        <w:rPr>
          <w:rFonts w:ascii="arial" w:eastAsia="arial" w:hAnsi="arial" w:cs="arial"/>
          <w:color w:val="000000"/>
          <w:sz w:val="20"/>
          <w:lang w:val="en-US" w:eastAsia="en-US" w:bidi="ar-SA"/>
        </w:rPr>
        <w:t xml:space="preserve">, </w:t>
      </w:r>
      <w:hyperlink r:id="rId600" w:history="1">
        <w:r>
          <w:rPr>
            <w:rFonts w:ascii="arial" w:eastAsia="arial" w:hAnsi="arial" w:cs="arial"/>
            <w:i/>
            <w:color w:val="0077CC"/>
            <w:sz w:val="20"/>
            <w:u w:val="single"/>
            <w:shd w:val="clear" w:color="auto" w:fill="FFFFFF"/>
            <w:lang w:val="en-US" w:eastAsia="en-US" w:bidi="ar-SA"/>
          </w:rPr>
          <w:t>2004 SCC 28</w:t>
        </w:r>
      </w:hyperlink>
      <w:r>
        <w:rPr>
          <w:rFonts w:ascii="arial" w:eastAsia="arial" w:hAnsi="arial" w:cs="arial"/>
          <w:color w:val="000000"/>
          <w:sz w:val="20"/>
          <w:lang w:val="en-US" w:eastAsia="en-US" w:bidi="ar-SA"/>
        </w:rPr>
        <w:t>. In this case, an employee was dismissed with just cause. The employee and the union grieved, and the arbitration board awarded damages in lieu of reinstatement.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union and Ms. Babin appealed to the Alberta Court of Queen's Bench for judicial review. That appeal was dismissed. The case then went to the Alberta Court of Appeal, which set aside the decision of the Court of Queen's Bench and ordered the employee reinstated.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employer then appealed to the Supreme Court of Canada, and the appeal was allowed. Reinstatement was found to be within the broad powers of the tribunal. At paragraph 40 of the decision, the court recognized "the broad remedial powers required to give effect to the grievance arbitration process." Former Chief Justice Dickson was quoted, "The whole purpose in establishing a system of grievance adjudication under the Act is to secure prompt, final, and binding settlement of disputes arising out of interpretation or application of the collective agreement, or disciplinary action taken by the employer, all to the end that industrial peace may be maintained."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court confirmed its decisions in St. Anne-Nackawic and Weber, and acknowledged that arbitrators have exclusive jurisdiction when questions of interpretation, application, administration or violation of a collective agreement are involved. And that arbitrators have broad remedial and jurisdictional authority. That this "lies at the very core of resolving workplace disputes." In effect, the case restated the findings in Weber.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In my view, the jurisdiction of this dispute lies with the court. This is not a case where the dispute, in its essential character, arises from the interpretation, application, administration or violation of a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There is no collective agreement between Mainland and IWA Local 1-3567. The only collective agreement to which Mainland is a party is with IWA Local 2171. I agree with counsel for the plaintiffs that there is no privity of contract and therefore no basis for jurisdiction of this dispute to rest with an arbitration board under the Labour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acts complained of are tortious and criminal in their nature. The facts here are more similar to the Westfair case than the Weber decision. The manner in which this picketing was conducted is a matter for the courts, given the allegations. The court must retain jurisdiction to deal with tortious or criminal conduct that may accompany picketing.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Canex decision remains an accurate statement of the law when looking at the question of jurisdiction between the courts and the LRB. In the case here, it is not a matter of interpreting or applying or finding of any violation of a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Weber cautions that instead of looking to the "legal characterization of the wrong", the facts are determinative. In this case, the facts do not establish the necessary contractual basis or underlying collective agreement dispute to bring it within the jurisdiction of the LRB.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When determining jurisdiction between the courts and a tribunal under the Labour Code, it would be difficult to improve on the words of C.J. Nemetz in Better Value which have been cited.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 agree with counsel for the plaintiffs that actions brought by parties under the IWA Constitution are irrelevant with regard to the issue of jurisdiction here. Further, Bill 99 set out an Act to settle a general strike, and set out a process that would settle the collective agreement dispute between FIR and the pertinent locals of the IWA. It did not confer or change any matters of jurisdiction with regard to tortious or criminal conduct as alleged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motions sought by the defendants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Finally, the plaintiffs filed an application seeking orders that the two actions be consolidated and that both actions be tried at the same time, subject to the direction of the trial judge. Those matters were not argued at the time of these applications. This decision on jurisdiction may resolve that application by the plaintiffs. If not, there is liberty to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Also, the plaintiffs have claimed special costs payable forthwith in their written submissions, but costs also were not addressed. The parties may speak to costs at their convenience, either in person or in writing.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MORRISON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2" style="position:absolute;z-index:2517872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01"/>
          <w:headerReference w:type="default" r:id="rId602"/>
          <w:footerReference w:type="even" r:id="rId603"/>
          <w:footerReference w:type="default" r:id="rId604"/>
          <w:headerReference w:type="first" r:id="rId605"/>
          <w:footerReference w:type="first" r:id="rId60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07" w:history="1">
        <w:r>
          <w:rPr>
            <w:rFonts w:ascii="arial" w:eastAsia="arial" w:hAnsi="arial" w:cs="arial"/>
            <w:b/>
            <w:bCs/>
            <w:i/>
            <w:color w:val="0077CC"/>
            <w:kern w:val="32"/>
            <w:sz w:val="28"/>
            <w:szCs w:val="32"/>
            <w:u w:val="single"/>
            <w:shd w:val="clear" w:color="auto" w:fill="FFFFFF"/>
            <w:lang w:val="en-US" w:eastAsia="en-US" w:bidi="ar-SA"/>
          </w:rPr>
          <w:t>McKenna v. Anderson, [2005] B.C.J. No. 119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District Registrar Bouck</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11,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21,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04/4120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119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84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137 A.C.W.S. (3d) 39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Kevin Ryan McKenna, plaintiff, and Travis William Anderson,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3" style="position:absolute;z-index:2516858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1" w:name="Keywords_7"/>
      <w:bookmarkEnd w:id="141"/>
      <w:r>
        <w:rPr>
          <w:rFonts w:ascii="arial" w:eastAsia="arial" w:hAnsi="arial" w:cs="arial"/>
          <w:b/>
          <w:color w:val="000000"/>
          <w:sz w:val="20"/>
          <w:lang w:val="en-US" w:eastAsia="en-US" w:bidi="ar-SA"/>
        </w:rPr>
        <w:t xml:space="preserve">Civil procedure — Costs — Assessment or fixing costs — Considerations — Whether amount fair and reasonable — Disbursements — 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42" w:name="Case Summary_6"/>
            <w:bookmarkEnd w:id="14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Anderson, against the plaintiff, McKenna, for an assessment of McKenna's bill of costs. McKenna had brought a personal injury action against Anderson. McKenna was a passenger in a vehicle driven by Anderson which was involved in a single vehicle accident. McKenna's claim was settled for $40,000 well in advance of trial. Anderson alleged an unidentified driver was the cause of the accident, so ICBC and John Doe had been added as defendants. McKenna's counsel Cameron ordered McKenna's medical records from Dr. McLean as part of his investigation. The records were ordered on three separate occasions, once at ICBC's request. Cameron also retained Barbara Phillips as a rehabilitation consultant. Phillips prepared a written report that was delivered to ICBC. Phillips had to travel to conduct some of her interviews.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43" w:name="Holdings of Court_6"/>
            <w:bookmarkEnd w:id="143"/>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Certain items and disbursements were reduced. The fees relating to Dr. McLean's services were proper and allowed in their entirety. It was proper, though perhaps not necessary to retain Phillips. Phillips reports, however, reached conclusions and made recommendations that were clearly beyond her area of expertise or that usurped the role of the trier of fact. The amount allowed for Phillips's services was substantially reduced and no allowance was made for her travel. The total costs allowed were $3,989.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44" w:name="Counsel_26"/>
      <w:bookmarkEnd w:id="14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4" style="position:absolute;z-index:2517370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Robert W. Cameron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Harold F. Turnham</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5" w:name="Judgment_26"/>
      <w:bookmarkEnd w:id="145"/>
      <w:r>
        <w:pict>
          <v:line id="_x0000_s1125" style="position:absolute;z-index:25178828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6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6" w:name="DISTRICT REGISTRAR BOUCK"/>
            <w:bookmarkEnd w:id="146"/>
            <w:r>
              <w:rPr>
                <w:rFonts w:ascii="arial" w:eastAsia="arial" w:hAnsi="arial" w:cs="arial"/>
                <w:b/>
                <w:color w:val="000000"/>
                <w:sz w:val="30"/>
                <w:lang w:val="en-US" w:eastAsia="en-US" w:bidi="ar-SA"/>
              </w:rPr>
              <w:t>DISTRICT REGISTRAR BOUCK</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assessment of the plaintiff's bill of costs in a personal injury action settled well in advance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takes exception to the units claimed under the various tariff items as well as the following disbursements:</w:t>
      </w:r>
      <w:r>
        <w:rPr>
          <w:rFonts w:ascii="arial" w:eastAsia="arial" w:hAnsi="arial" w:cs="arial"/>
          <w:sz w:val="20"/>
          <w:lang w:val="en-US" w:eastAsia="en-US" w:bidi="ar-SA"/>
        </w:rPr>
        <w:cr/>
      </w:r>
    </w:p>
    <w:p>
      <w:pPr>
        <w:numPr>
          <w:numId w:val="1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Photocopies</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Fax charges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McLean: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4392"/>
        <w:gridCol w:w="1882"/>
        <w:gridCol w:w="219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Feb 18/03 - clinical records</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$138.00</w:t>
            </w:r>
          </w:p>
        </w:tc>
        <w:tc>
          <w:tcPr>
            <w:tcW w:w="2150"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Mar 26/04 - clinical records</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$162.40</w:t>
            </w:r>
          </w:p>
        </w:tc>
        <w:tc>
          <w:tcPr>
            <w:tcW w:w="2150"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Mar 25/03 - consult with OT</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$115.00</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4601"/>
        <w:gridCol w:w="1673"/>
        <w:gridCol w:w="219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Oct. 27/04 - clinical records</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$157.00</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Barbara Phillips:</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June 4/03 - assessment/case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659"/>
        <w:gridCol w:w="2510"/>
        <w:gridCol w:w="324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58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management</w:t>
            </w:r>
          </w:p>
        </w:tc>
        <w:tc>
          <w:tcPr>
            <w:tcW w:w="317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$212.50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1673"/>
        <w:gridCol w:w="2719"/>
        <w:gridCol w:w="1882"/>
        <w:gridCol w:w="219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Apr 9/03 -</w:t>
            </w:r>
          </w:p>
        </w:tc>
        <w:tc>
          <w:tcPr>
            <w:tcW w:w="266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assessment/case</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15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63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66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Management</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$722.50</w:t>
            </w:r>
          </w:p>
        </w:tc>
        <w:tc>
          <w:tcPr>
            <w:tcW w:w="2150"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4705"/>
        <w:gridCol w:w="1569"/>
        <w:gridCol w:w="219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Apr 15/03 - OT assessment report</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$595.00</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support of this bill, the plaintiff relies on the affidavits of Amanda J. Purchase, Philip M. Williams and Barbara D. Phillips, all sworn January 5th, 2005. The defendant did not file any affidavit material in reply. His objections are set out in a typewritten document provided by Mr. Turnham at this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Despite the defendant's criticism of the material, I found the plaintiff's affidavits of justification to be helpful and of superior quality to those typically presented at registrar's hearings.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commenced this action in September 2004. He claims damages flowing from injuries sustained in a single vehicle collision which occurred on January 1st, 2003. At the time of the accident, Mr. McKenna was a passenger in a vehicle driven by the defendant Anderson.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It was subsequently alleged by Anderson that an unidentified driver was the cause of the accident. Hence, on December 16th, 2004, the plaintiff was successful in adding ICBC and John Doe as defendants pursuant to s. 24 of the Insurance (Motor Vehicle)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the statement of claim, the plaintiff alleges various injuries including lacerations of the right side of his head; a concussion and related sequela; injuries to the cervical, thoracic and lumbar spine; and post-traumatic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Cameron was retained shortly after the accident. The defendant's insurer, ICBC, took the position that the tort claim should be denied in its entirety.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Regardless, no fault benefits were paid to the plaintiff, presumably on the basis of medical information from the plaintiff's treating physician, Dr. McLean.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As part of the investigation of his client's claim, Mr. Cameron ordered Dr. McLean's clinical records. Those records were ordered on three separate occasions, at least once at the request of ICBC. Mr. Turnham says that he received only one page of the records. Mr. Cameron was able to produce a more extensive compilation of records but had no specific record of whether that compilation had been delivered to defence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One basis for requesting the clinical records was to investigate the plaintiff's pre-accident medical history. Apparently, Mr. McKenna had been involved in several earlier motor vehicle accidents. Causation of the alleged injuries was very much in issue in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At some point, plaintiff's counsel retained Barbara Phillips of Ergo Rehabilitation Inc. to act as a rehabilitation consultant.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Phillips prepared a written report on April 15th, 2003 which was delivered to ICBC in or about May 2003. In that report, Ms. Phillips describes her qualifications as a physiotherapist and rehabilitation consultant: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role as a Rehabilitation Consultant is to assess and to treat my clients to maximize their function, independence and safety in areas of personal care, domestic management, and vocation and leisure activities. I will assess physical function and set up and monitor exercise rehabilitation programs and provide case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Phillips goes on to state that she will provide recommendations for medical services required to assist in the plaintiff's recovery, a physical assessment of the plaintiff's injuries and a functional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Indeed, the report contains a lengthy recitation of the plaintiff's relevant medical history, pre-accident profile, as well as physical findings. Ms. Phillips purports to make a finding of the plaintiff's cognitive and emotional status: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short term memory loss could be attributed to the substantial head injury that he sustained."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Various recommendations are contained at page 10 of Ms. Phillips' report. They include a referral to a physiatrist (already being made by Dr. McLean); physiotherapy treatments three times weekly (as recommended by Dr. McLean); a work hardening assessment, massage therapy, swim and gym admission and case management of four hours a month "to provide direction and support for the further investigation of his symptoms and his rehabilitation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Phillips provided a progress report on June 4th, 2003. That report reviews both the subjective and objective functionality of the plaintiff. Her comments include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continues to be very anxious about his lost income and lack of money to pay his bills. He dislikes being reliant on his family for his expenses at his 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Further "treatment" recommendations include financial support for wage loss and living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Phillips' invoices are found at Exhibit "M" to the Purchase affidavit. The invoice of April 15th, 2003 shows billing for an assessment, case management, interviews and travel. Ms. Phillips resides in Mill Bay and was required to travel to the Victoria area to conduct some of the interviews. Ms. Phillips charges $85 per hour for her services, except travel which is billed at half that rate, or $42.50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 second invoice of April 15th, 2003 charges $595 for the documentation and preparation of a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final invoice dated June 4th, 2003 charges $212.50 for services rendered between April 22nd to June 4th, 2003 for "reporting".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plaintiff's claim was eventually settled for the sum of $40,000 with costs to be assessed. Pursuant to the terms of settlement, the plaintiff is entitled to recover properly incurred disbursements which relate to a Part 7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TARIFF ITEMS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considering the appropriate number of units for each of the disputed items, I have regard to the principle that one unit is for matters upon which little time should have ordinarily have been spent and that the maximum number of units is for matters upon which a great deal of time should ordinarily have been spent.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assigning of units is a relational exercise in the context of similar cases involving the same subject matter and to civil litigation in general: Vincent v. Foster </w:t>
      </w:r>
      <w:hyperlink r:id="rId608" w:history="1">
        <w:r>
          <w:rPr>
            <w:rFonts w:ascii="arial" w:eastAsia="arial" w:hAnsi="arial" w:cs="arial"/>
            <w:i/>
            <w:color w:val="0077CC"/>
            <w:sz w:val="20"/>
            <w:u w:val="single"/>
            <w:shd w:val="clear" w:color="auto" w:fill="FFFFFF"/>
            <w:lang w:val="en-US" w:eastAsia="en-US" w:bidi="ar-SA"/>
          </w:rPr>
          <w:t>[1992] B.C.J. No. 2494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Item 1: Investigations, Instructions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Although the involvement of the unidentified driver added another element to this case, I do not believe that it overly complicated the investigation of the claim. The claim required an investigation typical to "standard" personal injury claims. In my view, 4 units are appropriate for this item.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Item 3: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addition of ICBC and John Doe required an amendment to the statement of claim. However, in all other respects, the statement of claim is, to use the colloquial, "boilerplate". Having said that, Appendix B does not contemplate a certain number of units for an "average" or typical personal injury pleading: Vincent v Foster, supra, at para 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allow the 3 units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Item 8: Process for discovery and inspection of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produced one list which included thirty-one items under Part 1. Some of those items may be multiple pages. For example, the Medical Services Plan printout covers services for the period from January 1st, 2001 to November 10th, 2003. Although the number of pages of this document is not set out, one would expect there to be multiple pages. Similarly, records from the W.C.B. would likely include multiple pages. However, I have no indication that the documents as a whole were more than ordinarily voluminous.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allow 3 units for this item.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Items 16(a) &amp; 17(b):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parties agree that 1 unit should be allowed for item 16(a) and 2 units for item 17(b)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Item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As a non-discretionary item, 5 units are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 Number of Units:</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 units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2196"/>
        <w:gridCol w:w="2091"/>
        <w:gridCol w:w="219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Multiply by unit value:</w:t>
            </w:r>
          </w:p>
        </w:tc>
        <w:tc>
          <w:tcPr>
            <w:tcW w:w="215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x $80.00 =</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$1,440.00</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019"/>
        <w:gridCol w:w="376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Plus GST ($1,440.00 x 7%) =</w:t>
            </w:r>
          </w:p>
        </w:tc>
        <w:tc>
          <w:tcPr>
            <w:tcW w:w="368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$ 100.80</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91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Plus PST ($1,440.00 x 7%) =</w:t>
            </w:r>
          </w:p>
        </w:tc>
        <w:tc>
          <w:tcPr>
            <w:tcW w:w="368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$ 100.80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241"/>
        <w:gridCol w:w="48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471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$1,641.60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assessment of disbursements is, of course, governed by Rule 57(4) which provides:</w:t>
      </w:r>
      <w:r>
        <w:rPr>
          <w:rFonts w:ascii="arial" w:eastAsia="arial" w:hAnsi="arial" w:cs="arial"/>
          <w:sz w:val="20"/>
          <w:lang w:val="en-US" w:eastAsia="en-US" w:bidi="ar-SA"/>
        </w:rPr>
        <w:cr/>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addition to determining the fees that are to be allowed on an assessment under subrule (1) or (3), the registrar must</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determine which expenses and disbursements have been necessarily or properly incurred in the conduct of the proceeding, and</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allow a reasonable amount for those expenses and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defendant contests both the necessity and the reasonableness of various disbursements. Indeed, Mr. Turnham submits that even if I find the disbursement for Ms. Phillips' services to be necessary or proper, the evidence does not adequately address the reasonableness of the amount charged.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On this last point, I observe that in the absence of any evidence to the contrary, the reasonableness of a disbursement can be determined solely from the evidence of the invoices plus a solicitor's affidavit of justification: Vincent v. Foster, </w:t>
      </w:r>
      <w:hyperlink r:id="rId609" w:history="1">
        <w:r>
          <w:rPr>
            <w:rFonts w:ascii="arial" w:eastAsia="arial" w:hAnsi="arial" w:cs="arial"/>
            <w:i/>
            <w:color w:val="0077CC"/>
            <w:sz w:val="20"/>
            <w:u w:val="single"/>
            <w:shd w:val="clear" w:color="auto" w:fill="FFFFFF"/>
            <w:lang w:val="en-US" w:eastAsia="en-US" w:bidi="ar-SA"/>
          </w:rPr>
          <w:t>[1993] B.C.J. No. 455</w:t>
        </w:r>
      </w:hyperlink>
      <w:r>
        <w:rPr>
          <w:rFonts w:ascii="arial" w:eastAsia="arial" w:hAnsi="arial" w:cs="arial"/>
          <w:color w:val="000000"/>
          <w:sz w:val="20"/>
          <w:lang w:val="en-US" w:eastAsia="en-US" w:bidi="ar-SA"/>
        </w:rPr>
        <w:t xml:space="preserve">, March 1st, 1993, Victoria Registry No. 750/90 rev'g (in part) </w:t>
      </w:r>
      <w:hyperlink r:id="rId608" w:history="1">
        <w:r>
          <w:rPr>
            <w:rFonts w:ascii="arial" w:eastAsia="arial" w:hAnsi="arial" w:cs="arial"/>
            <w:i/>
            <w:color w:val="0077CC"/>
            <w:sz w:val="20"/>
            <w:u w:val="single"/>
            <w:shd w:val="clear" w:color="auto" w:fill="FFFFFF"/>
            <w:lang w:val="en-US" w:eastAsia="en-US" w:bidi="ar-SA"/>
          </w:rPr>
          <w:t>[1992] B.C.J. No. 2494</w:t>
        </w:r>
      </w:hyperlink>
      <w:r>
        <w:rPr>
          <w:rFonts w:ascii="arial" w:eastAsia="arial" w:hAnsi="arial" w:cs="arial"/>
          <w:color w:val="000000"/>
          <w:sz w:val="20"/>
          <w:lang w:val="en-US" w:eastAsia="en-US" w:bidi="ar-SA"/>
        </w:rPr>
        <w:t>. In overruling that aspect of the Master's decision, Melvin J.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addition, the taxing officer may have regard to his own extensive experience in these matters. Garrow J.A. in Re Solicitors (1912), 7 D.L.R. 323 at p. 333 stated (in the context of taxing a solicitor's bill):</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What the value of the services is, is a question of fact, to be determined, as in other cases, by proper evidence, which means, of course, here, the evidence of experts of experience, the Taxing Officer being, of course, at liberty freely to apply his own special knowledge and experience in addition.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also Mohr v. Dent, </w:t>
      </w:r>
      <w:hyperlink r:id="rId610" w:history="1">
        <w:r>
          <w:rPr>
            <w:rFonts w:ascii="arial" w:eastAsia="arial" w:hAnsi="arial" w:cs="arial"/>
            <w:i/>
            <w:color w:val="0077CC"/>
            <w:sz w:val="20"/>
            <w:u w:val="single"/>
            <w:shd w:val="clear" w:color="auto" w:fill="FFFFFF"/>
            <w:lang w:val="en-US" w:eastAsia="en-US" w:bidi="ar-SA"/>
          </w:rPr>
          <w:t>[1983] B.C.J. No. 323</w:t>
        </w:r>
      </w:hyperlink>
      <w:r>
        <w:rPr>
          <w:rFonts w:ascii="arial" w:eastAsia="arial" w:hAnsi="arial" w:cs="arial"/>
          <w:color w:val="000000"/>
          <w:sz w:val="20"/>
          <w:lang w:val="en-US" w:eastAsia="en-US" w:bidi="ar-SA"/>
        </w:rPr>
        <w:t xml:space="preserve"> at p. 13:</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learned Master in his decision in Van Berkel v. Mitchell, Nanaimo Registry, ... said as follows: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Having regard to the eminent qualifications of Dr. Ibrahim, I would allow the plaintiff the maximum amount which for the foregoing reasons, I consider reasonable and justifiable within the meaning of the Rules. I accept the evidence of the defendants, combining it with my own experience as a taxing officer, and I allow the sum of $600.00 ...</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Consequently, I am satisfied that the learned Master erred in deciding that he had no evidence before him upon which he could conclude that the disbursements that he was satisfied were necessarily or properly incurred were also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Bearing these principles in mind, I now turn to the disbursements in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Photocopying: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 claims $146.40 (revised from original bill) as the cost of photocopying some 588 pages. While I appreciate that the plaintiff is not expected to count each page of photocopying to justify this expense, the volume of documents must be necessary or proper considering the nature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Even assuming that all of the plaintiff's documents were copied and sent to defence counsel (or the insurer), I am unable to find that the copying of close to 600 pages was necessary in this proceeding. It may be that some of documents were photocopied to send to the client; that is not a disbursement to be borne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This disbursement is allowed at the sum of $100.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Fax charges: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 claims the sum of $45. The objection to this charge came as a surprise to plaintiff's counsel who was then required to make further investigations during this assessment. Mr. Cameron determined that facsimile pages were charged at the rate of $2 per facsimile.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Again, I am not satisfied that this volume of faxes was required, nor that $2 is a reasonable amount for a facsimile transmission. Accordingly, I allow this disbursement at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McLean, clinical records and consult with 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am satisfied with Mr. Cameron's explanation as to the necessity of ordering Dr. McLean's records on separate occasions. I am also satisfied that, using the B.C.M.A. tariff as the guideline, the amount charged by Dr. McLean for production of these records is reasonable. I would not discount these charges even if only some of the records were delivered to defence counsel. For reasons set out below, I am satisfied that Dr. McLean's consultation fee is proper and reasonable. Accordingly, Dr. McLean's fees are allowed in their entirety.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Barbara Phillips - Assessment/case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Ms. Phillips' charges were the most hotly contested in this assessment. The defendant submits that such a disbursement is neither necessary nor proper as Ms. Phillips is acting as de facto counsel in the proceeding. Indeed, she has usurped the role of both the treating general practitioner and counsel in directing treatment and making recommendations for the prosecution of the plaintiff's claim. The use of such an expert may be convenient to counsel, but the cost should not be visited upon the defendant. In short, Ms. Phillips' role in the proceeding is improper and redundant.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Even if incurring this disbursement was necessary or proper, Mr. Turnham submits that the reasonableness of the hours or the hourly rate is not justified in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Similar objections to a disbursement were raised before Master Baker in Leverman v. Prince George (City) </w:t>
      </w:r>
      <w:hyperlink r:id="rId611" w:history="1">
        <w:r>
          <w:rPr>
            <w:rFonts w:ascii="arial" w:eastAsia="arial" w:hAnsi="arial" w:cs="arial"/>
            <w:i/>
            <w:color w:val="0077CC"/>
            <w:sz w:val="20"/>
            <w:u w:val="single"/>
            <w:shd w:val="clear" w:color="auto" w:fill="FFFFFF"/>
            <w:lang w:val="en-US" w:eastAsia="en-US" w:bidi="ar-SA"/>
          </w:rPr>
          <w:t>[2000] B.C.J. No. 892</w:t>
        </w:r>
      </w:hyperlink>
      <w:r>
        <w:rPr>
          <w:rFonts w:ascii="arial" w:eastAsia="arial" w:hAnsi="arial" w:cs="arial"/>
          <w:color w:val="000000"/>
          <w:sz w:val="20"/>
          <w:lang w:val="en-US" w:eastAsia="en-US" w:bidi="ar-SA"/>
        </w:rPr>
        <w:t>. In that case, the defence challenged the necessity of retaining an occupational therapist on the grounds that, among other things, there was no medical basis for the therapist's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considering whether the disbursement should be allowed, Master Baker summarized the relevant legal principles: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I am assisted in the application of this subrule by several cases. In Bell v. Fantini (#2) </w:t>
      </w:r>
      <w:hyperlink r:id="rId612" w:history="1">
        <w:r>
          <w:rPr>
            <w:rFonts w:ascii="arial" w:eastAsia="arial" w:hAnsi="arial" w:cs="arial"/>
            <w:i/>
            <w:color w:val="0077CC"/>
            <w:sz w:val="20"/>
            <w:u w:val="single"/>
            <w:shd w:val="clear" w:color="auto" w:fill="FFFFFF"/>
            <w:lang w:val="en-US" w:eastAsia="en-US" w:bidi="ar-SA"/>
          </w:rPr>
          <w:t>(1981) 32 B.C.L.R. 322</w:t>
        </w:r>
      </w:hyperlink>
      <w:r>
        <w:rPr>
          <w:rFonts w:ascii="arial" w:eastAsia="arial" w:hAnsi="arial" w:cs="arial"/>
          <w:color w:val="000000"/>
          <w:sz w:val="20"/>
          <w:lang w:val="en-US" w:eastAsia="en-US" w:bidi="ar-SA"/>
        </w:rPr>
        <w:t xml:space="preserve"> the court, in dismissing an appeal from a registrar's findings, described several occasions in which the court is justified in refusing or reducing disbursements: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work duplicates the work already done by two similar experts;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cost is unreasonable, compared to evidence of the cost of other similar experts;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a report includes, improperly, extensive narrative;</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out of province legal counsel are consulted unnecessarily;</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out of province experts are utilized, if there are equivalent and adequate experts locally available;</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expert is not made available for cross-examination;</w:t>
      </w:r>
    </w:p>
    <w:p>
      <w:pPr>
        <w:numPr>
          <w:numId w:val="1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expert's report is not made available to the opposing party;</w:t>
      </w:r>
    </w:p>
    <w:p>
      <w:pPr>
        <w:numPr>
          <w:numId w:val="1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contents of a report are significantly recanted on cross-examination;</w:t>
      </w:r>
    </w:p>
    <w:p>
      <w:pPr>
        <w:numPr>
          <w:numId w:val="1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suggested damages reported by the expert are "preposterous" in the view of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The fact that a report is not used at trial does not, in and of itself, preclude assessing the disbursement. The assessing officer is not to step into the shoes of the ultimate trier of fact, but rather is to focus "on whether, in the circumstances, it was a proper expenditure to fully and properly prepare the case for trial" (Morrissette v. Smith </w:t>
      </w:r>
      <w:hyperlink r:id="rId613" w:history="1">
        <w:r>
          <w:rPr>
            <w:rFonts w:ascii="arial" w:eastAsia="arial" w:hAnsi="arial" w:cs="arial"/>
            <w:i/>
            <w:color w:val="0077CC"/>
            <w:sz w:val="20"/>
            <w:u w:val="single"/>
            <w:shd w:val="clear" w:color="auto" w:fill="FFFFFF"/>
            <w:lang w:val="en-US" w:eastAsia="en-US" w:bidi="ar-SA"/>
          </w:rPr>
          <w:t>(1990) 39 C.P.C. (2d) 30</w:t>
        </w:r>
      </w:hyperlink>
      <w:r>
        <w:rPr>
          <w:rFonts w:ascii="arial" w:eastAsia="arial" w:hAnsi="arial" w:cs="arial"/>
          <w:color w:val="000000"/>
          <w:sz w:val="20"/>
          <w:lang w:val="en-US" w:eastAsia="en-US" w:bidi="ar-SA"/>
        </w:rPr>
        <w:t xml:space="preserve">). Similarly, in considering disbursements incurred in matters ultimately settled, with "... no evidence ... that this report could be considered as useless at trial ..." the disbursement will generally be permitted (Loopstra, Nixon, and McLeish v. Sopko </w:t>
      </w:r>
      <w:hyperlink r:id="rId614" w:history="1">
        <w:r>
          <w:rPr>
            <w:rFonts w:ascii="arial" w:eastAsia="arial" w:hAnsi="arial" w:cs="arial"/>
            <w:i/>
            <w:color w:val="0077CC"/>
            <w:sz w:val="20"/>
            <w:u w:val="single"/>
            <w:shd w:val="clear" w:color="auto" w:fill="FFFFFF"/>
            <w:lang w:val="en-US" w:eastAsia="en-US" w:bidi="ar-SA"/>
          </w:rPr>
          <w:t>[1992] O.J. No. 1875</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Finally, there are instances in which the court can conclude that an expert has been retained prematurely. In Fung v. Berkun (</w:t>
      </w:r>
      <w:hyperlink r:id="rId615" w:history="1">
        <w:r>
          <w:rPr>
            <w:rFonts w:ascii="arial" w:eastAsia="arial" w:hAnsi="arial" w:cs="arial"/>
            <w:i/>
            <w:color w:val="0077CC"/>
            <w:sz w:val="20"/>
            <w:u w:val="single"/>
            <w:shd w:val="clear" w:color="auto" w:fill="FFFFFF"/>
            <w:lang w:val="en-US" w:eastAsia="en-US" w:bidi="ar-SA"/>
          </w:rPr>
          <w:t>(1982) 36 B.C.L.R. 352</w:t>
        </w:r>
      </w:hyperlink>
      <w:r>
        <w:rPr>
          <w:rFonts w:ascii="arial" w:eastAsia="arial" w:hAnsi="arial" w:cs="arial"/>
          <w:color w:val="000000"/>
          <w:sz w:val="20"/>
          <w:lang w:val="en-US" w:eastAsia="en-US" w:bidi="ar-SA"/>
        </w:rPr>
        <w:t>) for example, it was held that an accident reconstruction expert had been retained on behalf of the plaintiff, despite counsel having been advised of the evidence of a lay witness that would very likely qualify or affect the expert's views. At pp. 354 and 355 the court stated: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where factual assumptions must be made before costly expert opinions can be obtained, the disbursement for that opinion must be premised on a thorough and reasonable attempt to ascertain the assumed facts in order to give efficacy to that report.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It is important to remember that the defendant has led no evidence to challenge the cost of either the Kleeman or the Karp reports. I have no evidence to challenge either professional's hourly rate, nor to suggest that another occupational therapist or actuary could have performed equivalent analyses in less time, in less detail, or for less expense.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I am satisfied, in the main, that the reports (in the case of Ms. Kleeman both the 1996 and the 1999 reports) were reasonable and necessary at the time commissioned. The defendant made it absolutely clear in 1995 that it was not prepared to negotiate without some basis for sums discussed; that basis, conventionally, would include the opinions of experts. Similarly, and given the various trial dates set in this matter, it was reasonable for counsel for Ms. Leverman to commission the enquiries and reports of Ms. Kleeman and Mr. Karp in preparation for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 I do not accept defense counsel's submission that there was no medical basis for the enquiry made by Ms. Kleeman. It is possible that, at trial, the medical evidence of the physicians consulted by Ms. Leverman, would not have supported the extent of disability observed by Ms. Kleeman. That, however, together with defense counsel's other submissions about the reports' admissibility or utility, would require me, in a sense, to conduct a vicarious trial, or a civil voire dire. I would have to review all of the evidence reasonably available, and conclude what the trier of fact might have concluded regarding admissibility. In the absence of clear and objective evidence that would compromise the admissibility or utility of the reports, I am not prepared to engage in that process. In Fung v. Berkun, the court found clear and objectively established evidence of facts that, if known to the expert, would almost certainly have affected and/or qualified his conclusions. That is not the case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 am satisfied that it was at least proper, if not necessary, for counsel to retain Ms. Phillips in this proceeding. There were certainly rehabilitation issues within Ms. Phillips apparent expertise to address; it is not for the registrar to second guess counsel on this choice: see McKenzie v. Darke </w:t>
      </w:r>
      <w:hyperlink r:id="rId616" w:history="1">
        <w:r>
          <w:rPr>
            <w:rFonts w:ascii="arial" w:eastAsia="arial" w:hAnsi="arial" w:cs="arial"/>
            <w:i/>
            <w:color w:val="0077CC"/>
            <w:sz w:val="20"/>
            <w:u w:val="single"/>
            <w:shd w:val="clear" w:color="auto" w:fill="FFFFFF"/>
            <w:lang w:val="en-US" w:eastAsia="en-US" w:bidi="ar-SA"/>
          </w:rPr>
          <w:t>[2003] B.C.J. No. 199</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However, having reviewed Ms. Phillips reports, I am also satisfied that some of the conclusions reached or recommendations made by Ms. Phillips are either clearly beyond her area of expertise or usurp the role of the trier of fact: Sengbush v. Priest </w:t>
      </w:r>
      <w:hyperlink r:id="rId617" w:history="1">
        <w:r>
          <w:rPr>
            <w:rFonts w:ascii="arial" w:eastAsia="arial" w:hAnsi="arial" w:cs="arial"/>
            <w:i/>
            <w:color w:val="0077CC"/>
            <w:sz w:val="20"/>
            <w:u w:val="single"/>
            <w:shd w:val="clear" w:color="auto" w:fill="FFFFFF"/>
            <w:lang w:val="en-US" w:eastAsia="en-US" w:bidi="ar-SA"/>
          </w:rPr>
          <w:t>14 B.C.L.R. (2d) 26</w:t>
        </w:r>
      </w:hyperlink>
      <w:r>
        <w:rPr>
          <w:rFonts w:ascii="arial" w:eastAsia="arial" w:hAnsi="arial" w:cs="arial"/>
          <w:color w:val="000000"/>
          <w:sz w:val="20"/>
          <w:lang w:val="en-US" w:eastAsia="en-US" w:bidi="ar-SA"/>
        </w:rPr>
        <w:t xml:space="preserve"> (S.C.). In those respects, I am satisfied that at least part of the reports would have no utility to the trier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am not prepared to say that the report would be entirely useless had the matter proceeded to trial. Some aspects such as the physical testing and parts of the rehabilitation recommendation could have had some utility.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As to the reasonableness of the hourly rate charged, I am satisfied that $85 per hour is reasonable for some of the testing and interview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am not persuaded that any allowance should be made for Ms. Phillips' travel.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result is that the amount allowed for Ms. Phillips' services will be substantially reduced. Such a reduction must be somewhat arbitrary but is based on my experience in assessing similar disbursements. I assess Ms. Phillip's necessary, proper and reasonable charges to be $750 (plus GST).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plaintiff's bill of costs is allowed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973"/>
        <w:gridCol w:w="48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 costs:</w:t>
            </w:r>
          </w:p>
        </w:tc>
        <w:tc>
          <w:tcPr>
            <w:tcW w:w="471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$1,641.60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437"/>
        <w:gridCol w:w="334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 non-taxable disbursements:</w:t>
            </w:r>
          </w:p>
        </w:tc>
        <w:tc>
          <w:tcPr>
            <w:tcW w:w="327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$ 270.00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019"/>
        <w:gridCol w:w="376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91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 taxable disbursements:</w:t>
            </w:r>
          </w:p>
        </w:tc>
        <w:tc>
          <w:tcPr>
            <w:tcW w:w="368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$1,941.19</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869"/>
        <w:gridCol w:w="2718"/>
        <w:gridCol w:w="1046"/>
        <w:gridCol w:w="219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 GST:</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135.88</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764"/>
        <w:gridCol w:w="428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68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 ALLOWED:</w:t>
            </w:r>
          </w:p>
        </w:tc>
        <w:tc>
          <w:tcPr>
            <w:tcW w:w="419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$3,988.67</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DISTRICT REGISTRAR BOUCK</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6" style="position:absolute;z-index:2518220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18"/>
          <w:headerReference w:type="default" r:id="rId619"/>
          <w:footerReference w:type="even" r:id="rId620"/>
          <w:footerReference w:type="default" r:id="rId621"/>
          <w:headerReference w:type="first" r:id="rId622"/>
          <w:footerReference w:type="first" r:id="rId62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24" w:history="1">
        <w:r>
          <w:rPr>
            <w:rFonts w:ascii="arial" w:eastAsia="arial" w:hAnsi="arial" w:cs="arial"/>
            <w:b/>
            <w:bCs/>
            <w:i/>
            <w:color w:val="0077CC"/>
            <w:kern w:val="32"/>
            <w:sz w:val="28"/>
            <w:szCs w:val="32"/>
            <w:u w:val="single"/>
            <w:shd w:val="clear" w:color="auto" w:fill="FFFFFF"/>
            <w:lang w:val="en-US" w:eastAsia="en-US" w:bidi="ar-SA"/>
          </w:rPr>
          <w:t>McNutt v. Canada (Attorney General), [2004] B.C.J. No. 1718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Allan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3 and 4,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20,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S75618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1718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1113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133 A.C.W.S. (3d) 49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Gerald Edwin McNutt, plaintiff, and The Attorney General of Canada, Her Majesty the Queen in Right of the Province of British Columbia, Cst. Kimberley True, Cst. Doug Cameron, Cst. D.M. Muir, Cpl. Robinson, Sgt. Dale Hockley, Tona Maley, Michael Jerry Hacquard,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(48 paras.)</w:t>
      </w:r>
    </w:p>
    <w:p>
      <w:pPr>
        <w:jc w:val="both"/>
        <w:rPr>
          <w:rFonts w:ascii="arial" w:eastAsia="arial" w:hAnsi="arial" w:cs="arial"/>
          <w:sz w:val="20"/>
          <w:lang w:val="en-US" w:eastAsia="en-US" w:bidi="ar-SA"/>
        </w:rPr>
      </w:pPr>
      <w:bookmarkStart w:id="147" w:name="Counsel_27"/>
      <w:bookmarkEnd w:id="14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7" style="position:absolute;z-index:2516869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defendant Tona Maley and HMTQ with respect to the claims against Ms. Maley: Gail M. Dickson,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Appearing on his own behalf: Gerald Edwin McNutt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8" w:name="Judgment_27"/>
      <w:bookmarkEnd w:id="148"/>
      <w:r>
        <w:pict>
          <v:line id="_x0000_s1128" style="position:absolute;z-index:251738112" from="0,12pt" to="512pt,12pt" strokecolor="#009ddb" strokeweight="1.5pt">
            <v:stroke linestyle="single"/>
          </v:line>
        </w:pict>
      </w:r>
    </w:p>
    <w:p>
      <w:p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 Tona Maley applies for an Order pursuant to Rule 19(24), striking the plaintiff's Further Amended Statement of Claim and dismissing the claims against her. In the alternative, she seeks to compel the plaintiff to provide "proper responses" to her request for particulars and an order postponing the discovery of her documents pending their delivery. The plaintiff Mr. McNutt applies for an order that Ms. Maley provide her list of documents relating to the matters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McNutt was owed money by 328633 B.C. Ltd., doing business as Wolfe's Langley Mazda and Wolfe's Subaru ("Wolfe"). On October 30, 2000, he removed a number of magnesium wheels from vehicles in the Wolfe car lot, leaving a note that he would keep them until he was paid. Mr. Hacquard, one of the principals of Wolfe, reported the theft to the police and Mr. McNutt was arrested on October 31, 2000. He was charged with theft under $5,000, possession of stolen property under $5,000, and uttering a threat to Mr. Hacquard to cause death or bodily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his report to Crown counsel, Constable Muir expressed concerns about Mr. McNutt's behaviour: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Attempts were made to take his photograph, but on each occasion that the light was put on, McNutt would put his arm up to block his eyes. His facial expressions changed from calm, almost sleepy, to alert and alarmed repeatedly during my dealings with him. His erratic level of alertness and above-noted responses lead me to believe that McNutt is likely not in a rational and stable frame of mind. It is requested that he be held in order for a psychiatric assessment be conducted.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Cst. True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Complainants wish that it be noted that they fear bodily harm and believe they will be the target of the ACCUSED if he is released without extensive evaluation. Writer is also concerned about the ACCUSED [sic] mental state and feels he unstable [sic] and unpredictable. He was extremely difficult to deal with, he was unable to reason with the members who mainly dealt with him in cells.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Constable True also made reference to an apparent suicide attempt made by Mr. McNutt and a dispute with his landlord. Both of those incidents are denied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McNutt appeared in Provincial Court on November 1, 2000. Ms. Maley appeared as Crown counsel and asked that the accused remain in custody pending a bail hearing. Duty counsel, Mr. Lazier, advised the Court that he understood that the Crown was requesting a psychiatric remand, and that the defence was opposing that. Ms. Maley then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Your Honour, under 516 of the Code the Crown wishes to delay a show cause until Friday. The Crown wishes to have a doctor see him overnight. The police feel that due to the behaviour that he's exhibited that they'd like a doctor to see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Lazier advised the Court that Mr. McNutt had no criminal record or psychiatric history and complained about the rough treatment his client had received when he was arrested. Mr. McNutt had an obviously injured wrist and thumb. After a short discussion about the nature of the charges,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Well, the Crown does have the right to put the matter over. I don't believe there's much I can do for Mr. McNutt. That's how they feel, so I'm sorry. I think I'm going to have to accede to the Crown's request. They're really asking to delay the show cause and they of course have that right. Whether or not they receive a note from a doctor, I think that's probably not a bad idea either. He should certainly receive medical treatment for the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Lazier then asked for a direction that Mr. McNutt receive an x-ray and the judge replied "well, I don't see why that can't be accomplished." Ms. Maley stated that "the doctor will see him hopefully tonight" and there was a further brief exchange about Mr. McNutt's thumb between counsel and the Court. The judge then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Well, all right. He'll see a doctor, in any event, probably tonight. The doctor, at the request of the court, should look at the thumb and determine what is wrong with that. If it requires an x-ray, then he should have an x-ray forthwith. Otherwise over to Friday morning.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Section 516(1) of the Criminal Code governs remands in custody. It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justice may, before or at any time during the course of any proceedings under section 515, on application by the prosecutor or the accused, adjourn the proceedings and remand the accused to custody in prison by warrant in Form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Section 672.11 deals with assessment orders: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court having jurisdiction over an accused in respect of an offence may order an assessment of the mental condition of the accused, if it has reasonable grounds to believe that such evidence is necessary to determine</w:t>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accused is unfit to stand trial;</w:t>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accused was, at the time of the commission of the alleged offence, suffering from a mental disorder so as to be exempt from criminal responsibility by virtue of subsection 16(1)....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It is clear from the exchange between counsel and the Court on November 1, 2000 that: (1) there was no request for a psychiatric assessment of Mr. McNutt under s. 672.11 of the Criminal Code and no such order was made; (2) although several references were made to "a doctor" seeing Mr. McNutt that night, there was no specific reference to him being seen by a psychiatrist or a psychologist; and (3) no order was made that Mr. McNutt be examined by a psychiatrist or psychologist. Further, it is common ground that there is no order for a psychiatric or psychological examination in the Court file. The proceedings sheet notes "Accused to see a doctor to look at his thumb and have x-ray taken if necessary." The box beside "mental disorder" is not marked. Nevertheless, Mr. McNutt's lawyer initially stated to the Court that the reason Crown counsel wished the matter remanded a couple of days was for "a psychiatric remand" and Ms. Maley explained that the reason she wanted a doctor to see him was the police officers' concerns over "the behaviour that he's exhibited". I agree with Mr. McNutt that the judge focused on the need for Mr. McNutt's thumb to be examined but he also noted that the Crown had the right to put the matter over because of its concerns, which clearly related to his behaviour and not to his thumb. The wording of the exchange was ambiguous; it is not clear whether the judge and counsel knew that Mr. McNutt would be detained in custody for the purposes of a mental assessment. He was going to receive physical treatment for his hand but he was obviously not being held in custody for that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That day, Ms. Maley filled out a request form for a psychiatric opinion and ticked the box for "existence of mental illness (including certifiability)". She wrote:</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Police say a/c bizarre behaviour at arrest lead them to believe he has a mental illness.</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victim has concerns re his apparent inability to reason.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intake nurse at the Surrey Pre-trial Centre, Ms. Lynch, wrote on Mr. McNutt's chart that Mr. McNutt was there for a "court ordered" psychiatric evaluation. She noted that he had refused to answer any of her questions, saying that the questions were personal and it was a matter between him and his doctor. The psychiatrist who saw him noted no mental health concerns and wrote "no referral." There is a further notation by a doctor who examined his wrist and thumb.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McNutt was released on November 3, 2000. Following a trial on June 20 and 21, 2001, he was acquitted of all of the charges against him. Apparently, he was successful in a lawsuit against Wolfe in Small Claims Court. In the present action, commenced September 3, 2002, he sued the provincial Crown; Rich Coleman, the provincial Solicitor General; Surrey RCMP members True, Cameron, Robinson, Muir and Hockley; Crown counsel Hughes and Maley; and Mr. Hacquard. He alleges a conspiracy between Mr. Hacquard, the RCMP members and Ms. Maley.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Subsequently, Mr. McNutt consented to a dismissal of his claims against Mr. Coleman. The claim against Mr. Hacquard was struck out but Mr. McNutt was given leave to file a further amended statement of claim against him. On October 29, 2003, Hughes and Maley brought an application before Mr. Justice A.F. Wilson to have the claims against them dismissed. Wilson J. concluded the claims for malicious prosecution or prosecutorial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(assuming such a cause of action exists) had no chance of success and struck them out. He found that the report from Constable Muir formed a basis for Ms. Maley to request a psychiatric or psychological examination. However, Wilson J. concluded that there were other potential causes of action - conspiracy, intentional breach of duty to disclose information, malicious breach of duty and abuse of statutory power - that, although novel causes of action, could be considered generically as "an abuse of process." He referred to the cases of Milgaard v. Kujawa </w:t>
      </w:r>
      <w:hyperlink r:id="rId625" w:history="1">
        <w:r>
          <w:rPr>
            <w:rFonts w:ascii="arial" w:eastAsia="arial" w:hAnsi="arial" w:cs="arial"/>
            <w:i/>
            <w:color w:val="0077CC"/>
            <w:sz w:val="20"/>
            <w:u w:val="single"/>
            <w:shd w:val="clear" w:color="auto" w:fill="FFFFFF"/>
            <w:lang w:val="en-US" w:eastAsia="en-US" w:bidi="ar-SA"/>
          </w:rPr>
          <w:t>(1994), 118 D.L.R. (4th) 653</w:t>
        </w:r>
      </w:hyperlink>
      <w:r>
        <w:rPr>
          <w:rFonts w:ascii="arial" w:eastAsia="arial" w:hAnsi="arial" w:cs="arial"/>
          <w:color w:val="000000"/>
          <w:sz w:val="20"/>
          <w:lang w:val="en-US" w:eastAsia="en-US" w:bidi="ar-SA"/>
        </w:rPr>
        <w:t xml:space="preserve">, </w:t>
      </w:r>
      <w:hyperlink r:id="rId625" w:history="1">
        <w:r>
          <w:rPr>
            <w:rFonts w:ascii="arial" w:eastAsia="arial" w:hAnsi="arial" w:cs="arial"/>
            <w:i/>
            <w:color w:val="0077CC"/>
            <w:sz w:val="20"/>
            <w:u w:val="single"/>
            <w:shd w:val="clear" w:color="auto" w:fill="FFFFFF"/>
            <w:lang w:val="en-US" w:eastAsia="en-US" w:bidi="ar-SA"/>
          </w:rPr>
          <w:t>[1994] 9 W.W.R. 305</w:t>
        </w:r>
      </w:hyperlink>
      <w:r>
        <w:rPr>
          <w:rFonts w:ascii="arial" w:eastAsia="arial" w:hAnsi="arial" w:cs="arial"/>
          <w:color w:val="000000"/>
          <w:sz w:val="20"/>
          <w:lang w:val="en-US" w:eastAsia="en-US" w:bidi="ar-SA"/>
        </w:rPr>
        <w:t xml:space="preserve"> (Sask. C.A.) and Curry v. Vancouver (City) </w:t>
      </w:r>
      <w:hyperlink r:id="rId626" w:history="1">
        <w:r>
          <w:rPr>
            <w:rFonts w:ascii="arial" w:eastAsia="arial" w:hAnsi="arial" w:cs="arial"/>
            <w:i/>
            <w:color w:val="0077CC"/>
            <w:sz w:val="20"/>
            <w:u w:val="single"/>
            <w:shd w:val="clear" w:color="auto" w:fill="FFFFFF"/>
            <w:lang w:val="en-US" w:eastAsia="en-US" w:bidi="ar-SA"/>
          </w:rPr>
          <w:t>[1996] B.C.J. No. 625</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Wilson J. considered the role of Mr. Hughes, and the allegations that Hughes had breached his obligation to disclose information and had not called certain witnesses, and he dismissed the claims against him. However, in his opinion, the claims against Ms. Maley fell on a different footing. In essence, the plaintiff alleges that, through Ms. Maley's abuse of the Court's process, he was made to undergo a psychological evaluation that was not ordered by the Court. Wilson J. stated at paragraphs 31 and 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McNutt alleges that psychological evaluation is the last link in a chain started by Mr. Hacquard's allegations that Mr. McNutt was someone of whom he and his staff were fearful, where there was no basis for that, continuing through the actions of the police after his arrest and resulting in their request for a psychological evaluation, ending with the psychological assessment that was then done at the Surrey Pretrial Centre without court order.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those facts can be proved to be true, and, for the purpose of this application, I must assume they can, they may well give rise to causes of action for conspiracy, a claim for a remedy under s. 24(1) of the Charter, for breach of Mr. McNutt's rights under s. 7 to "life, liberty and security of the person and the right not to be deprived thereof except in accordance with the principles of fundamental justice," as well, perhaps, as breaches of ss. 8,9, and 11(e) of the Charter.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He went on to state that if Mr. McNutt were compelled to undergo a psychiatric assessment without his consent or a Court order, that would be a serious violation of his privacy and his personal security. He concluded: "thus, I am not able to say that it is plain and obvious that such claims against Ms. Maley will fail, and so the action will not be dismissed at this point against Ms. Maley."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Mr. McNutt said that, using the Freedom Of Information And Protection Of Privacy Act, </w:t>
      </w:r>
      <w:r>
        <w:rPr>
          <w:rFonts w:ascii="arial" w:eastAsia="arial" w:hAnsi="arial" w:cs="arial"/>
          <w:i/>
          <w:color w:val="000000"/>
          <w:sz w:val="20"/>
          <w:lang w:val="en-US" w:eastAsia="en-US" w:bidi="ar-SA"/>
        </w:rPr>
        <w:t>R.S.B.C. 1996, c. 165</w:t>
      </w:r>
      <w:r>
        <w:rPr>
          <w:rFonts w:ascii="arial" w:eastAsia="arial" w:hAnsi="arial" w:cs="arial"/>
          <w:color w:val="000000"/>
          <w:sz w:val="20"/>
          <w:lang w:val="en-US" w:eastAsia="en-US" w:bidi="ar-SA"/>
        </w:rPr>
        <w:t>, he had obtained a copy of the authorization signed by Ms. Maley for the psychological or psychiatric examination to which he was subjected but he had not included it in his material. Wilson J. stated that he understood Ms. Dickson to say that there may be a court order authorizing the psychological examination and said that, if that were the case, there would be no cause of action against Ms. Maley. Ms. Dickson advised this court that Wilson J. had misunderstood her submission; her position was that an order under s. 516 of the Criminal Code was sufficient to authorize an overnight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Wilson J. adjourned Ms. Maley's application to enable the parties to document their positions. On November 18, 2003, Wilson J. heard further submissions and concluded that there was a valid basis for Mr. McNutt's concerns. He stated at paragraph 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was also a concern raised that Ms. Maley had not told the court that she was seeking an examination by a psychologist. That is not borne out by the transcript. Nevertheless, it appears that a psychological assessment was done of Mr. McNutt without any court order. There is a real and valid issue as to whether that is proper.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Dickson had filed the affidavit of Mr. Schultes, Regional Crown Counsel, who described an "overnight psychiatric assessment practice [the "Practice"]" of requesting an assessment by a psychiatrist or psychologist without the necessity of a Court order as part of a s. 516 remand. Ms. Maley deposed that she acted, and intended to act, pursuant to and in accordance with that Practice. Wilson J.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Maley says that was what occurred in this case. That may raise a good faith defence on her part, but it does not answer the issue of whether there was, in fact, a psychological examination done of Mr. McNutt without legal authority and contrary to his wishes.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Wilson J. rejected Ms. Maley's submission that s. 516 itself provides the authority to conduct a psychological assessment of a person in custody. He remarked, "it may be convenient to the Crown, but that does not mean that it is right," and noted that an order should have been sought under s. 672.11. He declined to dismiss the action against Ms. Maley. The amended statement of claim having been struck out previously, he gave leave to Mr. McNutt to file a further amended statement of claim alleging fresh causes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McNutt filed his further amended statement of claim on November 25, 2003. Several of the 55 paragraphs relate to Ms. Maley. I will set out the relevant portions of the pleading:</w:t>
      </w:r>
      <w:r>
        <w:rPr>
          <w:rFonts w:ascii="arial" w:eastAsia="arial" w:hAnsi="arial" w:cs="arial"/>
          <w:sz w:val="20"/>
          <w:lang w:val="en-US" w:eastAsia="en-US" w:bidi="ar-SA"/>
        </w:rPr>
        <w:cr/>
      </w:r>
    </w:p>
    <w:p>
      <w:pPr>
        <w:numPr>
          <w:numId w:val="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times and dates unknown Hacquard did conspire directly or indirectly with the R.C.M.P. and Cst. True and Tona Maley with fraudulent intent to portray the plaintiff as mentally ill and to defame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said conduct of Michael Jerry Hacquard and the damage sustained by the plaintiff by the actions of Michael Jerry Hacquard, particulars set out as follows: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By conspiring with Cst. True and the R.C.M.P. and Tona Maley he did in a fraudulent manner try to have the plaintiff viewed as mentally ill and to have the plaintiff held for extensive mental evaluation and in turn the plaintiff's loss of liberty and damage the plaintiff's good name. He did this by relaying to the police and the crown and the court false verbal and written information in a fraudulent manner. This action was fraudulent intent.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arrest of the plaintiff on October 31, 2000 by the R.C.M.P. the plaintiff as [sic] brought before Judge Collingwood on November 1, 2000 to appear for release. At that hearing the Crown counsel member Tona Maley did appear and represent the Crown at this hearing.</w:t>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that hearing Tona Maley did make a verbal application to hold the plaintiff by the way of C.C.C. section 516 as a delay of show cause. Tona Maley was granted her application to remand the plaintiff show case sec. 516 [sic] until Friday November 3, 2000. At no time did Tona Maley seek before that hearing an order from the court to subject the plaintiff to a psychiatric exam or any form of a mental health review. At no time did Tona Maley file the required form in the court file to comply with C.C.C. sec. 516.</w:t>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Tona Maley did with the knowledge that she did not have a court ordered psychiatric exam, did convey the false fact that she did have a court ordered psychiatric exam to the Surrey pre-trial center. By conveying this false fact to the pre-trial centre Tona Maley did commit the act of abuse of process. She did by her authority subject the plaintiff to a psychiatric exam.</w:t>
      </w:r>
    </w:p>
    <w:p>
      <w:pPr>
        <w:numPr>
          <w:numId w:val="1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Tona Maley did conspire with Cst. Kimberly True and Michael Jerry Hacquard to have the plaintiff held for a psychiatric exam. She did conspire to injure the plaintiff.</w:t>
      </w:r>
    </w:p>
    <w:p>
      <w:pPr>
        <w:numPr>
          <w:numId w:val="1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said conduct of Tona Maley and the damage sustained by the plaintiff by the actions of Tona Maley, particulars set out as follows: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Tona Maley was fully aware that she and Cst. True and M.J. Hacquard desired to subject the plaintiff to the humiliation of a psychiatric exam. She had documents from both parties expressing there [sic] desire to fulfill [sic] there [sic] desire for this exam of the plaintiff.</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Tonya [sic] Maley expressed her desire for the exam to the plaintiff's solicitor just before she made her appearance on November 1, 2000 at the plaintiff's release from custody hearing. She did not do this in court.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release from custody hearing the plaintiff made it clear to the court and Tonya [sic] Maley that he was opposed to any psychiatric exam if Tona Maley were to make such an application.</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Tona Maley in her capacity as a [sic] Her Majesty's Provincial Court Crown Member and as a member of the Legal Bar, she is or should be aware that any normal person will consider the term or label of a doctor to mean a person who is a practitioner of medicine and treats physical injury of a person who needs treatment of that injury.</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Tona Maley does or should know that she must act in a lawful manner and follow the procedure and intent of the Criminal Code of Canada. She does or should know that to subject a party to a psychiatric exam requires an order from a court and the proper written warrant of committal with the proper written order for exam.</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Tona Maley does or should know that Crown counsel policies are internal matters which have no legislated authority attached to then [sic] and as such can in no way be considered lawful procedure or excuse.</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Tona Maley does or should know that when a judge makes a direction or order by C.C.C. 516 for that person to see a doctor to look at that persons [sic] injured thumb that that does in no way grant her the ability to convey that she has a court order for a psychiatric exam.</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abuse of process and conspiracy of Tona Maley the plaintiff has suffered damage by way of: Public and personal humiliation, harm to his good name, emotional stress, interference with his life style, loss of his liberty, restriction on his place of residents [sic], general enjoyment of life, breach of Charter Rights and Freedoms sections: 7,9,11(e), 24(1),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Dickson submits that this further amended statement of claim is lacking in particularity, pleads conclusions of law without material facts and fails to disclose proper causes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McNutt asserts that Mr. Schultes' reference to the Practice suggests that there must be, or at least there ought to be, a written document setting out that practice. Mr. McNutt obtained a copy of the Crown Counsel Policy manual, which does not refer to the Practice. Of greater concern, in my view, is the following statement by Mr. Schultes: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psychiatric assessment conducted by the on-call psychiatrist in response to a Request Form by Crown counsel is not conducted pursuant to a court order. Rather, it is an assessment in which the accused may choose to participate voluntarily. The nature of the assessment, including this aspect of it, is typically explained to the accused by the on-call psychiatrist.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McNutt maintains that he considered himself held "captive" and did not believe he was in any position to exercise his right to participate or decline to participate. He says he was told that the assessment was ordered by the Court, and that this is reflected by the intake nurse's notes.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Does the Further Amended Statement of Claim Reveal a Proper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Rule 19(24) of the Rules of Court provides that a pleading may be struck out if</w:t>
      </w:r>
      <w:r>
        <w:rPr>
          <w:rFonts w:ascii="arial" w:eastAsia="arial" w:hAnsi="arial" w:cs="arial"/>
          <w:sz w:val="20"/>
          <w:lang w:val="en-US" w:eastAsia="en-US" w:bidi="ar-SA"/>
        </w:rPr>
        <w:cr/>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may prejudice, embarrass or delay the fair trial or hearing or the proceeding, or</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test for striking pleadings for failing to disclose a cause of action is whether it is "plain and obvious" that the claim is bound to fail. The facts in the pleading are assumed to be true and no evidence is permissible on such an application. The fact that the claim is a novel or difficult one is not a sufficient ground to strike the claim: Hunt v. Carey Canada Inc.,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74 D.L.R. (4th) 321</w:t>
      </w:r>
      <w:r>
        <w:rPr>
          <w:rFonts w:ascii="arial" w:eastAsia="arial" w:hAnsi="arial" w:cs="arial"/>
          <w:color w:val="000000"/>
          <w:sz w:val="20"/>
          <w:lang w:val="en-US" w:eastAsia="en-US" w:bidi="ar-SA"/>
        </w:rPr>
        <w:t>. The burden on the defendant is very high and the Court should exercise its discretion to strike only in the clearest of cases. The pleading should be read generously with allowance for inadequacies due to drafting deficiencies, particularly where the plaintiff is self-represented.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first question is whether Mr. McNutt's claims of conspiracy and abuse of process reveal a cause of action. The comments of Wilson J. are not determinative of this issue. These fresh claims had not then been pled and no case law or submissions were before the Court. Ms. Dickson submits that the essential elements of the tort of abuse of power are a wilful misuse or perversion of the court's process for a purpose extraneous or ulterior to that which the process was designed to serve, as well as resulting damage, and that a claim of "unethical conduct" cannot found a cause of action. She asserts that such a claim must fail because Ms. Maley followed standard Crown procedures or, at most, committed a procedural misstep.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elements of the intentional tort of abuse of or misfeasance in office were considered by Madam Justice L. Smith in M.(V.) v. Stewart </w:t>
      </w:r>
      <w:hyperlink r:id="rId627" w:history="1">
        <w:r>
          <w:rPr>
            <w:rFonts w:ascii="arial" w:eastAsia="arial" w:hAnsi="arial" w:cs="arial"/>
            <w:i/>
            <w:color w:val="0077CC"/>
            <w:sz w:val="20"/>
            <w:u w:val="single"/>
            <w:shd w:val="clear" w:color="auto" w:fill="FFFFFF"/>
            <w:lang w:val="en-US" w:eastAsia="en-US" w:bidi="ar-SA"/>
          </w:rPr>
          <w:t>(2003), 229 D.L.R. (4th) 342</w:t>
        </w:r>
      </w:hyperlink>
      <w:r>
        <w:rPr>
          <w:rFonts w:ascii="arial" w:eastAsia="arial" w:hAnsi="arial" w:cs="arial"/>
          <w:color w:val="000000"/>
          <w:sz w:val="20"/>
          <w:lang w:val="en-US" w:eastAsia="en-US" w:bidi="ar-SA"/>
        </w:rPr>
        <w:t xml:space="preserve">, </w:t>
      </w:r>
      <w:hyperlink r:id="rId627" w:history="1">
        <w:r>
          <w:rPr>
            <w:rFonts w:ascii="arial" w:eastAsia="arial" w:hAnsi="arial" w:cs="arial"/>
            <w:i/>
            <w:color w:val="0077CC"/>
            <w:sz w:val="20"/>
            <w:u w:val="single"/>
            <w:shd w:val="clear" w:color="auto" w:fill="FFFFFF"/>
            <w:lang w:val="en-US" w:eastAsia="en-US" w:bidi="ar-SA"/>
          </w:rPr>
          <w:t>2003 BCSC 1292</w:t>
        </w:r>
      </w:hyperlink>
      <w:r>
        <w:rPr>
          <w:rFonts w:ascii="arial" w:eastAsia="arial" w:hAnsi="arial" w:cs="arial"/>
          <w:color w:val="000000"/>
          <w:sz w:val="20"/>
          <w:lang w:val="en-US" w:eastAsia="en-US" w:bidi="ar-SA"/>
        </w:rPr>
        <w:t xml:space="preserve">, on a Rule 19(24)(a) application. In that case, 19 women sought damages against the defendants with respect to sexual assaults allegedly committed by the defendant Stewart. They sued the College of Physicians and Surgeons on a number of grounds, including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reckless indifference and misfeasance in public office. The College applied to strike out the claims against it. Smith J. reviewed a number of cases setting out the applicable principles governing the intentional tort of abuse of or misfeasance in public office, including: Powder Mountain Resorts Ltd. v. British Columbia </w:t>
      </w:r>
      <w:hyperlink r:id="rId628" w:history="1">
        <w:r>
          <w:rPr>
            <w:rFonts w:ascii="arial" w:eastAsia="arial" w:hAnsi="arial" w:cs="arial"/>
            <w:i/>
            <w:color w:val="0077CC"/>
            <w:sz w:val="20"/>
            <w:u w:val="single"/>
            <w:shd w:val="clear" w:color="auto" w:fill="FFFFFF"/>
            <w:lang w:val="en-US" w:eastAsia="en-US" w:bidi="ar-SA"/>
          </w:rPr>
          <w:t>(2001), 94 B.C.L.R. (3d) 14</w:t>
        </w:r>
      </w:hyperlink>
      <w:r>
        <w:rPr>
          <w:rFonts w:ascii="arial" w:eastAsia="arial" w:hAnsi="arial" w:cs="arial"/>
          <w:color w:val="000000"/>
          <w:sz w:val="20"/>
          <w:lang w:val="en-US" w:eastAsia="en-US" w:bidi="ar-SA"/>
        </w:rPr>
        <w:t xml:space="preserve">, </w:t>
      </w:r>
      <w:hyperlink r:id="rId628" w:history="1">
        <w:r>
          <w:rPr>
            <w:rFonts w:ascii="arial" w:eastAsia="arial" w:hAnsi="arial" w:cs="arial"/>
            <w:i/>
            <w:color w:val="0077CC"/>
            <w:sz w:val="20"/>
            <w:u w:val="single"/>
            <w:shd w:val="clear" w:color="auto" w:fill="FFFFFF"/>
            <w:lang w:val="en-US" w:eastAsia="en-US" w:bidi="ar-SA"/>
          </w:rPr>
          <w:t>2001 BCCA 619</w:t>
        </w:r>
      </w:hyperlink>
      <w:r>
        <w:rPr>
          <w:rFonts w:ascii="arial" w:eastAsia="arial" w:hAnsi="arial" w:cs="arial"/>
          <w:color w:val="000000"/>
          <w:sz w:val="20"/>
          <w:lang w:val="en-US" w:eastAsia="en-US" w:bidi="ar-SA"/>
        </w:rPr>
        <w:t xml:space="preserve">; First National Properties Ltd. v. Highlands (District) </w:t>
      </w:r>
      <w:hyperlink r:id="rId629" w:history="1">
        <w:r>
          <w:rPr>
            <w:rFonts w:ascii="arial" w:eastAsia="arial" w:hAnsi="arial" w:cs="arial"/>
            <w:i/>
            <w:color w:val="0077CC"/>
            <w:sz w:val="20"/>
            <w:u w:val="single"/>
            <w:shd w:val="clear" w:color="auto" w:fill="FFFFFF"/>
            <w:lang w:val="en-US" w:eastAsia="en-US" w:bidi="ar-SA"/>
          </w:rPr>
          <w:t>(2001), 198 D.L.R. (4th) 443</w:t>
        </w:r>
      </w:hyperlink>
      <w:r>
        <w:rPr>
          <w:rFonts w:ascii="arial" w:eastAsia="arial" w:hAnsi="arial" w:cs="arial"/>
          <w:color w:val="000000"/>
          <w:sz w:val="20"/>
          <w:lang w:val="en-US" w:eastAsia="en-US" w:bidi="ar-SA"/>
        </w:rPr>
        <w:t xml:space="preserve">, </w:t>
      </w:r>
      <w:hyperlink r:id="rId629" w:history="1">
        <w:r>
          <w:rPr>
            <w:rFonts w:ascii="arial" w:eastAsia="arial" w:hAnsi="arial" w:cs="arial"/>
            <w:i/>
            <w:color w:val="0077CC"/>
            <w:sz w:val="20"/>
            <w:u w:val="single"/>
            <w:shd w:val="clear" w:color="auto" w:fill="FFFFFF"/>
            <w:lang w:val="en-US" w:eastAsia="en-US" w:bidi="ar-SA"/>
          </w:rPr>
          <w:t>2001 BCCA 305</w:t>
        </w:r>
      </w:hyperlink>
      <w:r>
        <w:rPr>
          <w:rFonts w:ascii="arial" w:eastAsia="arial" w:hAnsi="arial" w:cs="arial"/>
          <w:color w:val="000000"/>
          <w:sz w:val="20"/>
          <w:lang w:val="en-US" w:eastAsia="en-US" w:bidi="ar-SA"/>
        </w:rPr>
        <w:t xml:space="preserve">, leave to appeal to S.C.C. refused, </w:t>
      </w:r>
      <w:hyperlink r:id="rId630" w:history="1">
        <w:r>
          <w:rPr>
            <w:rFonts w:ascii="arial" w:eastAsia="arial" w:hAnsi="arial" w:cs="arial"/>
            <w:i/>
            <w:color w:val="0077CC"/>
            <w:sz w:val="20"/>
            <w:u w:val="single"/>
            <w:shd w:val="clear" w:color="auto" w:fill="FFFFFF"/>
            <w:lang w:val="en-US" w:eastAsia="en-US" w:bidi="ar-SA"/>
          </w:rPr>
          <w:t>[2001] S.C.C.A. No. 365</w:t>
        </w:r>
      </w:hyperlink>
      <w:r>
        <w:rPr>
          <w:rFonts w:ascii="arial" w:eastAsia="arial" w:hAnsi="arial" w:cs="arial"/>
          <w:color w:val="000000"/>
          <w:sz w:val="20"/>
          <w:lang w:val="en-US" w:eastAsia="en-US" w:bidi="ar-SA"/>
        </w:rPr>
        <w:t xml:space="preserve">; Odhavji Estate v. Woodhouse </w:t>
      </w:r>
      <w:hyperlink r:id="rId631" w:history="1">
        <w:r>
          <w:rPr>
            <w:rFonts w:ascii="arial" w:eastAsia="arial" w:hAnsi="arial" w:cs="arial"/>
            <w:i/>
            <w:color w:val="0077CC"/>
            <w:sz w:val="20"/>
            <w:u w:val="single"/>
            <w:shd w:val="clear" w:color="auto" w:fill="FFFFFF"/>
            <w:lang w:val="en-US" w:eastAsia="en-US" w:bidi="ar-SA"/>
          </w:rPr>
          <w:t>(2000), 52 O.R. (3d) 181</w:t>
        </w:r>
      </w:hyperlink>
      <w:r>
        <w:rPr>
          <w:rFonts w:ascii="arial" w:eastAsia="arial" w:hAnsi="arial" w:cs="arial"/>
          <w:color w:val="000000"/>
          <w:sz w:val="20"/>
          <w:lang w:val="en-US" w:eastAsia="en-US" w:bidi="ar-SA"/>
        </w:rPr>
        <w:t xml:space="preserve">, </w:t>
      </w:r>
      <w:hyperlink r:id="rId631" w:history="1">
        <w:r>
          <w:rPr>
            <w:rFonts w:ascii="arial" w:eastAsia="arial" w:hAnsi="arial" w:cs="arial"/>
            <w:i/>
            <w:color w:val="0077CC"/>
            <w:sz w:val="20"/>
            <w:u w:val="single"/>
            <w:shd w:val="clear" w:color="auto" w:fill="FFFFFF"/>
            <w:lang w:val="en-US" w:eastAsia="en-US" w:bidi="ar-SA"/>
          </w:rPr>
          <w:t>194 D.L.R. (4th) 577</w:t>
        </w:r>
      </w:hyperlink>
      <w:r>
        <w:rPr>
          <w:rFonts w:ascii="arial" w:eastAsia="arial" w:hAnsi="arial" w:cs="arial"/>
          <w:color w:val="000000"/>
          <w:sz w:val="20"/>
          <w:lang w:val="en-US" w:eastAsia="en-US" w:bidi="ar-SA"/>
        </w:rPr>
        <w:t xml:space="preserve"> (C.A.), later aff'd in part </w:t>
      </w:r>
      <w:hyperlink r:id="rId632" w:history="1">
        <w:r>
          <w:rPr>
            <w:rFonts w:ascii="arial" w:eastAsia="arial" w:hAnsi="arial" w:cs="arial"/>
            <w:i/>
            <w:color w:val="0077CC"/>
            <w:sz w:val="20"/>
            <w:u w:val="single"/>
            <w:shd w:val="clear" w:color="auto" w:fill="FFFFFF"/>
            <w:lang w:val="en-US" w:eastAsia="en-US" w:bidi="ar-SA"/>
          </w:rPr>
          <w:t>[2003] 3 S.C.R. 263</w:t>
        </w:r>
      </w:hyperlink>
      <w:r>
        <w:rPr>
          <w:rFonts w:ascii="arial" w:eastAsia="arial" w:hAnsi="arial" w:cs="arial"/>
          <w:color w:val="000000"/>
          <w:sz w:val="20"/>
          <w:lang w:val="en-US" w:eastAsia="en-US" w:bidi="ar-SA"/>
        </w:rPr>
        <w:t xml:space="preserve">, </w:t>
      </w:r>
      <w:hyperlink r:id="rId632" w:history="1">
        <w:r>
          <w:rPr>
            <w:rFonts w:ascii="arial" w:eastAsia="arial" w:hAnsi="arial" w:cs="arial"/>
            <w:i/>
            <w:color w:val="0077CC"/>
            <w:sz w:val="20"/>
            <w:u w:val="single"/>
            <w:shd w:val="clear" w:color="auto" w:fill="FFFFFF"/>
            <w:lang w:val="en-US" w:eastAsia="en-US" w:bidi="ar-SA"/>
          </w:rPr>
          <w:t>2003 SCC 69</w:t>
        </w:r>
      </w:hyperlink>
      <w:r>
        <w:rPr>
          <w:rFonts w:ascii="arial" w:eastAsia="arial" w:hAnsi="arial" w:cs="arial"/>
          <w:color w:val="000000"/>
          <w:sz w:val="20"/>
          <w:lang w:val="en-US" w:eastAsia="en-US" w:bidi="ar-SA"/>
        </w:rPr>
        <w:t xml:space="preserve">; Three Rivers District Council v. Bank of England (No. 3), [2000] 3 All E.R. 1, [2002] 2 W.L.R. 1220 (H.L.); and E.(D.) (Guardian ad litem of) v. British Columbia </w:t>
      </w:r>
      <w:hyperlink r:id="rId633" w:history="1">
        <w:r>
          <w:rPr>
            <w:rFonts w:ascii="arial" w:eastAsia="arial" w:hAnsi="arial" w:cs="arial"/>
            <w:i/>
            <w:color w:val="0077CC"/>
            <w:sz w:val="20"/>
            <w:u w:val="single"/>
            <w:shd w:val="clear" w:color="auto" w:fill="FFFFFF"/>
            <w:lang w:val="en-US" w:eastAsia="en-US" w:bidi="ar-SA"/>
          </w:rPr>
          <w:t>(2003), 18 C.C.L.T. (3d) 169</w:t>
        </w:r>
      </w:hyperlink>
      <w:r>
        <w:rPr>
          <w:rFonts w:ascii="arial" w:eastAsia="arial" w:hAnsi="arial" w:cs="arial"/>
          <w:color w:val="000000"/>
          <w:sz w:val="20"/>
          <w:lang w:val="en-US" w:eastAsia="en-US" w:bidi="ar-SA"/>
        </w:rPr>
        <w:t xml:space="preserve">, </w:t>
      </w:r>
      <w:hyperlink r:id="rId633" w:history="1">
        <w:r>
          <w:rPr>
            <w:rFonts w:ascii="arial" w:eastAsia="arial" w:hAnsi="arial" w:cs="arial"/>
            <w:i/>
            <w:color w:val="0077CC"/>
            <w:sz w:val="20"/>
            <w:u w:val="single"/>
            <w:shd w:val="clear" w:color="auto" w:fill="FFFFFF"/>
            <w:lang w:val="en-US" w:eastAsia="en-US" w:bidi="ar-SA"/>
          </w:rPr>
          <w:t>2003 BCSC 1013</w:t>
        </w:r>
      </w:hyperlink>
      <w:r>
        <w:rPr>
          <w:rFonts w:ascii="arial" w:eastAsia="arial" w:hAnsi="arial" w:cs="arial"/>
          <w:color w:val="000000"/>
          <w:sz w:val="20"/>
          <w:lang w:val="en-US" w:eastAsia="en-US" w:bidi="ar-SA"/>
        </w:rPr>
        <w:t>. In the last case, Madam Justice Wedge heard a summary trial of an action by 18 persons who had been sexually sterilized while patients at Essondale Provincial Mental Hospital between 1940 and 1968 pursuant to the Sexual Sterilization Act that has since been repealed. Wedge J. stated at paragraphs 90-92: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Abuse of public office is an intentional tort. Because the subjective intent of the public official is central to the tort, a two-pronged analysis has emerged in the case law to address the two different circumstances in which the complaint might be made. In the leading case of Powder Mountain Resorts Ltd. V. British Columbia [citation omitted], Madam Justice Newbury stated that a plaintiff who relies on this cause of action must establish one of two branches of the tort:</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public official intentionally exercised the power of his office for the purpose of injuring the plaintiff; or</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public official acted knowing that she had no power to do the act and that her conduct would probably injure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both branches of the tort, the subjective intent of the public official is a critical element. As such, the tort of abuse of public office is, in the words of Newbury, J.A., "an exception to the normal disinterest of the civil law in motive underlying conduct, as opposed to the conduct itself."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Because this cause of action requires proof of bad faith or improper purpose, the conduct of the public official will to "most observers, carry the 'stench of dishonesty'", and require clear proof commensurate with the seriousness of the wrong (Powder Mountain Resorts, (supra) per Newbury, J.A. at para.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Odhavji Estate, supra, Odhavji was fatally shot by police officers. His family and estate sued, claiming, inter alia, that the failure of the police officers to co-operate with the Special Investigations Unit constituted misfeasance in a public office by the officers and the Chief of Police. The Supreme Court of Canada concluded that if the facts of the motion to strike were taken as pleaded, it was not plain and obvious that the actions for misfeasance in a public office must fail. As Iaccobucci J. explained at [paragraph] 23, that tort is distinguished by two elements: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First, the public officer must have engaged in deliberate and unlawful conduct in his or her capacity as a public officer. Second, the public officer must have been aware both that his or her conduct was unlawful and that it was likely to harm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Misfeasance in a public office is not directed toward a public officer who inadvertently or negligently failed to adequately discharge the obligations of his or her office; the conduct must have been deliberate.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M.(V.) v. Stewart, supra, Smith J. concluded that the plaintiff's claim based on misfeasance in public office was bound to fail. The plaintiffs had not pleaded the essential elements of the tort, by either alleging "targeted malice" or a knowingly illegal act by the defendant College. "Reckless indifference" on its own was insufficient.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this case, Ms. Dickson submits that Ms. Maley did not commit any intentional wrongful act and merely followed standard Crown procedure. Even if that procedure was incorrect, Ms. Dickson submits, she lacked the necessary mental intention essential to the intentional tort of misfeasance in a public office. That submission would require an examination of the evidence. While those facts, if proven, may ultimately be a complete defence to the claim on its merits, they are not a factor for consideration on a Rule 19(24)(a)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Hunt, supra, Madam Justice Wilson for the Court commented at length on the uncertain state of the law of conspiracy in Canada. For the purpose of deciding whether or not the statement of claim in that case disclosed a reasonable cause of action, she adopted the following passage from Fridman, Law of Torts in Canada, vol. 2 (Toronto: Carswell, 1989-90), pp. 265-266 as a useful summary of the current state of the law in Canada: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modern Canada, therefore, conspiracy as a tort comprehends three distinct situations. In the first place there will be an actionable conspiracy if two or more persons agree and combine to act unlawfully with the predominating purpose of injuring the plaintiff. Second, there will be an actionable conspiracy if the defendants combine to act lawfully with the predominating purpose of injuring the plaintiff. Third, an actionable conspiracy will exist if defendants combine to act unlawfully, their conduct is directed towards the plaintiff ... and the likelihood of injury to the plaintiff is known to the defendants or should have been known to them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While the further amended statement of claim in this case is not a model of linguistic perfection, I consider that it adequately sets out the elements of the torts of abuse of public office and conspiracy. The plaintiff is alleging that Ms. Maley unlawfully acted to have Mr. McNutt subjected to a psychiatric examination without obtaining a Court order by representing to Surrey Pretrial Centre that she had obtained one. Mr. McNutt alleges that her purpose was to injure him and that she acted in concert with the complainant Mr. Hacquard and Cst. True "with fraudulent intent to portray the plaintiff as mentally ill and to defame the plaintiff." He also claims that a number of his Charter rights were infringed.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It is not appropriate, on this application, to outline all of the assertions that Mr. McNutt describes as part of the overall conspiracy. However, it will suffice to note some of the evidence upon which he relies. One exhibit to one of his many affidavits is a photograph of a truck bearing the R.C.M.P. logos; its rear is covered by a prominent advertisement, noting that it has been donated by the complainant, "Wolfe's Langley Mazda". Another exhibit is a telephone conversation between Cst. True and Mr. McNutt on November 10, 2000, apparently transcribed by the latter. Mr. McNutt had earlier attended at Cst. True's office to request that his property be returned. She was not there and later telephoned him at his residence. After a brief acrimonious exchange in which Cst. True asked him if he had gone to Court on Thursday and Mr. McNutt did not reply, she apparently stated: "you're going to have to go through a whole bunch of paper work and applications to get your shit back if you don't tell me right now if you had shown up in court Thursday."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Ms. Dickson submits that Wilson J. was not asked to consider Folland v. Ontario </w:t>
      </w:r>
      <w:hyperlink r:id="rId634" w:history="1">
        <w:r>
          <w:rPr>
            <w:rFonts w:ascii="arial" w:eastAsia="arial" w:hAnsi="arial" w:cs="arial"/>
            <w:i/>
            <w:color w:val="0077CC"/>
            <w:sz w:val="20"/>
            <w:u w:val="single"/>
            <w:shd w:val="clear" w:color="auto" w:fill="FFFFFF"/>
            <w:lang w:val="en-US" w:eastAsia="en-US" w:bidi="ar-SA"/>
          </w:rPr>
          <w:t>(2003), 64 O.R. (3d) 89</w:t>
        </w:r>
      </w:hyperlink>
      <w:r>
        <w:rPr>
          <w:rFonts w:ascii="arial" w:eastAsia="arial" w:hAnsi="arial" w:cs="arial"/>
          <w:color w:val="000000"/>
          <w:sz w:val="20"/>
          <w:lang w:val="en-US" w:eastAsia="en-US" w:bidi="ar-SA"/>
        </w:rPr>
        <w:t xml:space="preserve">, </w:t>
      </w:r>
      <w:hyperlink r:id="rId634" w:history="1">
        <w:r>
          <w:rPr>
            <w:rFonts w:ascii="arial" w:eastAsia="arial" w:hAnsi="arial" w:cs="arial"/>
            <w:i/>
            <w:color w:val="0077CC"/>
            <w:sz w:val="20"/>
            <w:u w:val="single"/>
            <w:shd w:val="clear" w:color="auto" w:fill="FFFFFF"/>
            <w:lang w:val="en-US" w:eastAsia="en-US" w:bidi="ar-SA"/>
          </w:rPr>
          <w:t>225 D.L.R. (4th) 50</w:t>
        </w:r>
      </w:hyperlink>
      <w:r>
        <w:rPr>
          <w:rFonts w:ascii="arial" w:eastAsia="arial" w:hAnsi="arial" w:cs="arial"/>
          <w:color w:val="000000"/>
          <w:sz w:val="20"/>
          <w:lang w:val="en-US" w:eastAsia="en-US" w:bidi="ar-SA"/>
        </w:rPr>
        <w:t xml:space="preserve"> (C.A.), leave to appeal to S.C.C. refused, </w:t>
      </w:r>
      <w:hyperlink r:id="rId635" w:history="1">
        <w:r>
          <w:rPr>
            <w:rFonts w:ascii="arial" w:eastAsia="arial" w:hAnsi="arial" w:cs="arial"/>
            <w:i/>
            <w:color w:val="0077CC"/>
            <w:sz w:val="20"/>
            <w:u w:val="single"/>
            <w:shd w:val="clear" w:color="auto" w:fill="FFFFFF"/>
            <w:lang w:val="en-US" w:eastAsia="en-US" w:bidi="ar-SA"/>
          </w:rPr>
          <w:t>[2003] S.C.C.A. No. 249</w:t>
        </w:r>
      </w:hyperlink>
      <w:r>
        <w:rPr>
          <w:rFonts w:ascii="arial" w:eastAsia="arial" w:hAnsi="arial" w:cs="arial"/>
          <w:color w:val="000000"/>
          <w:sz w:val="20"/>
          <w:lang w:val="en-US" w:eastAsia="en-US" w:bidi="ar-SA"/>
        </w:rPr>
        <w:t>. In that case, the plaintiff was falsely convicted of sexually assaulting a woman and, after serving 2 1/2 years in prison, he was exonerated by DNA testing. The Court of Appeal ordered a new trial and the Crown stayed the charges. The plaintiff sued the Crown and the police authorities for malicious prosecution, abuse of process, conspiracy to injure and intentional infliction of harm. The Crown brought a motion to strike the last three claims as disclosing no cause of action. The motions judge struck out those claims but the Court of Appeal allowed the appeal. Weiler J.A. for the Court stated at [paragraph] 22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jurisprudence is not fully settled as to whether the four elements for the tort of malicious prosecution must always be proven in every civil action against a prosecutor.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These elements are: (1) the proceedings must have been initiated by the defendant; (2) the proceedings must have terminated in favour of the plaintiff; (3) there must be an absence of reasonable and probable cause; and (4) there must be malice or a primary purpose other than that of carrying the law into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Weiler J.A. went on to 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also not clear that, if the four elements are established, a plaintiff is restricted to framing the action as one of malicious prosecution rather than as one of conspiracy, abuse of process or intentional infliction of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Accordingly, it was considered inappropriate to strike out the claims at that stage of the proceedings. The Crown had not moved to strike out the plaintiff's claims of malicious prosecution and a breach of his Charter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In the present case, Wilson J. found that there was no basis for the claims of malicious prosecution against Crown counsel. However, in my opinion, Folland exemplifies and underscores the unsettled nature of the jurisprudence in the area of claims against Crown counsel. Until Nelles v. Ontario, </w:t>
      </w:r>
      <w:hyperlink r:id="rId636" w:history="1">
        <w:r>
          <w:rPr>
            <w:rFonts w:ascii="arial" w:eastAsia="arial" w:hAnsi="arial" w:cs="arial"/>
            <w:i/>
            <w:color w:val="0077CC"/>
            <w:sz w:val="20"/>
            <w:u w:val="single"/>
            <w:shd w:val="clear" w:color="auto" w:fill="FFFFFF"/>
            <w:lang w:val="en-US" w:eastAsia="en-US" w:bidi="ar-SA"/>
          </w:rPr>
          <w:t>[1989] 2 S.C.R. 170</w:t>
        </w:r>
      </w:hyperlink>
      <w:r>
        <w:rPr>
          <w:rFonts w:ascii="arial" w:eastAsia="arial" w:hAnsi="arial" w:cs="arial"/>
          <w:color w:val="000000"/>
          <w:sz w:val="20"/>
          <w:lang w:val="en-US" w:eastAsia="en-US" w:bidi="ar-SA"/>
        </w:rPr>
        <w:t xml:space="preserve">, </w:t>
      </w:r>
      <w:hyperlink r:id="rId636" w:history="1">
        <w:r>
          <w:rPr>
            <w:rFonts w:ascii="arial" w:eastAsia="arial" w:hAnsi="arial" w:cs="arial"/>
            <w:i/>
            <w:color w:val="0077CC"/>
            <w:sz w:val="20"/>
            <w:u w:val="single"/>
            <w:shd w:val="clear" w:color="auto" w:fill="FFFFFF"/>
            <w:lang w:val="en-US" w:eastAsia="en-US" w:bidi="ar-SA"/>
          </w:rPr>
          <w:t>60 D.L.R. (4th), 609</w:t>
        </w:r>
      </w:hyperlink>
      <w:r>
        <w:rPr>
          <w:rFonts w:ascii="arial" w:eastAsia="arial" w:hAnsi="arial" w:cs="arial"/>
          <w:color w:val="000000"/>
          <w:sz w:val="20"/>
          <w:lang w:val="en-US" w:eastAsia="en-US" w:bidi="ar-SA"/>
        </w:rPr>
        <w:t xml:space="preserve">, a Crown counsel was considered to have absolute immunity with respect to claims arising from his or her conduct of a prosecution. In that case, the Supreme Court of Canada carved out a narrow exception in the case of malicious prosecution. In Proulx v. Quebec (Attorney General), </w:t>
      </w:r>
      <w:hyperlink r:id="rId637" w:history="1">
        <w:r>
          <w:rPr>
            <w:rFonts w:ascii="arial" w:eastAsia="arial" w:hAnsi="arial" w:cs="arial"/>
            <w:i/>
            <w:color w:val="0077CC"/>
            <w:sz w:val="20"/>
            <w:u w:val="single"/>
            <w:shd w:val="clear" w:color="auto" w:fill="FFFFFF"/>
            <w:lang w:val="en-US" w:eastAsia="en-US" w:bidi="ar-SA"/>
          </w:rPr>
          <w:t>[2001] 3 S.C.R. 9</w:t>
        </w:r>
      </w:hyperlink>
      <w:r>
        <w:rPr>
          <w:rFonts w:ascii="arial" w:eastAsia="arial" w:hAnsi="arial" w:cs="arial"/>
          <w:color w:val="000000"/>
          <w:sz w:val="20"/>
          <w:lang w:val="en-US" w:eastAsia="en-US" w:bidi="ar-SA"/>
        </w:rPr>
        <w:t xml:space="preserve">, </w:t>
      </w:r>
      <w:hyperlink r:id="rId637" w:history="1">
        <w:r>
          <w:rPr>
            <w:rFonts w:ascii="arial" w:eastAsia="arial" w:hAnsi="arial" w:cs="arial"/>
            <w:i/>
            <w:color w:val="0077CC"/>
            <w:sz w:val="20"/>
            <w:u w:val="single"/>
            <w:shd w:val="clear" w:color="auto" w:fill="FFFFFF"/>
            <w:lang w:val="en-US" w:eastAsia="en-US" w:bidi="ar-SA"/>
          </w:rPr>
          <w:t>2001 SCC 66</w:t>
        </w:r>
      </w:hyperlink>
      <w:r>
        <w:rPr>
          <w:rFonts w:ascii="arial" w:eastAsia="arial" w:hAnsi="arial" w:cs="arial"/>
          <w:color w:val="000000"/>
          <w:sz w:val="20"/>
          <w:lang w:val="en-US" w:eastAsia="en-US" w:bidi="ar-SA"/>
        </w:rPr>
        <w:t>, the Court affirmed Nelles, but referred, at [paragraph] 9, to the four requirements of "an action in damages based on prosecutorial misconduct", a broader term than "malicious prosecution."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Are the plaintiff's pleadings frivolous, vexatious, embarrassing or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In contrast to the bar prohibiting evidence on the first branch of Rule 19(24), evidence is admissible on an application brought pursuant to Rule 19(24) (b) through (d). Ms. Dickson submits that the statement of claim, which erroneously alleges serious wrongdoing against Ms. Maley, is frivolous, vexatious and embarrassing. A pleading is frivolous if it is without substance, is groundless, fanciful, "trifles with the court" or wastes time: Borsato v. Basra </w:t>
      </w:r>
      <w:hyperlink r:id="rId638" w:history="1">
        <w:r>
          <w:rPr>
            <w:rFonts w:ascii="arial" w:eastAsia="arial" w:hAnsi="arial" w:cs="arial"/>
            <w:i/>
            <w:color w:val="0077CC"/>
            <w:sz w:val="20"/>
            <w:u w:val="single"/>
            <w:shd w:val="clear" w:color="auto" w:fill="FFFFFF"/>
            <w:lang w:val="en-US" w:eastAsia="en-US" w:bidi="ar-SA"/>
          </w:rPr>
          <w:t>(2000), 43 C.P.C. (4th) 96</w:t>
        </w:r>
      </w:hyperlink>
      <w:r>
        <w:rPr>
          <w:rFonts w:ascii="arial" w:eastAsia="arial" w:hAnsi="arial" w:cs="arial"/>
          <w:color w:val="000000"/>
          <w:sz w:val="20"/>
          <w:lang w:val="en-US" w:eastAsia="en-US" w:bidi="ar-SA"/>
        </w:rPr>
        <w:t xml:space="preserve">, </w:t>
      </w:r>
      <w:hyperlink r:id="rId638" w:history="1">
        <w:r>
          <w:rPr>
            <w:rFonts w:ascii="arial" w:eastAsia="arial" w:hAnsi="arial" w:cs="arial"/>
            <w:i/>
            <w:color w:val="0077CC"/>
            <w:sz w:val="20"/>
            <w:u w:val="single"/>
            <w:shd w:val="clear" w:color="auto" w:fill="FFFFFF"/>
            <w:lang w:val="en-US" w:eastAsia="en-US" w:bidi="ar-SA"/>
          </w:rPr>
          <w:t>2000 BCSC 28</w:t>
        </w:r>
      </w:hyperlink>
      <w:r>
        <w:rPr>
          <w:rFonts w:ascii="arial" w:eastAsia="arial" w:hAnsi="arial" w:cs="arial"/>
          <w:color w:val="000000"/>
          <w:sz w:val="20"/>
          <w:lang w:val="en-US" w:eastAsia="en-US" w:bidi="ar-SA"/>
        </w:rPr>
        <w:t>. In that case, the defendant's solicitor had filed a statement of defence that Master Baker described as "a triumph in minimalism that would gladden the heart of John Cage." It read as follows: "Except where expressly admitted, the defendants deny the allegations of fact in the Statement of Claim." No admissions were made. Master Baker dismissed the defence as frivolous. He also found the pleading vexatious and embarrassing.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A pleading is embarrassing if it does not state the real issue in an intelligible form. It is also embarrassing if it is prolix, includes irrelevant facts, argument or evidence. It is prejudicial if it is constructed in a manner calculated to confuse the defendants and make it difficult, if not impossible, to answer: Kuhn v. American Credit Indemnity Co., </w:t>
      </w:r>
      <w:hyperlink r:id="rId639" w:history="1">
        <w:r>
          <w:rPr>
            <w:rFonts w:ascii="arial" w:eastAsia="arial" w:hAnsi="arial" w:cs="arial"/>
            <w:i/>
            <w:color w:val="0077CC"/>
            <w:sz w:val="20"/>
            <w:u w:val="single"/>
            <w:shd w:val="clear" w:color="auto" w:fill="FFFFFF"/>
            <w:lang w:val="en-US" w:eastAsia="en-US" w:bidi="ar-SA"/>
          </w:rPr>
          <w:t>[1992] B.C.J. No. 953</w:t>
        </w:r>
      </w:hyperlink>
      <w:r>
        <w:rPr>
          <w:rFonts w:ascii="arial" w:eastAsia="arial" w:hAnsi="arial" w:cs="arial"/>
          <w:color w:val="000000"/>
          <w:sz w:val="20"/>
          <w:lang w:val="en-US" w:eastAsia="en-US" w:bidi="ar-SA"/>
        </w:rPr>
        <w:t xml:space="preserve"> (S.C.). In Kuhn, the statement of claim, which was 456 numbered paragraphs in length, consisted of irrelevant facts, argument or evidence. It was almost impossible for the defendant to reply to the document and the facts, even if proven, would not make out the cause of action that the plaintiff sought to advance.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A pleading is an abuse of process if the litigation process is used for an improper purpose; e.g. where the proceedings constitute a sham, where the process of the court is not being fairly or honestly used, or is employed for some ulterior or improper purpose: Babavic v. Babowech, </w:t>
      </w:r>
      <w:hyperlink r:id="rId640" w:history="1">
        <w:r>
          <w:rPr>
            <w:rFonts w:ascii="arial" w:eastAsia="arial" w:hAnsi="arial" w:cs="arial"/>
            <w:i/>
            <w:color w:val="0077CC"/>
            <w:sz w:val="20"/>
            <w:u w:val="single"/>
            <w:shd w:val="clear" w:color="auto" w:fill="FFFFFF"/>
            <w:lang w:val="en-US" w:eastAsia="en-US" w:bidi="ar-SA"/>
          </w:rPr>
          <w:t>[1993] B.C.J. No. 1802</w:t>
        </w:r>
      </w:hyperlink>
      <w:r>
        <w:rPr>
          <w:rFonts w:ascii="arial" w:eastAsia="arial" w:hAnsi="arial" w:cs="arial"/>
          <w:color w:val="000000"/>
          <w:sz w:val="20"/>
          <w:lang w:val="en-US" w:eastAsia="en-US" w:bidi="ar-SA"/>
        </w:rPr>
        <w:t xml:space="preserve"> (S.C.); Drinking Driving Awareness Corp. v. British Columbia (5 December 2003), New Westminster Registry S78513. In Babavic, the Court found that the plaintiffs' action was an abuse of the court's process because it was a vexatious suit without merit brought with the sole motive and intent to harass one of the defendants and interfere with her ability to enforce a judgment. In Drinking Driving Awareness Corp., the Court struck out the plaintiffs' claims against a number of defendants including Her Majesty the Queen, the Premier, the Provincial and Federal Attorney Generals and a Crown counsel. The plaintiffs did not attend the application, which was brought by some, but not all, of the defendants. Madam Justice Koenigsberg found the statement of claim and particulars incomprehensible and incapable of amendment. Invoking her inherent jurisdiction, she dismissed the action in its entirety, even against the defendants who had not brought an application to strike.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pleadings against Ms. Maley in the statement of claim, while not a model of clarity, are not of the egregious nature found in the cases I was referred to by Ms. Dickson. I conclude that there is no basis for striking out the relevant portions of Mr. McNutt's claim and dismissing his action against Ms. Maley.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defendant's application for particulars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Ms. Dickson submits that a defendant will not generally be called upon to answer an allegation of serious misconduct concerning which no evidence is presented and no particulars are given. She cites Proconic Electronics Ltd. v. Wong </w:t>
      </w:r>
      <w:hyperlink r:id="rId641" w:history="1">
        <w:r>
          <w:rPr>
            <w:rFonts w:ascii="arial" w:eastAsia="arial" w:hAnsi="arial" w:cs="arial"/>
            <w:i/>
            <w:color w:val="0077CC"/>
            <w:sz w:val="20"/>
            <w:u w:val="single"/>
            <w:shd w:val="clear" w:color="auto" w:fill="FFFFFF"/>
            <w:lang w:val="en-US" w:eastAsia="en-US" w:bidi="ar-SA"/>
          </w:rPr>
          <w:t>(1985), 67 B.C.L.R. 237</w:t>
        </w:r>
      </w:hyperlink>
      <w:r>
        <w:rPr>
          <w:rFonts w:ascii="arial" w:eastAsia="arial" w:hAnsi="arial" w:cs="arial"/>
          <w:color w:val="000000"/>
          <w:sz w:val="20"/>
          <w:lang w:val="en-US" w:eastAsia="en-US" w:bidi="ar-SA"/>
        </w:rPr>
        <w:t xml:space="preserve"> (S.C.); McFarlane v. Thornberg, </w:t>
      </w:r>
      <w:hyperlink r:id="rId642" w:history="1">
        <w:r>
          <w:rPr>
            <w:rFonts w:ascii="arial" w:eastAsia="arial" w:hAnsi="arial" w:cs="arial"/>
            <w:i/>
            <w:color w:val="0077CC"/>
            <w:sz w:val="20"/>
            <w:u w:val="single"/>
            <w:shd w:val="clear" w:color="auto" w:fill="FFFFFF"/>
            <w:lang w:val="en-US" w:eastAsia="en-US" w:bidi="ar-SA"/>
          </w:rPr>
          <w:t>[1997] B.C.J. No. 1849</w:t>
        </w:r>
      </w:hyperlink>
      <w:r>
        <w:rPr>
          <w:rFonts w:ascii="arial" w:eastAsia="arial" w:hAnsi="arial" w:cs="arial"/>
          <w:color w:val="000000"/>
          <w:sz w:val="20"/>
          <w:lang w:val="en-US" w:eastAsia="en-US" w:bidi="ar-SA"/>
        </w:rPr>
        <w:t xml:space="preserve"> (S.C.); and Peers v. Belkin Estate, </w:t>
      </w:r>
      <w:hyperlink r:id="rId643" w:history="1">
        <w:r>
          <w:rPr>
            <w:rFonts w:ascii="arial" w:eastAsia="arial" w:hAnsi="arial" w:cs="arial"/>
            <w:i/>
            <w:color w:val="0077CC"/>
            <w:sz w:val="20"/>
            <w:u w:val="single"/>
            <w:shd w:val="clear" w:color="auto" w:fill="FFFFFF"/>
            <w:lang w:val="en-US" w:eastAsia="en-US" w:bidi="ar-SA"/>
          </w:rPr>
          <w:t>[1989] B.C.J. No. 2026</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Ms. Maley has served a number of requests for particulars on Mr. McNutt following his original statement of claim and his amended and further amended claims. Mr. McNutt has provided responses to those requests. Ms. Dickson submits that his last response of May 3, 2004 to her request made on December 12, 2003 is inadequate. She asserts that his responses fail to particularize the claims meaningfully, fail to plead material facts and the constituent elements of the causes of action alleged, and are prolix, convoluted, vague, confusing, unsubstantiated and inadequate. As a result, she submits his claims against Ms. Maley should be struck or further and better particulars should be ordered.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McNutt's response to the request for particulars is obviously prepared by a lay litigant rather than by counsel in terms of his choice of words and grammar. It is not a model of perfection. However, I would not describe it as unresponsive or incomprehensible. It particularizes, at some length, what Mr. McNutt alleges are the improper acts of Ms. Maley, her role in the alleged conspiracy with Mr. Hacquard and Cst. True, and the damage he suffered as a result. In my opinion, Ms. Maley has sufficient notice of the case she must meet.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Document disclosure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Having found the plaintiff's particulars sufficient, it follows that Ms. Maley should provide her documents in response to Mr. McNutt's demand for disclosure. Pursuant to Rule 26, Ms. Maley is to deliver a list, in Form 93, of the documents that are or have been in her possession or control relating to the matters at issue in this action. That list is to be delivered within 14 days of this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McNutt is entitled to his costs at scale 3 in any event of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ALLAN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9" style="position:absolute;z-index:2517893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44"/>
          <w:headerReference w:type="default" r:id="rId645"/>
          <w:footerReference w:type="even" r:id="rId646"/>
          <w:footerReference w:type="default" r:id="rId647"/>
          <w:headerReference w:type="first" r:id="rId648"/>
          <w:footerReference w:type="first" r:id="rId64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50" w:history="1">
        <w:r>
          <w:rPr>
            <w:rFonts w:ascii="arial" w:eastAsia="arial" w:hAnsi="arial" w:cs="arial"/>
            <w:b/>
            <w:bCs/>
            <w:i/>
            <w:color w:val="0077CC"/>
            <w:kern w:val="32"/>
            <w:sz w:val="28"/>
            <w:szCs w:val="32"/>
            <w:u w:val="single"/>
            <w:shd w:val="clear" w:color="auto" w:fill="FFFFFF"/>
            <w:lang w:val="en-US" w:eastAsia="en-US" w:bidi="ar-SA"/>
          </w:rPr>
          <w:t>Morris v. John Doe, [2011] B.C.J. No. 1488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K.M. Ker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28,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3,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M107047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1488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51" w:history="1">
        <w:r>
          <w:rPr>
            <w:rFonts w:ascii="arial" w:eastAsia="arial" w:hAnsi="arial" w:cs="arial"/>
            <w:i/>
            <w:color w:val="0077CC"/>
            <w:sz w:val="20"/>
            <w:u w:val="single"/>
            <w:shd w:val="clear" w:color="auto" w:fill="FFFFFF"/>
            <w:lang w:val="en-US" w:eastAsia="en-US" w:bidi="ar-SA"/>
          </w:rPr>
          <w:t>2011 BCSC 1053</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51" w:history="1">
        <w:r>
          <w:rPr>
            <w:rFonts w:ascii="arial" w:eastAsia="arial" w:hAnsi="arial" w:cs="arial"/>
            <w:i/>
            <w:color w:val="0077CC"/>
            <w:sz w:val="20"/>
            <w:u w:val="single"/>
            <w:shd w:val="clear" w:color="auto" w:fill="FFFFFF"/>
            <w:lang w:val="en-US" w:eastAsia="en-US" w:bidi="ar-SA"/>
          </w:rPr>
          <w:t>7 C.P.C. (7th) 291</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51" w:history="1">
        <w:r>
          <w:rPr>
            <w:rFonts w:ascii="arial" w:eastAsia="arial" w:hAnsi="arial" w:cs="arial"/>
            <w:i/>
            <w:color w:val="0077CC"/>
            <w:sz w:val="20"/>
            <w:u w:val="single"/>
            <w:shd w:val="clear" w:color="auto" w:fill="FFFFFF"/>
            <w:lang w:val="en-US" w:eastAsia="en-US" w:bidi="ar-SA"/>
          </w:rPr>
          <w:t>[2011] I.L.R. I-5184</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51" w:history="1">
        <w:r>
          <w:rPr>
            <w:rFonts w:ascii="arial" w:eastAsia="arial" w:hAnsi="arial" w:cs="arial"/>
            <w:i/>
            <w:color w:val="0077CC"/>
            <w:sz w:val="20"/>
            <w:u w:val="single"/>
            <w:shd w:val="clear" w:color="auto" w:fill="FFFFFF"/>
            <w:lang w:val="en-US" w:eastAsia="en-US" w:bidi="ar-SA"/>
          </w:rPr>
          <w:t>100 C.C.L.I. (4th) 311</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51" w:history="1">
        <w:r>
          <w:rPr>
            <w:rFonts w:ascii="arial" w:eastAsia="arial" w:hAnsi="arial" w:cs="arial"/>
            <w:i/>
            <w:color w:val="0077CC"/>
            <w:sz w:val="20"/>
            <w:u w:val="single"/>
            <w:shd w:val="clear" w:color="auto" w:fill="FFFFFF"/>
            <w:lang w:val="en-US" w:eastAsia="en-US" w:bidi="ar-SA"/>
          </w:rPr>
          <w:t>2011 CarswellBC 2042</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51" w:history="1">
        <w:r>
          <w:rPr>
            <w:rFonts w:ascii="arial" w:eastAsia="arial" w:hAnsi="arial" w:cs="arial"/>
            <w:i/>
            <w:color w:val="0077CC"/>
            <w:sz w:val="20"/>
            <w:u w:val="single"/>
            <w:shd w:val="clear" w:color="auto" w:fill="FFFFFF"/>
            <w:lang w:val="en-US" w:eastAsia="en-US" w:bidi="ar-SA"/>
          </w:rPr>
          <w:t>205 A.C.W.S. (3d) 341</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Kathleen Morris, Plaintiff, and John Doe and Insurance Corporation of British Columbia,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(58 paras.)</w:t>
      </w:r>
    </w:p>
    <w:p>
      <w:pPr>
        <w:jc w:val="both"/>
        <w:rPr>
          <w:rFonts w:ascii="arial" w:eastAsia="arial" w:hAnsi="arial" w:cs="arial"/>
          <w:sz w:val="20"/>
          <w:lang w:val="en-US" w:eastAsia="en-US" w:bidi="ar-SA"/>
        </w:rPr>
      </w:pPr>
      <w:bookmarkStart w:id="149" w:name="Counsel_28"/>
      <w:bookmarkEnd w:id="14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0" style="position:absolute;z-index:2516879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S.T. Cope.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A. Urquhart.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50" w:name="Judgment_28"/>
      <w:bookmarkEnd w:id="150"/>
      <w:r>
        <w:pict>
          <v:line id="_x0000_s1131" style="position:absolute;z-index:251739136"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correction was released by the Court August 5, 2011; the change has been made to the text and the correction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51" w:name="K.M. KER J."/>
            <w:bookmarkEnd w:id="151"/>
            <w:r>
              <w:rPr>
                <w:rFonts w:ascii="arial" w:eastAsia="arial" w:hAnsi="arial" w:cs="arial"/>
                <w:b/>
                <w:color w:val="000000"/>
                <w:sz w:val="30"/>
                <w:lang w:val="en-US" w:eastAsia="en-US" w:bidi="ar-SA"/>
              </w:rPr>
              <w:t>K.M. KER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to revisit my ruling on costs as ordered at the end of my reasons for judgment in the substantive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Kathleen Morris, was injured in a motor vehicle accident on April 12, 2006, at the intersection of South Fraser Way and Ware Rd. in Abbotsford, B.C. The plaintiff and her husband were stopped in their pick-up truck at a red stop light waiting for it to turn green so they could proceed on their journey. They were hit from behind by a motorist who failed to slow down sufficiently for the red light, struck the plaintiff's vehicle and bumped it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driver who hit the plaintiff and her husband did not remain at the scene. In reasons for judgment issued March 2, 2011, indexed at </w:t>
      </w:r>
      <w:hyperlink r:id="rId652" w:history="1">
        <w:r>
          <w:rPr>
            <w:rFonts w:ascii="arial" w:eastAsia="arial" w:hAnsi="arial" w:cs="arial"/>
            <w:i/>
            <w:color w:val="0077CC"/>
            <w:sz w:val="20"/>
            <w:u w:val="single"/>
            <w:shd w:val="clear" w:color="auto" w:fill="FFFFFF"/>
            <w:lang w:val="en-US" w:eastAsia="en-US" w:bidi="ar-SA"/>
          </w:rPr>
          <w:t>2011 BCSC 253</w:t>
        </w:r>
      </w:hyperlink>
      <w:r>
        <w:rPr>
          <w:rFonts w:ascii="arial" w:eastAsia="arial" w:hAnsi="arial" w:cs="arial"/>
          <w:color w:val="000000"/>
          <w:sz w:val="20"/>
          <w:lang w:val="en-US" w:eastAsia="en-US" w:bidi="ar-SA"/>
        </w:rPr>
        <w:t xml:space="preserve">, I dismissed the plaintiff's action for her failure to take all necessary and reasonable steps to establish the identity of the unidentified driver who caused the accident as required by s. 24(5) in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At the conclusion of my reasons, I awarded costs to the defendant, subject to any application counsel may make, stating "[i]f the parties seek to make further submissions on the issue of costs, notice must be given to the Court within 30 days of the filing of this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Counsel for the plaintiff sought and was permitted to make submissions on the issue of costs. I received and considered written submissions from both parties and also heard oral argument from the parties on June 29,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his written submissions filed on behalf of the plaintiff, counsel appeared to argue that due to the plaintiff's financial circumstances and other extenuating circumstances, including the failure of ICBC to advise the plaintiff she needed to take steps to try and determine the identity of the unidentified motorist, the Court ought to exercise its discretion and decline to award costs against the plaintiff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At the hearing of the matter, counsel for the plaintiff acknowledged the financial circumstances and other extenuating circumstances of the plaintiff were not factors to be considered in deciding the issue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During his oral submissions, counsel for the plaintiff argued that costs ought not to be awarded against the plaintiff as the defendant, the Insurance Corporation of British Columbia ("ICBC"), through its adjusters ought to have advised the plaintiff of the importance of immediately obtaining legal advice on the steps she needed to take to satisfy the unidentified motorist provisions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Counsel appears to argue that it is this failure and circumstance connected with the case that renders it manifestly unfair to award costs against the plaintiff in this case, citing </w:t>
      </w:r>
      <w:r>
        <w:rPr>
          <w:rFonts w:ascii="arial" w:eastAsia="arial" w:hAnsi="arial" w:cs="arial"/>
          <w:i/>
          <w:color w:val="000000"/>
          <w:sz w:val="20"/>
          <w:lang w:val="en-US" w:eastAsia="en-US" w:bidi="ar-SA"/>
        </w:rPr>
        <w:t>Currie v. Thomas Estate</w:t>
      </w:r>
      <w:r>
        <w:rPr>
          <w:rFonts w:ascii="arial" w:eastAsia="arial" w:hAnsi="arial" w:cs="arial"/>
          <w:color w:val="000000"/>
          <w:sz w:val="20"/>
          <w:lang w:val="en-US" w:eastAsia="en-US" w:bidi="ar-SA"/>
        </w:rPr>
        <w:t xml:space="preserve"> </w:t>
      </w:r>
      <w:hyperlink r:id="rId653" w:history="1">
        <w:r>
          <w:rPr>
            <w:rFonts w:ascii="arial" w:eastAsia="arial" w:hAnsi="arial" w:cs="arial"/>
            <w:i/>
            <w:color w:val="0077CC"/>
            <w:sz w:val="20"/>
            <w:u w:val="single"/>
            <w:shd w:val="clear" w:color="auto" w:fill="FFFFFF"/>
            <w:lang w:val="en-US" w:eastAsia="en-US" w:bidi="ar-SA"/>
          </w:rPr>
          <w:t>(1985), 19 D.L.R. (4th) 594</w:t>
        </w:r>
      </w:hyperlink>
      <w:r>
        <w:rPr>
          <w:rFonts w:ascii="arial" w:eastAsia="arial" w:hAnsi="arial" w:cs="arial"/>
          <w:color w:val="000000"/>
          <w:sz w:val="20"/>
          <w:lang w:val="en-US" w:eastAsia="en-US" w:bidi="ar-SA"/>
        </w:rPr>
        <w:t xml:space="preserve"> (B.C.C.A.) at para. 47 and the reference therein to the speech of Viscount Cave in </w:t>
      </w:r>
      <w:r>
        <w:rPr>
          <w:rFonts w:ascii="arial" w:eastAsia="arial" w:hAnsi="arial" w:cs="arial"/>
          <w:i/>
          <w:color w:val="000000"/>
          <w:sz w:val="20"/>
          <w:lang w:val="en-US" w:eastAsia="en-US" w:bidi="ar-SA"/>
        </w:rPr>
        <w:t>Donald Campbell &amp; Co. v. Pollack</w:t>
      </w:r>
      <w:r>
        <w:rPr>
          <w:rFonts w:ascii="arial" w:eastAsia="arial" w:hAnsi="arial" w:cs="arial"/>
          <w:color w:val="000000"/>
          <w:sz w:val="20"/>
          <w:lang w:val="en-US" w:eastAsia="en-US" w:bidi="ar-SA"/>
        </w:rPr>
        <w:t>, [1927] A.C. 732 (H.L.).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No statutory authority or case authority was provided to support the proposition that ICBC through its employees has a duty to provide a potential plaintiff with a warning that it is in their interests to obtain legal advice. Indeed, counsel recognized and seemed to suggest that the law, although not there yet, ought to be moving in that direction. Thus, counsel for the plaintiff seeks to place a duty on ICBC adjusters to give a form of right to counsel advice akin to that contained in s. 10(b) of the </w:t>
      </w:r>
      <w:r>
        <w:rPr>
          <w:rFonts w:ascii="arial" w:eastAsia="arial" w:hAnsi="arial" w:cs="arial"/>
          <w:i/>
          <w:color w:val="000000"/>
          <w:sz w:val="20"/>
          <w:lang w:val="en-US" w:eastAsia="en-US" w:bidi="ar-SA"/>
        </w:rPr>
        <w:t>Canadian Charter of Rights and Freedoms</w:t>
      </w:r>
      <w:r>
        <w:rPr>
          <w:rFonts w:ascii="arial" w:eastAsia="arial" w:hAnsi="arial" w:cs="arial"/>
          <w:color w:val="000000"/>
          <w:sz w:val="20"/>
          <w:lang w:val="en-US" w:eastAsia="en-US" w:bidi="ar-SA"/>
        </w:rPr>
        <w:t>, modified to fit the circumstances of the civil context of motor vehicle actions and particularly cases involving the unidentified motorist scenario.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Counsel for the defendant provided many authorities to show that where a plaintiff has been unsuccessful on the issue of liability in failing to satisfy the court that they took all necessary and reasonable steps to establish the identity of the unidentified driver who caused the accident as required by s. 24(5)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costs have been awarded against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Counsel for the defendant also relies upon my conclusion at para. 55(q) of my judgment dismissing the plaintiff's action to support its position that ICBC had no obligation to advise the plaintiff of anything when she met with the claims adjuster within days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 enumerated in my reasons at para. 55 the various principles that can be distilled from the jurisprudence on the issue of necessary and reasonable steps a plaintiff must take to attempt to ascertain the identity of an unidentified motorist. At para. 55(q) I stated:</w:t>
      </w:r>
      <w:r>
        <w:rPr>
          <w:rFonts w:ascii="arial" w:eastAsia="arial" w:hAnsi="arial" w:cs="arial"/>
          <w:sz w:val="20"/>
          <w:lang w:val="en-US" w:eastAsia="en-US" w:bidi="ar-SA"/>
        </w:rPr>
        <w:cr/>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failure of ICBC adjusters to advise the plaintiff that other steps to try and ascertain the identity of the driver should be undertaken does not relieve a plaintiff of the obligation to take all reasonable steps to ascertain the unknown driver's identity: </w:t>
      </w:r>
      <w:r>
        <w:rPr>
          <w:rFonts w:ascii="arial" w:eastAsia="arial" w:hAnsi="arial" w:cs="arial"/>
          <w:i/>
          <w:color w:val="000000"/>
          <w:sz w:val="20"/>
          <w:lang w:val="en-US" w:eastAsia="en-US" w:bidi="ar-SA"/>
        </w:rPr>
        <w:t>Tessier</w:t>
      </w:r>
      <w:r>
        <w:rPr>
          <w:rFonts w:ascii="arial" w:eastAsia="arial" w:hAnsi="arial" w:cs="arial"/>
          <w:color w:val="000000"/>
          <w:sz w:val="20"/>
          <w:lang w:val="en-US" w:eastAsia="en-US" w:bidi="ar-SA"/>
        </w:rPr>
        <w:t xml:space="preserve"> at para.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II.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This motor vehicle accident occurred on April 12, 2006. The plaintiff and her husband took no further steps at the scene of the accident to try and determine the identity of the driver who had struck them apart from having one witness, Mr. Gordon, advise he had seen the accident and would be a witness for the plaintiff. The plaintiff did not determine at that time whether Mr. Gordon could identify the driver. It turned out Mr. Gordon was unable to identify the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my reasons for judgment, at paras. 59-67, I found that the failure to take any further steps to determine the identity of the driver at the scene of the accident was not fatal to the plaintiff's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When the unidentified motorist left the scene, Mrs. Morris had the presence of mind to contact the police by means of a 9-1-1 call but was not able to provide any details about the vehicle description or what direction the vehicle had left the scene (see para. 62 of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plaintiff met with ICBC adjusters within a day or two of the accident and suggested they e-mail the repair shops, but they laughed at her. The adjusters provided no other information or suggestions on steps she should take, and did not draw to her attention the provisions of s. 24(5)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or remind her of the obligation imposed on individuals seeking damages from ICBC when involved in an accident with an unidentified motorist.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acknowledged taking no other steps such as posting signs or placing advertisements in the paper seeking witnesses to the accident, explaining she did not know she had to do so. She did not think other steps were necessary as she had Mr. Gordon as a witness and believed that was sufficient.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conceded she made no follow up inquiries with the police to see if they investigated or located the driver of the vehicle that had struck them in the accident, explaining she thought she would have been notified through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Based on her affidavit filed on this application, the plaintiff retained senior counsel to represent her in this action on June 30, 2007. A Writ of Summons and Statement of Claim were filed on the plaintiff's behalf on July 9, 2007, more than a year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defendant ICBC filed its statement of defence on October 31, 2007, pleading, amongst other things, that the plaintiff failed to take all necessary and reasonable steps to establish the identity of the unidentified driver who caused the accident as required by s. 24(5)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At the plaintiff's examination for discovery on February 11, 2008, she was asked about the steps she had taken to identify the unidentified motorist as required by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took no steps apart from contacting the police via the 9-1-1 call at the scene, speaking with Mr. Gordon, albeit failing to ascertain from him whether he could identify the driver of the vehicle that hit them, and speaking with ICBC on one occasion.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It cannot be inferred that the plaintiff was oblivious to the potential risks of proceeding with the action in the face of ICBC's statement of defence pleading her failure to take all reasonable steps to establish the identity of the unidentified driver and the questioning on that point at the examination for discovery. Notwithstanding the weight of authority contrary to her position and the notice served in the defendant's pleadings, the plaintiff, represented by senior counsel experienced in the field of personal injury and motor vehicle litigation, elected to continue with the action. It would be irrational to infer that there was no risk assessment engaged in by the plaintiff and her counsel in light of the very clear notice in the statement of defence and the follow up questioning in the plaintiff's examination for discovery process. On the contrary, it must be inferred the plaintiff weighed the risks of proceeding and implicitly accepted the risk of having her action dismissed and costs awarded against her if unsuccessful.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IV.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issue in this application is whether, notwithstanding the defendant's success in this action, it should be deprived of its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will review the guiding principles that inform the decision on an award of costs and then address the application of the principles to the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V. 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To put the issue properly in context it is appropriate to set out the statutory provision that governs the conduct of unidentified driver claims. Section 24(5)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Remedy for damage in hit and run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24(5) In an action against the corporation as nominal defendant, a judgment against the corporation must not be given unless the court is satisfied that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reasonable efforts have been made by the parties to ascertain the identity of the unknown owner and driver or unknown driver, as the case may be,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identity of those persons or that person, as the case may be, is not ascertainable.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Section 24(5) restricts plaintiffs in their actions against ICBC as the nominal defendant to those who satisfy the court they have made all reasonable efforts to identify the unknown hit and run driver and that the identity of the driver is not ascertainable. The onus to be met by plaintiffs on the issue of reasonable steps, although not exceptionally onerous, is not one easily displaced, even in circumstances in which the unidentified vehicle has fled the scene: </w:t>
      </w:r>
      <w:r>
        <w:rPr>
          <w:rFonts w:ascii="arial" w:eastAsia="arial" w:hAnsi="arial" w:cs="arial"/>
          <w:i/>
          <w:color w:val="000000"/>
          <w:sz w:val="20"/>
          <w:lang w:val="en-US" w:eastAsia="en-US" w:bidi="ar-SA"/>
        </w:rPr>
        <w:t>Nelson v. ICBC</w:t>
      </w:r>
      <w:r>
        <w:rPr>
          <w:rFonts w:ascii="arial" w:eastAsia="arial" w:hAnsi="arial" w:cs="arial"/>
          <w:color w:val="000000"/>
          <w:sz w:val="20"/>
          <w:lang w:val="en-US" w:eastAsia="en-US" w:bidi="ar-SA"/>
        </w:rPr>
        <w:t xml:space="preserve">, </w:t>
      </w:r>
      <w:hyperlink r:id="rId654" w:history="1">
        <w:r>
          <w:rPr>
            <w:rFonts w:ascii="arial" w:eastAsia="arial" w:hAnsi="arial" w:cs="arial"/>
            <w:i/>
            <w:color w:val="0077CC"/>
            <w:sz w:val="20"/>
            <w:u w:val="single"/>
            <w:shd w:val="clear" w:color="auto" w:fill="FFFFFF"/>
            <w:lang w:val="en-US" w:eastAsia="en-US" w:bidi="ar-SA"/>
          </w:rPr>
          <w:t>2003 BCSC 121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Nelson</w:t>
      </w:r>
      <w:r>
        <w:rPr>
          <w:rFonts w:ascii="arial" w:eastAsia="arial" w:hAnsi="arial" w:cs="arial"/>
          <w:color w:val="000000"/>
          <w:sz w:val="20"/>
          <w:lang w:val="en-US" w:eastAsia="en-US" w:bidi="ar-SA"/>
        </w:rPr>
        <w:t xml:space="preserve">], at para. 17; </w:t>
      </w:r>
      <w:r>
        <w:rPr>
          <w:rFonts w:ascii="arial" w:eastAsia="arial" w:hAnsi="arial" w:cs="arial"/>
          <w:i/>
          <w:color w:val="000000"/>
          <w:sz w:val="20"/>
          <w:lang w:val="en-US" w:eastAsia="en-US" w:bidi="ar-SA"/>
        </w:rPr>
        <w:t>Burley v. ICBC</w:t>
      </w:r>
      <w:r>
        <w:rPr>
          <w:rFonts w:ascii="arial" w:eastAsia="arial" w:hAnsi="arial" w:cs="arial"/>
          <w:color w:val="000000"/>
          <w:sz w:val="20"/>
          <w:lang w:val="en-US" w:eastAsia="en-US" w:bidi="ar-SA"/>
        </w:rPr>
        <w:t xml:space="preserve">, </w:t>
      </w:r>
      <w:hyperlink r:id="rId655" w:history="1">
        <w:r>
          <w:rPr>
            <w:rFonts w:ascii="arial" w:eastAsia="arial" w:hAnsi="arial" w:cs="arial"/>
            <w:i/>
            <w:color w:val="0077CC"/>
            <w:sz w:val="20"/>
            <w:u w:val="single"/>
            <w:shd w:val="clear" w:color="auto" w:fill="FFFFFF"/>
            <w:lang w:val="en-US" w:eastAsia="en-US" w:bidi="ar-SA"/>
          </w:rPr>
          <w:t>2003 BCSC 1837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Burley</w:t>
      </w:r>
      <w:r>
        <w:rPr>
          <w:rFonts w:ascii="arial" w:eastAsia="arial" w:hAnsi="arial" w:cs="arial"/>
          <w:color w:val="000000"/>
          <w:sz w:val="20"/>
          <w:lang w:val="en-US" w:eastAsia="en-US" w:bidi="ar-SA"/>
        </w:rPr>
        <w:t xml:space="preserve">], at para. 7; </w:t>
      </w:r>
      <w:r>
        <w:rPr>
          <w:rFonts w:ascii="arial" w:eastAsia="arial" w:hAnsi="arial" w:cs="arial"/>
          <w:i/>
          <w:color w:val="000000"/>
          <w:sz w:val="20"/>
          <w:lang w:val="en-US" w:eastAsia="en-US" w:bidi="ar-SA"/>
        </w:rPr>
        <w:t>Godara v. ICBC</w:t>
      </w:r>
      <w:r>
        <w:rPr>
          <w:rFonts w:ascii="arial" w:eastAsia="arial" w:hAnsi="arial" w:cs="arial"/>
          <w:color w:val="000000"/>
          <w:sz w:val="20"/>
          <w:lang w:val="en-US" w:eastAsia="en-US" w:bidi="ar-SA"/>
        </w:rPr>
        <w:t xml:space="preserve">, </w:t>
      </w:r>
      <w:hyperlink r:id="rId656" w:history="1">
        <w:r>
          <w:rPr>
            <w:rFonts w:ascii="arial" w:eastAsia="arial" w:hAnsi="arial" w:cs="arial"/>
            <w:i/>
            <w:color w:val="0077CC"/>
            <w:sz w:val="20"/>
            <w:u w:val="single"/>
            <w:shd w:val="clear" w:color="auto" w:fill="FFFFFF"/>
            <w:lang w:val="en-US" w:eastAsia="en-US" w:bidi="ar-SA"/>
          </w:rPr>
          <w:t>2008 BCSC 183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Godara</w:t>
      </w:r>
      <w:r>
        <w:rPr>
          <w:rFonts w:ascii="arial" w:eastAsia="arial" w:hAnsi="arial" w:cs="arial"/>
          <w:color w:val="000000"/>
          <w:sz w:val="20"/>
          <w:lang w:val="en-US" w:eastAsia="en-US" w:bidi="ar-SA"/>
        </w:rPr>
        <w:t>], at para. 53. A plaintiff's failure to discharge this onus and establish that reasonable steps have been taken is fatal to a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It is trite law that the successful party to an action generally is awarded costs of the action. In </w:t>
      </w:r>
      <w:r>
        <w:rPr>
          <w:rFonts w:ascii="arial" w:eastAsia="arial" w:hAnsi="arial" w:cs="arial"/>
          <w:i/>
          <w:color w:val="000000"/>
          <w:sz w:val="20"/>
          <w:lang w:val="en-US" w:eastAsia="en-US" w:bidi="ar-SA"/>
        </w:rPr>
        <w:t>Chen v. Beltran</w:t>
      </w:r>
      <w:r>
        <w:rPr>
          <w:rFonts w:ascii="arial" w:eastAsia="arial" w:hAnsi="arial" w:cs="arial"/>
          <w:color w:val="000000"/>
          <w:sz w:val="20"/>
          <w:lang w:val="en-US" w:eastAsia="en-US" w:bidi="ar-SA"/>
        </w:rPr>
        <w:t xml:space="preserve">, </w:t>
      </w:r>
      <w:hyperlink r:id="rId657" w:history="1">
        <w:r>
          <w:rPr>
            <w:rFonts w:ascii="arial" w:eastAsia="arial" w:hAnsi="arial" w:cs="arial"/>
            <w:i/>
            <w:color w:val="0077CC"/>
            <w:sz w:val="20"/>
            <w:u w:val="single"/>
            <w:shd w:val="clear" w:color="auto" w:fill="FFFFFF"/>
            <w:lang w:val="en-US" w:eastAsia="en-US" w:bidi="ar-SA"/>
          </w:rPr>
          <w:t>2011 BCSC 41</w:t>
        </w:r>
      </w:hyperlink>
      <w:r>
        <w:rPr>
          <w:rFonts w:ascii="arial" w:eastAsia="arial" w:hAnsi="arial" w:cs="arial"/>
          <w:color w:val="000000"/>
          <w:sz w:val="20"/>
          <w:lang w:val="en-US" w:eastAsia="en-US" w:bidi="ar-SA"/>
        </w:rPr>
        <w:t>, at paras. 6-10, Mr. Justice Greyell provided a succinct but comprehensive review of the relevant principles behind an award of costs, stating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 Costs generally follow the event. That is, while this Court retains discretion in the matter of awarding costs, a successful party is generally entitled to the costs of prosecuting or defending the lawsuit as indemnification for the costs incurred by being forced to do so by the unsuccessful party.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 Rule 14-1(9) reads: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14-4(9) Subject to subrule (12), costs of a proceeding must be awarded to the successful party unless the court otherwise orders.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 Section 3(1)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reads: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3(1) Unless the court otherwise directs, the liability for costs of the parties to every action is in the same proportion as their respective liability to make good the damage or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 In </w:t>
      </w:r>
      <w:r>
        <w:rPr>
          <w:rFonts w:ascii="arial" w:eastAsia="arial" w:hAnsi="arial" w:cs="arial"/>
          <w:i/>
          <w:color w:val="000000"/>
          <w:sz w:val="20"/>
          <w:lang w:val="en-US" w:eastAsia="en-US" w:bidi="ar-SA"/>
        </w:rPr>
        <w:t>Bailey v. Victory</w:t>
      </w:r>
      <w:r>
        <w:rPr>
          <w:rFonts w:ascii="arial" w:eastAsia="arial" w:hAnsi="arial" w:cs="arial"/>
          <w:color w:val="000000"/>
          <w:sz w:val="20"/>
          <w:lang w:val="en-US" w:eastAsia="en-US" w:bidi="ar-SA"/>
        </w:rPr>
        <w:t xml:space="preserve"> </w:t>
      </w:r>
      <w:hyperlink r:id="rId658" w:history="1">
        <w:r>
          <w:rPr>
            <w:rFonts w:ascii="arial" w:eastAsia="arial" w:hAnsi="arial" w:cs="arial"/>
            <w:i/>
            <w:color w:val="0077CC"/>
            <w:sz w:val="20"/>
            <w:u w:val="single"/>
            <w:shd w:val="clear" w:color="auto" w:fill="FFFFFF"/>
            <w:lang w:val="en-US" w:eastAsia="en-US" w:bidi="ar-SA"/>
          </w:rPr>
          <w:t>(1995), 4 B.C.L.R. (3d) 389</w:t>
        </w:r>
      </w:hyperlink>
      <w:r>
        <w:rPr>
          <w:rFonts w:ascii="arial" w:eastAsia="arial" w:hAnsi="arial" w:cs="arial"/>
          <w:color w:val="000000"/>
          <w:sz w:val="20"/>
          <w:lang w:val="en-US" w:eastAsia="en-US" w:bidi="ar-SA"/>
        </w:rPr>
        <w:t xml:space="preserve">, </w:t>
      </w:r>
      <w:hyperlink r:id="rId658" w:history="1">
        <w:r>
          <w:rPr>
            <w:rFonts w:ascii="arial" w:eastAsia="arial" w:hAnsi="arial" w:cs="arial"/>
            <w:i/>
            <w:color w:val="0077CC"/>
            <w:sz w:val="20"/>
            <w:u w:val="single"/>
            <w:shd w:val="clear" w:color="auto" w:fill="FFFFFF"/>
            <w:lang w:val="en-US" w:eastAsia="en-US" w:bidi="ar-SA"/>
          </w:rPr>
          <w:t>57 B.C.A.C. 23</w:t>
        </w:r>
      </w:hyperlink>
      <w:r>
        <w:rPr>
          <w:rFonts w:ascii="arial" w:eastAsia="arial" w:hAnsi="arial" w:cs="arial"/>
          <w:color w:val="000000"/>
          <w:sz w:val="20"/>
          <w:lang w:val="en-US" w:eastAsia="en-US" w:bidi="ar-SA"/>
        </w:rPr>
        <w:t xml:space="preserve"> (C.A.) Cumming J.A. stated for the Court of Appeal, at para 13: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general rule, as set out in R. 57(9) [now Rule 14-9], is that costs follow the event. The successful litigant is entitled to costs as indemnification for the costs incurred in having been forced into litigation. The rules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contain other provisions which show, and recent cases have indicated, that the power of the court to award costs is not limited to indemnification. In appropriate cases awards for costs can be made with a view to discouraging frivolous claims or defences and unnecessary or abusive proceedings, to encourage prompt and early settlements, and, in appropriate cases, to penalize improper conduct. But through the Rules and the decided cases runs one simple overriding principle which must not be lost sight of - that is that discretionary exceptions to the general rule must be made judicially.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More recently, in </w:t>
      </w:r>
      <w:r>
        <w:rPr>
          <w:rFonts w:ascii="arial" w:eastAsia="arial" w:hAnsi="arial" w:cs="arial"/>
          <w:i/>
          <w:color w:val="000000"/>
          <w:sz w:val="20"/>
          <w:lang w:val="en-US" w:eastAsia="en-US" w:bidi="ar-SA"/>
        </w:rPr>
        <w:t>Catalyst Paper Corporation v. Companhia de Navegaçao Norsul</w:t>
      </w:r>
      <w:r>
        <w:rPr>
          <w:rFonts w:ascii="arial" w:eastAsia="arial" w:hAnsi="arial" w:cs="arial"/>
          <w:color w:val="000000"/>
          <w:sz w:val="20"/>
          <w:lang w:val="en-US" w:eastAsia="en-US" w:bidi="ar-SA"/>
        </w:rPr>
        <w:t xml:space="preserve">, </w:t>
      </w:r>
      <w:hyperlink r:id="rId15" w:history="1">
        <w:r>
          <w:rPr>
            <w:rFonts w:ascii="arial" w:eastAsia="arial" w:hAnsi="arial" w:cs="arial"/>
            <w:i/>
            <w:color w:val="0077CC"/>
            <w:sz w:val="20"/>
            <w:u w:val="single"/>
            <w:shd w:val="clear" w:color="auto" w:fill="FFFFFF"/>
            <w:lang w:val="en-US" w:eastAsia="en-US" w:bidi="ar-SA"/>
          </w:rPr>
          <w:t>2009 BCCA 16</w:t>
        </w:r>
      </w:hyperlink>
      <w:r>
        <w:rPr>
          <w:rFonts w:ascii="arial" w:eastAsia="arial" w:hAnsi="arial" w:cs="arial"/>
          <w:color w:val="000000"/>
          <w:sz w:val="20"/>
          <w:lang w:val="en-US" w:eastAsia="en-US" w:bidi="ar-SA"/>
        </w:rPr>
        <w:t>, Hall J.A. stated that different causes of action should not result in a different approach to the assessment of costs because of the uncertainty such an approach would cause in the law of costs. He confirmed the general approach of the courts at para. 16 of his judgment: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[16] It seems to me that the trend of recent authorities is to the effect that the costs rules should be utilized to have a winnowing function in the litigation process. The costs rules require litigants to make careful assessments of the strength or lack thereof of their cases at commencement and throughout the course of litigation. The rules should discourage the continuance of doubtful cases or defences. This of course imposes burdens on counsel to carefully consider the strengths and weaknesses of particular fact situations. Such considerations should, among other things, encourage reasonable settlements.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And, in </w:t>
      </w:r>
      <w:r>
        <w:rPr>
          <w:rFonts w:ascii="arial" w:eastAsia="arial" w:hAnsi="arial" w:cs="arial"/>
          <w:i/>
          <w:color w:val="000000"/>
          <w:sz w:val="20"/>
          <w:lang w:val="en-US" w:eastAsia="en-US" w:bidi="ar-SA"/>
        </w:rPr>
        <w:t>Moyer v. Mortensen</w:t>
      </w:r>
      <w:r>
        <w:rPr>
          <w:rFonts w:ascii="arial" w:eastAsia="arial" w:hAnsi="arial" w:cs="arial"/>
          <w:color w:val="000000"/>
          <w:sz w:val="20"/>
          <w:lang w:val="en-US" w:eastAsia="en-US" w:bidi="ar-SA"/>
        </w:rPr>
        <w:t xml:space="preserve">, </w:t>
      </w:r>
      <w:hyperlink r:id="rId659" w:history="1">
        <w:r>
          <w:rPr>
            <w:rFonts w:ascii="arial" w:eastAsia="arial" w:hAnsi="arial" w:cs="arial"/>
            <w:i/>
            <w:color w:val="0077CC"/>
            <w:sz w:val="20"/>
            <w:u w:val="single"/>
            <w:shd w:val="clear" w:color="auto" w:fill="FFFFFF"/>
            <w:lang w:val="en-US" w:eastAsia="en-US" w:bidi="ar-SA"/>
          </w:rPr>
          <w:t>2011 BCSC 265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Moyer</w:t>
      </w:r>
      <w:r>
        <w:rPr>
          <w:rFonts w:ascii="arial" w:eastAsia="arial" w:hAnsi="arial" w:cs="arial"/>
          <w:color w:val="000000"/>
          <w:sz w:val="20"/>
          <w:lang w:val="en-US" w:eastAsia="en-US" w:bidi="ar-SA"/>
        </w:rPr>
        <w:t>], Mr. Justice Harvey, in addressing the issue of apportioning costs as between parties in actions for damages against each other in trespass and nuisance as it related to access to adjoining parcels of property and easements over the properties held by the parties, reiterated the guiding principles on costs, stating paras. 10-12: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It is a basic, indeed foundational, rule of litigation that the party who substantially succeeds in matters in dispute at trial is entitled to his or her costs unless the court orders otherwise (</w:t>
      </w:r>
      <w:r>
        <w:rPr>
          <w:rFonts w:ascii="arial" w:eastAsia="arial" w:hAnsi="arial" w:cs="arial"/>
          <w:i/>
          <w:color w:val="000000"/>
          <w:sz w:val="20"/>
          <w:lang w:val="en-US" w:eastAsia="en-US" w:bidi="ar-SA"/>
        </w:rPr>
        <w:t>Currie v. Thomas</w:t>
      </w:r>
      <w:r>
        <w:rPr>
          <w:rFonts w:ascii="arial" w:eastAsia="arial" w:hAnsi="arial" w:cs="arial"/>
          <w:color w:val="000000"/>
          <w:sz w:val="20"/>
          <w:lang w:val="en-US" w:eastAsia="en-US" w:bidi="ar-SA"/>
        </w:rPr>
        <w:t xml:space="preserve"> </w:t>
      </w:r>
      <w:hyperlink r:id="rId653" w:history="1">
        <w:r>
          <w:rPr>
            <w:rFonts w:ascii="arial" w:eastAsia="arial" w:hAnsi="arial" w:cs="arial"/>
            <w:i/>
            <w:color w:val="0077CC"/>
            <w:sz w:val="20"/>
            <w:u w:val="single"/>
            <w:shd w:val="clear" w:color="auto" w:fill="FFFFFF"/>
            <w:lang w:val="en-US" w:eastAsia="en-US" w:bidi="ar-SA"/>
          </w:rPr>
          <w:t>(1985), 19 D.L.R. (4th) 594</w:t>
        </w:r>
      </w:hyperlink>
      <w:r>
        <w:rPr>
          <w:rFonts w:ascii="arial" w:eastAsia="arial" w:hAnsi="arial" w:cs="arial"/>
          <w:color w:val="000000"/>
          <w:sz w:val="20"/>
          <w:lang w:val="en-US" w:eastAsia="en-US" w:bidi="ar-SA"/>
        </w:rPr>
        <w:t xml:space="preserve"> (B.C.C.A.) at 608).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In </w:t>
      </w:r>
      <w:r>
        <w:rPr>
          <w:rFonts w:ascii="arial" w:eastAsia="arial" w:hAnsi="arial" w:cs="arial"/>
          <w:i/>
          <w:color w:val="000000"/>
          <w:sz w:val="20"/>
          <w:lang w:val="en-US" w:eastAsia="en-US" w:bidi="ar-SA"/>
        </w:rPr>
        <w:t>Fotheringham v. Fotheringham,</w:t>
      </w:r>
      <w:r>
        <w:rPr>
          <w:rFonts w:ascii="arial" w:eastAsia="arial" w:hAnsi="arial" w:cs="arial"/>
          <w:color w:val="000000"/>
          <w:sz w:val="20"/>
          <w:lang w:val="en-US" w:eastAsia="en-US" w:bidi="ar-SA"/>
        </w:rPr>
        <w:t xml:space="preserve"> </w:t>
      </w:r>
      <w:hyperlink r:id="rId660" w:history="1">
        <w:r>
          <w:rPr>
            <w:rFonts w:ascii="arial" w:eastAsia="arial" w:hAnsi="arial" w:cs="arial"/>
            <w:i/>
            <w:color w:val="0077CC"/>
            <w:sz w:val="20"/>
            <w:u w:val="single"/>
            <w:shd w:val="clear" w:color="auto" w:fill="FFFFFF"/>
            <w:lang w:val="en-US" w:eastAsia="en-US" w:bidi="ar-SA"/>
          </w:rPr>
          <w:t>2001 BCSC 1321</w:t>
        </w:r>
      </w:hyperlink>
      <w:r>
        <w:rPr>
          <w:rFonts w:ascii="arial" w:eastAsia="arial" w:hAnsi="arial" w:cs="arial"/>
          <w:color w:val="000000"/>
          <w:sz w:val="20"/>
          <w:lang w:val="en-US" w:eastAsia="en-US" w:bidi="ar-SA"/>
        </w:rPr>
        <w:t xml:space="preserve">, leave to appeal ref'd </w:t>
      </w:r>
      <w:hyperlink r:id="rId661" w:history="1">
        <w:r>
          <w:rPr>
            <w:rFonts w:ascii="arial" w:eastAsia="arial" w:hAnsi="arial" w:cs="arial"/>
            <w:i/>
            <w:color w:val="0077CC"/>
            <w:sz w:val="20"/>
            <w:u w:val="single"/>
            <w:shd w:val="clear" w:color="auto" w:fill="FFFFFF"/>
            <w:lang w:val="en-US" w:eastAsia="en-US" w:bidi="ar-SA"/>
          </w:rPr>
          <w:t>2002 BCCA 454</w:t>
        </w:r>
      </w:hyperlink>
      <w:r>
        <w:rPr>
          <w:rFonts w:ascii="arial" w:eastAsia="arial" w:hAnsi="arial" w:cs="arial"/>
          <w:color w:val="000000"/>
          <w:sz w:val="20"/>
          <w:lang w:val="en-US" w:eastAsia="en-US" w:bidi="ar-SA"/>
        </w:rPr>
        <w:t>, Bouck J., at para. 18, stated that a trial judge has absolute and unfettered discretion with respect to costs, and that it ought not to be exercised against a successful party except for some reason in connection with the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In </w:t>
      </w:r>
      <w:r>
        <w:rPr>
          <w:rFonts w:ascii="arial" w:eastAsia="arial" w:hAnsi="arial" w:cs="arial"/>
          <w:i/>
          <w:color w:val="000000"/>
          <w:sz w:val="20"/>
          <w:lang w:val="en-US" w:eastAsia="en-US" w:bidi="ar-SA"/>
        </w:rPr>
        <w:t>Fotheringham</w:t>
      </w:r>
      <w:r>
        <w:rPr>
          <w:rFonts w:ascii="arial" w:eastAsia="arial" w:hAnsi="arial" w:cs="arial"/>
          <w:color w:val="000000"/>
          <w:sz w:val="20"/>
          <w:lang w:val="en-US" w:eastAsia="en-US" w:bidi="ar-SA"/>
        </w:rPr>
        <w:t>, Bouck J. articulated the following four part test to determine whether costs should be awarded a litigant: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Based on the above interpretation of Rules 57(9), 57(15) and </w:t>
      </w:r>
      <w:r>
        <w:rPr>
          <w:rFonts w:ascii="arial" w:eastAsia="arial" w:hAnsi="arial" w:cs="arial"/>
          <w:i/>
          <w:color w:val="000000"/>
          <w:sz w:val="20"/>
          <w:lang w:val="en-US" w:eastAsia="en-US" w:bidi="ar-SA"/>
        </w:rPr>
        <w:t>Gold</w:t>
      </w:r>
      <w:r>
        <w:rPr>
          <w:rFonts w:ascii="arial" w:eastAsia="arial" w:hAnsi="arial" w:cs="arial"/>
          <w:color w:val="000000"/>
          <w:sz w:val="20"/>
          <w:lang w:val="en-US" w:eastAsia="en-US" w:bidi="ar-SA"/>
        </w:rPr>
        <w:t>, a decision to award or not award costs after a trial might follow a four step inquiry.</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First, by focusing on the "matters in dispute" at the trial. These may or may not include "issues" explicitly mentioned in the pleadings.</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Second, by assessing the weight or importance of those "matters" to the parties.</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Third, by doing a global determination with respect to all the matters in dispute and determining which party "substantially succeeded," overall and therefore won the event.</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Fourth, where one party "substantially succeeded," a consideration of whether there are reasons to "otherwise order" that the winning party be deprived of his or her costs and each side then bear their own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final principle to consider in the context of determining whether to award or deny costs to a successful party is that the matter is an exercise of a trial judge's discretion. However, that discretion is to be exercised judicially. It is not an arbitrary power to be exercised capriciously: </w:t>
      </w:r>
      <w:r>
        <w:rPr>
          <w:rFonts w:ascii="arial" w:eastAsia="arial" w:hAnsi="arial" w:cs="arial"/>
          <w:i/>
          <w:color w:val="000000"/>
          <w:sz w:val="20"/>
          <w:lang w:val="en-US" w:eastAsia="en-US" w:bidi="ar-SA"/>
        </w:rPr>
        <w:t>Currie v. Thomas Estate</w:t>
      </w:r>
      <w:r>
        <w:rPr>
          <w:rFonts w:ascii="arial" w:eastAsia="arial" w:hAnsi="arial" w:cs="arial"/>
          <w:color w:val="000000"/>
          <w:sz w:val="20"/>
          <w:lang w:val="en-US" w:eastAsia="en-US" w:bidi="ar-SA"/>
        </w:rPr>
        <w:t xml:space="preserve"> </w:t>
      </w:r>
      <w:hyperlink r:id="rId653" w:history="1">
        <w:r>
          <w:rPr>
            <w:rFonts w:ascii="arial" w:eastAsia="arial" w:hAnsi="arial" w:cs="arial"/>
            <w:i/>
            <w:color w:val="0077CC"/>
            <w:sz w:val="20"/>
            <w:u w:val="single"/>
            <w:shd w:val="clear" w:color="auto" w:fill="FFFFFF"/>
            <w:lang w:val="en-US" w:eastAsia="en-US" w:bidi="ar-SA"/>
          </w:rPr>
          <w:t>(1985), 19 D.L.R. (4th) 594</w:t>
        </w:r>
      </w:hyperlink>
      <w:r>
        <w:rPr>
          <w:rFonts w:ascii="arial" w:eastAsia="arial" w:hAnsi="arial" w:cs="arial"/>
          <w:color w:val="000000"/>
          <w:sz w:val="20"/>
          <w:lang w:val="en-US" w:eastAsia="en-US" w:bidi="ar-SA"/>
        </w:rPr>
        <w:t xml:space="preserve"> (B.C.C.A.). Moreover, it is not entirely unfettered. Rather, the discretion to award or withhold an award of costs to a successful litigant is to be exercised on a principled basis and must be connected to the conduct (or misconduct) of a party to the litigation: </w:t>
      </w:r>
      <w:r>
        <w:rPr>
          <w:rFonts w:ascii="arial" w:eastAsia="arial" w:hAnsi="arial" w:cs="arial"/>
          <w:i/>
          <w:color w:val="000000"/>
          <w:sz w:val="20"/>
          <w:lang w:val="en-US" w:eastAsia="en-US" w:bidi="ar-SA"/>
        </w:rPr>
        <w:t>Smith et al v. City of New Westminster</w:t>
      </w:r>
      <w:r>
        <w:rPr>
          <w:rFonts w:ascii="arial" w:eastAsia="arial" w:hAnsi="arial" w:cs="arial"/>
          <w:color w:val="000000"/>
          <w:sz w:val="20"/>
          <w:lang w:val="en-US" w:eastAsia="en-US" w:bidi="ar-SA"/>
        </w:rPr>
        <w:t xml:space="preserve">, </w:t>
      </w:r>
      <w:hyperlink r:id="rId662" w:history="1">
        <w:r>
          <w:rPr>
            <w:rFonts w:ascii="arial" w:eastAsia="arial" w:hAnsi="arial" w:cs="arial"/>
            <w:i/>
            <w:color w:val="0077CC"/>
            <w:sz w:val="20"/>
            <w:u w:val="single"/>
            <w:shd w:val="clear" w:color="auto" w:fill="FFFFFF"/>
            <w:lang w:val="en-US" w:eastAsia="en-US" w:bidi="ar-SA"/>
          </w:rPr>
          <w:t>2004 BCSC 1304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Smith</w:t>
      </w:r>
      <w:r>
        <w:rPr>
          <w:rFonts w:ascii="arial" w:eastAsia="arial" w:hAnsi="arial" w:cs="arial"/>
          <w:color w:val="000000"/>
          <w:sz w:val="20"/>
          <w:lang w:val="en-US" w:eastAsia="en-US" w:bidi="ar-SA"/>
        </w:rPr>
        <w:t>], at paras. 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parameters within which this exercise of discretion is governed have been variously stated as:</w:t>
      </w:r>
      <w:r>
        <w:rPr>
          <w:rFonts w:ascii="arial" w:eastAsia="arial" w:hAnsi="arial" w:cs="arial"/>
          <w:sz w:val="20"/>
          <w:lang w:val="en-US" w:eastAsia="en-US" w:bidi="ar-SA"/>
        </w:rPr>
        <w:cr/>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unless special circumstances can be established that would warrant depriving the successful party of an award of costs following trial, the successful party should receive their costs: </w:t>
      </w:r>
      <w:r>
        <w:rPr>
          <w:rFonts w:ascii="arial" w:eastAsia="arial" w:hAnsi="arial" w:cs="arial"/>
          <w:i/>
          <w:color w:val="000000"/>
          <w:sz w:val="20"/>
          <w:lang w:val="en-US" w:eastAsia="en-US" w:bidi="ar-SA"/>
        </w:rPr>
        <w:t>Sutherland v. Attorney General of Canada</w:t>
      </w:r>
      <w:r>
        <w:rPr>
          <w:rFonts w:ascii="arial" w:eastAsia="arial" w:hAnsi="arial" w:cs="arial"/>
          <w:color w:val="000000"/>
          <w:sz w:val="20"/>
          <w:lang w:val="en-US" w:eastAsia="en-US" w:bidi="ar-SA"/>
        </w:rPr>
        <w:t xml:space="preserve">, </w:t>
      </w:r>
      <w:hyperlink r:id="rId663" w:history="1">
        <w:r>
          <w:rPr>
            <w:rFonts w:ascii="arial" w:eastAsia="arial" w:hAnsi="arial" w:cs="arial"/>
            <w:i/>
            <w:color w:val="0077CC"/>
            <w:sz w:val="20"/>
            <w:u w:val="single"/>
            <w:shd w:val="clear" w:color="auto" w:fill="FFFFFF"/>
            <w:lang w:val="en-US" w:eastAsia="en-US" w:bidi="ar-SA"/>
          </w:rPr>
          <w:t>2008 BCCA 27</w:t>
        </w:r>
      </w:hyperlink>
      <w:r>
        <w:rPr>
          <w:rFonts w:ascii="arial" w:eastAsia="arial" w:hAnsi="arial" w:cs="arial"/>
          <w:color w:val="000000"/>
          <w:sz w:val="20"/>
          <w:lang w:val="en-US" w:eastAsia="en-US" w:bidi="ar-SA"/>
        </w:rPr>
        <w:t>, at paras. 26-27;</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judge ought not to exercise their discretion against a successful party except for some reason connected with the case or leading up to the litigation: </w:t>
      </w:r>
      <w:r>
        <w:rPr>
          <w:rFonts w:ascii="arial" w:eastAsia="arial" w:hAnsi="arial" w:cs="arial"/>
          <w:i/>
          <w:color w:val="000000"/>
          <w:sz w:val="20"/>
          <w:lang w:val="en-US" w:eastAsia="en-US" w:bidi="ar-SA"/>
        </w:rPr>
        <w:t>Currie v. Thomas Estate</w:t>
      </w:r>
      <w:r>
        <w:rPr>
          <w:rFonts w:ascii="arial" w:eastAsia="arial" w:hAnsi="arial" w:cs="arial"/>
          <w:color w:val="000000"/>
          <w:sz w:val="20"/>
          <w:lang w:val="en-US" w:eastAsia="en-US" w:bidi="ar-SA"/>
        </w:rPr>
        <w:t xml:space="preserve"> (1985), 19 D.L.R. (4th) 549 at para. 47 citing the speech of Viscount Cave in </w:t>
      </w:r>
      <w:r>
        <w:rPr>
          <w:rFonts w:ascii="arial" w:eastAsia="arial" w:hAnsi="arial" w:cs="arial"/>
          <w:i/>
          <w:color w:val="000000"/>
          <w:sz w:val="20"/>
          <w:lang w:val="en-US" w:eastAsia="en-US" w:bidi="ar-SA"/>
        </w:rPr>
        <w:t>Donald Campbell &amp; Co., Ltd. v. Pollak</w:t>
      </w:r>
      <w:r>
        <w:rPr>
          <w:rFonts w:ascii="arial" w:eastAsia="arial" w:hAnsi="arial" w:cs="arial"/>
          <w:color w:val="000000"/>
          <w:sz w:val="20"/>
          <w:lang w:val="en-US" w:eastAsia="en-US" w:bidi="ar-SA"/>
        </w:rPr>
        <w:t>, [1927] A.C. 732 (H.L.), at p. 812.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issue remains, however, whether I should exercise my discretion and not award costs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Counsel for ICBC argues there are no special circumstances and no reason connected with the case or leading up to the litigation that warrants exercising my discretion against the successful party and not awarding ICBC its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Counsel for the plaintiff argues that ICBC's failure to at least advise the plaintiff she should speak to a lawyer when she made her initial claim is a special circumstance or a reason connected with the case or leading up to the litigation that merits denying the successful defendant its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VI. 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The financial circumstances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first basis which the plaintiff asserts the defendants ought to be denied costs is that she is unemployed, has no assets, and has no means to pay either the defendant's Bill of Costs or the significant amount of disbursements she owes to her own counsel. The plaintiff notes as well that her husband is now very ill and requires chemotherapy and radiation treatments, and she requires her driver's licence to drive her husband to the treatments. In essence, the plaintiff says that an order for costs will financially "cripple" her and render her incapable of assisting her husband.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 have a great deal of sympathy for the plaintiff given her very difficult circumstances; however, the case law is clear that sympathy and financial hardship, in and of themselves, are not grounds upon which this court may depart from the general rule that costs follow the event: </w:t>
      </w:r>
      <w:r>
        <w:rPr>
          <w:rFonts w:ascii="arial" w:eastAsia="arial" w:hAnsi="arial" w:cs="arial"/>
          <w:i/>
          <w:color w:val="000000"/>
          <w:sz w:val="20"/>
          <w:lang w:val="en-US" w:eastAsia="en-US" w:bidi="ar-SA"/>
        </w:rPr>
        <w:t>Smith</w:t>
      </w:r>
      <w:r>
        <w:rPr>
          <w:rFonts w:ascii="arial" w:eastAsia="arial" w:hAnsi="arial" w:cs="arial"/>
          <w:color w:val="000000"/>
          <w:sz w:val="20"/>
          <w:lang w:val="en-US" w:eastAsia="en-US" w:bidi="ar-SA"/>
        </w:rPr>
        <w:t xml:space="preserve"> at paras. 4, 14-16; </w:t>
      </w:r>
      <w:r>
        <w:rPr>
          <w:rFonts w:ascii="arial" w:eastAsia="arial" w:hAnsi="arial" w:cs="arial"/>
          <w:i/>
          <w:color w:val="000000"/>
          <w:sz w:val="20"/>
          <w:lang w:val="en-US" w:eastAsia="en-US" w:bidi="ar-SA"/>
        </w:rPr>
        <w:t>Chen</w:t>
      </w:r>
      <w:r>
        <w:rPr>
          <w:rFonts w:ascii="arial" w:eastAsia="arial" w:hAnsi="arial" w:cs="arial"/>
          <w:color w:val="000000"/>
          <w:sz w:val="20"/>
          <w:lang w:val="en-US" w:eastAsia="en-US" w:bidi="ar-SA"/>
        </w:rPr>
        <w:t xml:space="preserve"> at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Chen,</w:t>
      </w:r>
      <w:r>
        <w:rPr>
          <w:rFonts w:ascii="arial" w:eastAsia="arial" w:hAnsi="arial" w:cs="arial"/>
          <w:color w:val="000000"/>
          <w:sz w:val="20"/>
          <w:lang w:val="en-US" w:eastAsia="en-US" w:bidi="ar-SA"/>
        </w:rPr>
        <w:t xml:space="preserve"> Greyell J. reviewed some of the authorities with respect to this point, stating at paras. 12-13: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In </w:t>
      </w:r>
      <w:r>
        <w:rPr>
          <w:rFonts w:ascii="arial" w:eastAsia="arial" w:hAnsi="arial" w:cs="arial"/>
          <w:i/>
          <w:color w:val="000000"/>
          <w:sz w:val="20"/>
          <w:lang w:val="en-US" w:eastAsia="en-US" w:bidi="ar-SA"/>
        </w:rPr>
        <w:t>Robinson v. Lakner</w:t>
      </w:r>
      <w:r>
        <w:rPr>
          <w:rFonts w:ascii="arial" w:eastAsia="arial" w:hAnsi="arial" w:cs="arial"/>
          <w:color w:val="000000"/>
          <w:sz w:val="20"/>
          <w:lang w:val="en-US" w:eastAsia="en-US" w:bidi="ar-SA"/>
        </w:rPr>
        <w:t xml:space="preserve"> </w:t>
      </w:r>
      <w:hyperlink r:id="rId664" w:history="1">
        <w:r>
          <w:rPr>
            <w:rFonts w:ascii="arial" w:eastAsia="arial" w:hAnsi="arial" w:cs="arial"/>
            <w:i/>
            <w:color w:val="0077CC"/>
            <w:sz w:val="20"/>
            <w:u w:val="single"/>
            <w:shd w:val="clear" w:color="auto" w:fill="FFFFFF"/>
            <w:lang w:val="en-US" w:eastAsia="en-US" w:bidi="ar-SA"/>
          </w:rPr>
          <w:t>(1998), 159 D.L.R. (4th) 191</w:t>
        </w:r>
      </w:hyperlink>
      <w:r>
        <w:rPr>
          <w:rFonts w:ascii="arial" w:eastAsia="arial" w:hAnsi="arial" w:cs="arial"/>
          <w:color w:val="000000"/>
          <w:sz w:val="20"/>
          <w:lang w:val="en-US" w:eastAsia="en-US" w:bidi="ar-SA"/>
        </w:rPr>
        <w:t xml:space="preserve">, </w:t>
      </w:r>
      <w:hyperlink r:id="rId664" w:history="1">
        <w:r>
          <w:rPr>
            <w:rFonts w:ascii="arial" w:eastAsia="arial" w:hAnsi="arial" w:cs="arial"/>
            <w:i/>
            <w:color w:val="0077CC"/>
            <w:sz w:val="20"/>
            <w:u w:val="single"/>
            <w:shd w:val="clear" w:color="auto" w:fill="FFFFFF"/>
            <w:lang w:val="en-US" w:eastAsia="en-US" w:bidi="ar-SA"/>
          </w:rPr>
          <w:t>107 B.C.A.C. 64</w:t>
        </w:r>
      </w:hyperlink>
      <w:r>
        <w:rPr>
          <w:rFonts w:ascii="arial" w:eastAsia="arial" w:hAnsi="arial" w:cs="arial"/>
          <w:color w:val="000000"/>
          <w:sz w:val="20"/>
          <w:lang w:val="en-US" w:eastAsia="en-US" w:bidi="ar-SA"/>
        </w:rPr>
        <w:t xml:space="preserve"> (C.A.) the Court of Appeal allowed an appeal from a decision by the trial judge to limit costs awarded to a successful defendant to $1,500 because of the plaintiff's "difficult financial circumstance". The Court held, at para. 5, that "financial hardship in itself is not a sound basis for departing from the usual rule with respect to costs".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 In </w:t>
      </w:r>
      <w:r>
        <w:rPr>
          <w:rFonts w:ascii="arial" w:eastAsia="arial" w:hAnsi="arial" w:cs="arial"/>
          <w:i/>
          <w:color w:val="000000"/>
          <w:sz w:val="20"/>
          <w:lang w:val="en-US" w:eastAsia="en-US" w:bidi="ar-SA"/>
        </w:rPr>
        <w:t>Cowherd v. Fraser Valley Health Region et al</w:t>
      </w:r>
      <w:r>
        <w:rPr>
          <w:rFonts w:ascii="arial" w:eastAsia="arial" w:hAnsi="arial" w:cs="arial"/>
          <w:color w:val="000000"/>
          <w:sz w:val="20"/>
          <w:lang w:val="en-US" w:eastAsia="en-US" w:bidi="ar-SA"/>
        </w:rPr>
        <w:t xml:space="preserve">, </w:t>
      </w:r>
      <w:hyperlink r:id="rId665" w:history="1">
        <w:r>
          <w:rPr>
            <w:rFonts w:ascii="arial" w:eastAsia="arial" w:hAnsi="arial" w:cs="arial"/>
            <w:i/>
            <w:color w:val="0077CC"/>
            <w:sz w:val="20"/>
            <w:u w:val="single"/>
            <w:shd w:val="clear" w:color="auto" w:fill="FFFFFF"/>
            <w:lang w:val="en-US" w:eastAsia="en-US" w:bidi="ar-SA"/>
          </w:rPr>
          <w:t>2004 BCSC 698</w:t>
        </w:r>
      </w:hyperlink>
      <w:r>
        <w:rPr>
          <w:rFonts w:ascii="arial" w:eastAsia="arial" w:hAnsi="arial" w:cs="arial"/>
          <w:color w:val="000000"/>
          <w:sz w:val="20"/>
          <w:lang w:val="en-US" w:eastAsia="en-US" w:bidi="ar-SA"/>
        </w:rPr>
        <w:t>, Madam Justice Ballance stated, at para. 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[5] The principle which has emerged from recently decided authorities is that, in general, the unfortunate personal circumstances and characteristics of a litigant are not to be taken into account by the court in exercising its discretion in making an award of costs. Such personal circumstances would encompass a party's needy financial situation (</w:t>
      </w:r>
      <w:r>
        <w:rPr>
          <w:rFonts w:ascii="arial" w:eastAsia="arial" w:hAnsi="arial" w:cs="arial"/>
          <w:i/>
          <w:color w:val="000000"/>
          <w:sz w:val="20"/>
          <w:lang w:val="en-US" w:eastAsia="en-US" w:bidi="ar-SA"/>
        </w:rPr>
        <w:t>Brown v. Black Top Cabs Ltd.</w:t>
      </w:r>
      <w:r>
        <w:rPr>
          <w:rFonts w:ascii="arial" w:eastAsia="arial" w:hAnsi="arial" w:cs="arial"/>
          <w:color w:val="000000"/>
          <w:sz w:val="20"/>
          <w:lang w:val="en-US" w:eastAsia="en-US" w:bidi="ar-SA"/>
        </w:rPr>
        <w:t xml:space="preserve"> </w:t>
      </w:r>
      <w:hyperlink r:id="rId666" w:history="1">
        <w:r>
          <w:rPr>
            <w:rFonts w:ascii="arial" w:eastAsia="arial" w:hAnsi="arial" w:cs="arial"/>
            <w:i/>
            <w:color w:val="0077CC"/>
            <w:sz w:val="20"/>
            <w:u w:val="single"/>
            <w:shd w:val="clear" w:color="auto" w:fill="FFFFFF"/>
            <w:lang w:val="en-US" w:eastAsia="en-US" w:bidi="ar-SA"/>
          </w:rPr>
          <w:t>(1997), 43 B.C.L.R. (3d) 76</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Zelenski Estate v. Fairway</w:t>
      </w:r>
      <w:r>
        <w:rPr>
          <w:rFonts w:ascii="arial" w:eastAsia="arial" w:hAnsi="arial" w:cs="arial"/>
          <w:color w:val="000000"/>
          <w:sz w:val="20"/>
          <w:lang w:val="en-US" w:eastAsia="en-US" w:bidi="ar-SA"/>
        </w:rPr>
        <w:t xml:space="preserve"> </w:t>
      </w:r>
      <w:hyperlink r:id="rId667" w:history="1">
        <w:r>
          <w:rPr>
            <w:rFonts w:ascii="arial" w:eastAsia="arial" w:hAnsi="arial" w:cs="arial"/>
            <w:i/>
            <w:color w:val="0077CC"/>
            <w:sz w:val="20"/>
            <w:u w:val="single"/>
            <w:shd w:val="clear" w:color="auto" w:fill="FFFFFF"/>
            <w:lang w:val="en-US" w:eastAsia="en-US" w:bidi="ar-SA"/>
          </w:rPr>
          <w:t>(1998), 60 B.C.L.R. (3d) 76</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Churchland v. Gore Mutual Insurance Co.</w:t>
      </w:r>
      <w:r>
        <w:rPr>
          <w:rFonts w:ascii="arial" w:eastAsia="arial" w:hAnsi="arial" w:cs="arial"/>
          <w:color w:val="000000"/>
          <w:sz w:val="20"/>
          <w:lang w:val="en-US" w:eastAsia="en-US" w:bidi="ar-SA"/>
        </w:rPr>
        <w:t xml:space="preserve">, </w:t>
      </w:r>
      <w:hyperlink r:id="rId668" w:history="1">
        <w:r>
          <w:rPr>
            <w:rFonts w:ascii="arial" w:eastAsia="arial" w:hAnsi="arial" w:cs="arial"/>
            <w:i/>
            <w:color w:val="0077CC"/>
            <w:sz w:val="20"/>
            <w:u w:val="single"/>
            <w:shd w:val="clear" w:color="auto" w:fill="FFFFFF"/>
            <w:lang w:val="en-US" w:eastAsia="en-US" w:bidi="ar-SA"/>
          </w:rPr>
          <w:t>[1999] B.C.J. No. 2475</w:t>
        </w:r>
      </w:hyperlink>
      <w:r>
        <w:rPr>
          <w:rFonts w:ascii="arial" w:eastAsia="arial" w:hAnsi="arial" w:cs="arial"/>
          <w:color w:val="000000"/>
          <w:sz w:val="20"/>
          <w:lang w:val="en-US" w:eastAsia="en-US" w:bidi="ar-SA"/>
        </w:rPr>
        <w:t>, September 23, 1999, No. SO-9912, Vancouver (S.C.). There is also authority that the financial hardship of a litigant who would otherwise be responsible to pay costs should not, standing alone, justify a departure from the ordinary rule. (</w:t>
      </w:r>
      <w:r>
        <w:rPr>
          <w:rFonts w:ascii="arial" w:eastAsia="arial" w:hAnsi="arial" w:cs="arial"/>
          <w:i/>
          <w:color w:val="000000"/>
          <w:sz w:val="20"/>
          <w:lang w:val="en-US" w:eastAsia="en-US" w:bidi="ar-SA"/>
        </w:rPr>
        <w:t>Robinson v. Lakner</w:t>
      </w:r>
      <w:r>
        <w:rPr>
          <w:rFonts w:ascii="arial" w:eastAsia="arial" w:hAnsi="arial" w:cs="arial"/>
          <w:color w:val="000000"/>
          <w:sz w:val="20"/>
          <w:lang w:val="en-US" w:eastAsia="en-US" w:bidi="ar-SA"/>
        </w:rPr>
        <w:t xml:space="preserve"> </w:t>
      </w:r>
      <w:hyperlink r:id="rId664" w:history="1">
        <w:r>
          <w:rPr>
            <w:rFonts w:ascii="arial" w:eastAsia="arial" w:hAnsi="arial" w:cs="arial"/>
            <w:i/>
            <w:color w:val="0077CC"/>
            <w:sz w:val="20"/>
            <w:u w:val="single"/>
            <w:shd w:val="clear" w:color="auto" w:fill="FFFFFF"/>
            <w:lang w:val="en-US" w:eastAsia="en-US" w:bidi="ar-SA"/>
          </w:rPr>
          <w:t>(1998), 159 D.L.R. (4th) 191</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Numerous other authorities cited by counsel for the defendant make it clear that this Court is unable, on any principled basis, to take the plaintiff's financial circumstances into account in determining whether to award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To do otherwise would lead to inconsistent and no doubt unreasonable results. As Greyell J. so eloquently noted in </w:t>
      </w:r>
      <w:r>
        <w:rPr>
          <w:rFonts w:ascii="arial" w:eastAsia="arial" w:hAnsi="arial" w:cs="arial"/>
          <w:i/>
          <w:color w:val="000000"/>
          <w:sz w:val="20"/>
          <w:lang w:val="en-US" w:eastAsia="en-US" w:bidi="ar-SA"/>
        </w:rPr>
        <w:t>Chen</w:t>
      </w:r>
      <w:r>
        <w:rPr>
          <w:rFonts w:ascii="arial" w:eastAsia="arial" w:hAnsi="arial" w:cs="arial"/>
          <w:color w:val="000000"/>
          <w:sz w:val="20"/>
          <w:lang w:val="en-US" w:eastAsia="en-US" w:bidi="ar-SA"/>
        </w:rPr>
        <w:t xml:space="preserve"> at para. 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To conclude otherwise would undermine the rationale underlying Rule 14-9 and would likely lead to the promotion of litigation rather than to promote the "winnowing" function described by Hall J.A. in </w:t>
      </w:r>
      <w:r>
        <w:rPr>
          <w:rFonts w:ascii="arial" w:eastAsia="arial" w:hAnsi="arial" w:cs="arial"/>
          <w:i/>
          <w:color w:val="000000"/>
          <w:sz w:val="20"/>
          <w:lang w:val="en-US" w:eastAsia="en-US" w:bidi="ar-SA"/>
        </w:rPr>
        <w:t>Catalyst Paper</w:t>
      </w:r>
      <w:r>
        <w:rPr>
          <w:rFonts w:ascii="arial" w:eastAsia="arial" w:hAnsi="arial" w:cs="arial"/>
          <w:color w:val="000000"/>
          <w:sz w:val="20"/>
          <w:lang w:val="en-US" w:eastAsia="en-US" w:bidi="ar-SA"/>
        </w:rPr>
        <w:t>. It would lead to a collapse of the general principle discussed in the authorities and result in the unacceptable proposition that costs in each case would be measured not by a party's success but by the personal financial circumstances of the litigants.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wholeheartedly adopt this conclusion.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The defendant's failure to advise the plaintiff to seek legal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plaintiff also argues the defendant ought to be denied its costs because ICBC remained silent and allowed the plaintiff to compromise her case when they failed to tell her to seek legal advice so that she would be made aware of her legal obligations to take all necessary and reasonable steps to identify the unidentified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Here the plaintiff argues there is not a level playing field between the insurer and the insured. Counsel argues ICBC is in a superior position of authority and should not be allowed to simply stand silent and let an insured individual set themselves up for failure because they do not know the intricacies of the requirements to succeed in an action where the plaintiff has been injured by an unidentified motorist. At a minimum, argues the plaintiff, the insurer, because it is in a position of superior bargaining power, ought to be required to inform a party that they should seek independent legal advice to help them protect their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Counsel for the plaintiff argues that the failure of ICBC to advise the plaintiff, at least of the importance of obtaining legal advice or of the need to take some steps to try and ascertain the identity of the unknown driver, is a circumstance that falls within the exception of "some reason connected with the case or leading up to the litigation" that permits exercising my discretion to deny the successful party of its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plaintiff appears to rely in part upon the comments of Mr. Justice Barrow in </w:t>
      </w:r>
      <w:r>
        <w:rPr>
          <w:rFonts w:ascii="arial" w:eastAsia="arial" w:hAnsi="arial" w:cs="arial"/>
          <w:i/>
          <w:color w:val="000000"/>
          <w:sz w:val="20"/>
          <w:lang w:val="en-US" w:eastAsia="en-US" w:bidi="ar-SA"/>
        </w:rPr>
        <w:t>Tessier v. Vancouver (City)</w:t>
      </w:r>
      <w:r>
        <w:rPr>
          <w:rFonts w:ascii="arial" w:eastAsia="arial" w:hAnsi="arial" w:cs="arial"/>
          <w:color w:val="000000"/>
          <w:sz w:val="20"/>
          <w:lang w:val="en-US" w:eastAsia="en-US" w:bidi="ar-SA"/>
        </w:rPr>
        <w:t xml:space="preserve">, </w:t>
      </w:r>
      <w:hyperlink r:id="rId669" w:history="1">
        <w:r>
          <w:rPr>
            <w:rFonts w:ascii="arial" w:eastAsia="arial" w:hAnsi="arial" w:cs="arial"/>
            <w:i/>
            <w:color w:val="0077CC"/>
            <w:sz w:val="20"/>
            <w:u w:val="single"/>
            <w:shd w:val="clear" w:color="auto" w:fill="FFFFFF"/>
            <w:lang w:val="en-US" w:eastAsia="en-US" w:bidi="ar-SA"/>
          </w:rPr>
          <w:t>2002 BCSC 1938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Tessier</w:t>
      </w:r>
      <w:r>
        <w:rPr>
          <w:rFonts w:ascii="arial" w:eastAsia="arial" w:hAnsi="arial" w:cs="arial"/>
          <w:color w:val="000000"/>
          <w:sz w:val="20"/>
          <w:lang w:val="en-US" w:eastAsia="en-US" w:bidi="ar-SA"/>
        </w:rPr>
        <w:t xml:space="preserve">], to support her argument there ought to be a duty upon the insurer to at least advise a plaintiff of the importance of obtaining legal advice. In </w:t>
      </w:r>
      <w:r>
        <w:rPr>
          <w:rFonts w:ascii="arial" w:eastAsia="arial" w:hAnsi="arial" w:cs="arial"/>
          <w:i/>
          <w:color w:val="000000"/>
          <w:sz w:val="20"/>
          <w:lang w:val="en-US" w:eastAsia="en-US" w:bidi="ar-SA"/>
        </w:rPr>
        <w:t>Tessier</w:t>
      </w:r>
      <w:r>
        <w:rPr>
          <w:rFonts w:ascii="arial" w:eastAsia="arial" w:hAnsi="arial" w:cs="arial"/>
          <w:color w:val="000000"/>
          <w:sz w:val="20"/>
          <w:lang w:val="en-US" w:eastAsia="en-US" w:bidi="ar-SA"/>
        </w:rPr>
        <w:t xml:space="preserve"> at paras. 22-23, Barrow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I am troubled by the issue of costs. If it had been established that the plaintiff had attended at the Insurance Corporation of British Columbia and dealt with its agents and that she, as an elderly woman, had not been advised of the requirements of section 24(5), an award of costs may well not have been made. In saying that I would not for a moment impose an obligation on the Insurance Corporation of British Columbia to advise someone as to how they might discharge the obligation of section 24(5). It does not, however, seem to me to be overreaching to simply point out the provisions to an unrepresented elderly claimant who to any reasonable observer may well be relying prudently or otherwise on the representations of the Insurance Company's employees. Counsel for the Insurance Corporation quite rightly points out that there is no obligation on the Insurance Company's employees to do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On the other hand, if that step is not taken, and I pause to note it does not appear to me to be a particularly onerous requirement, to remain silent and thereafter rely on the plaintiff's failure when seeking to be removed as a defendant in a subsequent lawsuit is not a circumstance, in my view, which would render an award of costs appropriate. I am unable to conclude on the circumstances before me that that is what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 do not interpret that passage as suggesting there is an obligation on the part of ICBC through its employees to advise a potential plaintiff of the importance of obtaining legal advice. However, I do agree with Barrow J. that it likely would not be particularly onerous for ICBC, through its employees, to at least bring the provisions of s. 24(5)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to the attention of a potential plaintiff when they first attend and provide a statement about their claim, especially where the circumstances suggest the person does not understand or is unaware of their obligations. However, to deprive the successful defendant of its costs for failing to bring this provision to the attention of the plaintiff would result in imposing an element of quasi-liability on the defendant when in fact the defendant was found not to be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Counsel for ICBC argues there are no special circumstances and no reason in connection with the case to deprive it of its costs. On this point he argues it must be inferred the plaintiff accepted and bore the risk of continuing her action once she had counsel and was put on notice by ICBC both with its statement of defence and through the examination for discovery process where the provisions of s. 24(5)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were brought to the plaintiff's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Counsel for ICBC also argues that by virtue of the comments at para. 55(q) of my judgment dismissing the action, it is clear there are no circumstances connected with the case that would suggest ICBC should be deprived of its entitlement to an award of costs and that the plaintiff ought not to be permitted to revisit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Catalyst Paper Corporation v. Companhia de Navegaçao Norsul</w:t>
      </w:r>
      <w:r>
        <w:rPr>
          <w:rFonts w:ascii="arial" w:eastAsia="arial" w:hAnsi="arial" w:cs="arial"/>
          <w:color w:val="000000"/>
          <w:sz w:val="20"/>
          <w:lang w:val="en-US" w:eastAsia="en-US" w:bidi="ar-SA"/>
        </w:rPr>
        <w:t xml:space="preserve">, </w:t>
      </w:r>
      <w:hyperlink r:id="rId15" w:history="1">
        <w:r>
          <w:rPr>
            <w:rFonts w:ascii="arial" w:eastAsia="arial" w:hAnsi="arial" w:cs="arial"/>
            <w:i/>
            <w:color w:val="0077CC"/>
            <w:sz w:val="20"/>
            <w:u w:val="single"/>
            <w:shd w:val="clear" w:color="auto" w:fill="FFFFFF"/>
            <w:lang w:val="en-US" w:eastAsia="en-US" w:bidi="ar-SA"/>
          </w:rPr>
          <w:t>2009 BCCA 16</w:t>
        </w:r>
      </w:hyperlink>
      <w:r>
        <w:rPr>
          <w:rFonts w:ascii="arial" w:eastAsia="arial" w:hAnsi="arial" w:cs="arial"/>
          <w:color w:val="000000"/>
          <w:sz w:val="20"/>
          <w:lang w:val="en-US" w:eastAsia="en-US" w:bidi="ar-SA"/>
        </w:rPr>
        <w:t>, Mr. Justice Hall, writing for the Court of Appeal, made clear three significant points: (i) costs rules have a purpose beyond indemnification of the successful party and serve to provide a winnowing function in the litigation process (at paras. 13-16); (ii) depriving a successful party of costs on a finding of quasi-liability for pre-litigation conduct that is not actionable is an erroneous application of the principles guiding the exercise of discretion in determining when and how to award costs (at para. 12); and (iii) departures from the usual rule that costs follow the event will not be countenanced (at para.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More recently in </w:t>
      </w:r>
      <w:r>
        <w:rPr>
          <w:rFonts w:ascii="arial" w:eastAsia="arial" w:hAnsi="arial" w:cs="arial"/>
          <w:i/>
          <w:color w:val="000000"/>
          <w:sz w:val="20"/>
          <w:lang w:val="en-US" w:eastAsia="en-US" w:bidi="ar-SA"/>
        </w:rPr>
        <w:t>Wah Fai Plumbing &amp; Heating Inc. v. Ma</w:t>
      </w:r>
      <w:r>
        <w:rPr>
          <w:rFonts w:ascii="arial" w:eastAsia="arial" w:hAnsi="arial" w:cs="arial"/>
          <w:color w:val="000000"/>
          <w:sz w:val="20"/>
          <w:lang w:val="en-US" w:eastAsia="en-US" w:bidi="ar-SA"/>
        </w:rPr>
        <w:t xml:space="preserve">, </w:t>
      </w:r>
      <w:hyperlink r:id="rId670" w:history="1">
        <w:r>
          <w:rPr>
            <w:rFonts w:ascii="arial" w:eastAsia="arial" w:hAnsi="arial" w:cs="arial"/>
            <w:i/>
            <w:color w:val="0077CC"/>
            <w:sz w:val="20"/>
            <w:u w:val="single"/>
            <w:shd w:val="clear" w:color="auto" w:fill="FFFFFF"/>
            <w:lang w:val="en-US" w:eastAsia="en-US" w:bidi="ar-SA"/>
          </w:rPr>
          <w:t>2011 BCCA 26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Wah Fai Plumbing</w:t>
      </w:r>
      <w:r>
        <w:rPr>
          <w:rFonts w:ascii="arial" w:eastAsia="arial" w:hAnsi="arial" w:cs="arial"/>
          <w:color w:val="000000"/>
          <w:sz w:val="20"/>
          <w:lang w:val="en-US" w:eastAsia="en-US" w:bidi="ar-SA"/>
        </w:rPr>
        <w:t xml:space="preserve">], the Court of Appeal overturned the trial judge's order, </w:t>
      </w:r>
      <w:hyperlink r:id="rId671" w:history="1">
        <w:r>
          <w:rPr>
            <w:rFonts w:ascii="arial" w:eastAsia="arial" w:hAnsi="arial" w:cs="arial"/>
            <w:i/>
            <w:color w:val="0077CC"/>
            <w:sz w:val="20"/>
            <w:u w:val="single"/>
            <w:shd w:val="clear" w:color="auto" w:fill="FFFFFF"/>
            <w:lang w:val="en-US" w:eastAsia="en-US" w:bidi="ar-SA"/>
          </w:rPr>
          <w:t>[2009] B.C.J. No. 2861</w:t>
        </w:r>
      </w:hyperlink>
      <w:r>
        <w:rPr>
          <w:rFonts w:ascii="arial" w:eastAsia="arial" w:hAnsi="arial" w:cs="arial"/>
          <w:color w:val="000000"/>
          <w:sz w:val="20"/>
          <w:lang w:val="en-US" w:eastAsia="en-US" w:bidi="ar-SA"/>
        </w:rPr>
        <w:t xml:space="preserve">, depriving the successful party its costs due to their failure to comply with provisions of the </w:t>
      </w:r>
      <w:r>
        <w:rPr>
          <w:rFonts w:ascii="arial" w:eastAsia="arial" w:hAnsi="arial" w:cs="arial"/>
          <w:i/>
          <w:color w:val="000000"/>
          <w:sz w:val="20"/>
          <w:lang w:val="en-US" w:eastAsia="en-US" w:bidi="ar-SA"/>
        </w:rPr>
        <w:t>Builders Lien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1997, c. 45</w:t>
      </w:r>
      <w:r>
        <w:rPr>
          <w:rFonts w:ascii="arial" w:eastAsia="arial" w:hAnsi="arial" w:cs="arial"/>
          <w:color w:val="000000"/>
          <w:sz w:val="20"/>
          <w:lang w:val="en-US" w:eastAsia="en-US" w:bidi="ar-SA"/>
        </w:rPr>
        <w:t>. In overturning the trial judge's decision refusing costs Madam Justice Levine, writing for the Court, reiterated the general principle that costs cannot be denied on the basis of pre-litigation conduct, stating at paras. 62-63: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[62] The trial judge refused costs to the successful Owners because their failure to comply with the holdback provisions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affected the manner in which the action proceeded. In doing so, the trial judge erred in principle in exercising his discretion as to costs by relying on pre-litigation conduct of the Owners: see </w:t>
      </w:r>
      <w:r>
        <w:rPr>
          <w:rFonts w:ascii="arial" w:eastAsia="arial" w:hAnsi="arial" w:cs="arial"/>
          <w:i/>
          <w:color w:val="000000"/>
          <w:sz w:val="20"/>
          <w:lang w:val="en-US" w:eastAsia="en-US" w:bidi="ar-SA"/>
        </w:rPr>
        <w:t>Rossmo v. Vancouver Police Board et al.,</w:t>
      </w:r>
      <w:r>
        <w:rPr>
          <w:rFonts w:ascii="arial" w:eastAsia="arial" w:hAnsi="arial" w:cs="arial"/>
          <w:color w:val="000000"/>
          <w:sz w:val="20"/>
          <w:lang w:val="en-US" w:eastAsia="en-US" w:bidi="ar-SA"/>
        </w:rPr>
        <w:t xml:space="preserve"> </w:t>
      </w:r>
      <w:hyperlink r:id="rId672" w:history="1">
        <w:r>
          <w:rPr>
            <w:rFonts w:ascii="arial" w:eastAsia="arial" w:hAnsi="arial" w:cs="arial"/>
            <w:i/>
            <w:color w:val="0077CC"/>
            <w:sz w:val="20"/>
            <w:u w:val="single"/>
            <w:shd w:val="clear" w:color="auto" w:fill="FFFFFF"/>
            <w:lang w:val="en-US" w:eastAsia="en-US" w:bidi="ar-SA"/>
          </w:rPr>
          <w:t>2003 BCCA 677</w:t>
        </w:r>
      </w:hyperlink>
      <w:r>
        <w:rPr>
          <w:rFonts w:ascii="arial" w:eastAsia="arial" w:hAnsi="arial" w:cs="arial"/>
          <w:color w:val="000000"/>
          <w:sz w:val="20"/>
          <w:lang w:val="en-US" w:eastAsia="en-US" w:bidi="ar-SA"/>
        </w:rPr>
        <w:t xml:space="preserve"> at paras. 59 and 62, </w:t>
      </w:r>
      <w:hyperlink r:id="rId672" w:history="1">
        <w:r>
          <w:rPr>
            <w:rFonts w:ascii="arial" w:eastAsia="arial" w:hAnsi="arial" w:cs="arial"/>
            <w:i/>
            <w:color w:val="0077CC"/>
            <w:sz w:val="20"/>
            <w:u w:val="single"/>
            <w:shd w:val="clear" w:color="auto" w:fill="FFFFFF"/>
            <w:lang w:val="en-US" w:eastAsia="en-US" w:bidi="ar-SA"/>
          </w:rPr>
          <w:t>21 B.C.L.R. (4th) 68</w:t>
        </w:r>
      </w:hyperlink>
      <w:r>
        <w:rPr>
          <w:rFonts w:ascii="arial" w:eastAsia="arial" w:hAnsi="arial" w:cs="arial"/>
          <w:color w:val="000000"/>
          <w:sz w:val="20"/>
          <w:lang w:val="en-US" w:eastAsia="en-US" w:bidi="ar-SA"/>
        </w:rPr>
        <w:t xml:space="preserve">, followed in </w:t>
      </w:r>
      <w:r>
        <w:rPr>
          <w:rFonts w:ascii="arial" w:eastAsia="arial" w:hAnsi="arial" w:cs="arial"/>
          <w:i/>
          <w:color w:val="000000"/>
          <w:sz w:val="20"/>
          <w:lang w:val="en-US" w:eastAsia="en-US" w:bidi="ar-SA"/>
        </w:rPr>
        <w:t>Brito (Guardian ad litem of) v. Woolley</w:t>
      </w:r>
      <w:r>
        <w:rPr>
          <w:rFonts w:ascii="arial" w:eastAsia="arial" w:hAnsi="arial" w:cs="arial"/>
          <w:color w:val="000000"/>
          <w:sz w:val="20"/>
          <w:lang w:val="en-US" w:eastAsia="en-US" w:bidi="ar-SA"/>
        </w:rPr>
        <w:t xml:space="preserve">, </w:t>
      </w:r>
      <w:hyperlink r:id="rId673" w:history="1">
        <w:r>
          <w:rPr>
            <w:rFonts w:ascii="arial" w:eastAsia="arial" w:hAnsi="arial" w:cs="arial"/>
            <w:i/>
            <w:color w:val="0077CC"/>
            <w:sz w:val="20"/>
            <w:u w:val="single"/>
            <w:shd w:val="clear" w:color="auto" w:fill="FFFFFF"/>
            <w:lang w:val="en-US" w:eastAsia="en-US" w:bidi="ar-SA"/>
          </w:rPr>
          <w:t>2007 BCCA 1</w:t>
        </w:r>
      </w:hyperlink>
      <w:r>
        <w:rPr>
          <w:rFonts w:ascii="arial" w:eastAsia="arial" w:hAnsi="arial" w:cs="arial"/>
          <w:color w:val="000000"/>
          <w:sz w:val="20"/>
          <w:lang w:val="en-US" w:eastAsia="en-US" w:bidi="ar-SA"/>
        </w:rPr>
        <w:t xml:space="preserve"> at paras. 27 and 28, </w:t>
      </w:r>
      <w:hyperlink r:id="rId673" w:history="1">
        <w:r>
          <w:rPr>
            <w:rFonts w:ascii="arial" w:eastAsia="arial" w:hAnsi="arial" w:cs="arial"/>
            <w:i/>
            <w:color w:val="0077CC"/>
            <w:sz w:val="20"/>
            <w:u w:val="single"/>
            <w:shd w:val="clear" w:color="auto" w:fill="FFFFFF"/>
            <w:lang w:val="en-US" w:eastAsia="en-US" w:bidi="ar-SA"/>
          </w:rPr>
          <w:t>63 B.C.L.R. (4th) 139</w:t>
        </w:r>
      </w:hyperlink>
      <w:r>
        <w:rPr>
          <w:rFonts w:ascii="arial" w:eastAsia="arial" w:hAnsi="arial" w:cs="arial"/>
          <w:color w:val="000000"/>
          <w:sz w:val="20"/>
          <w:lang w:val="en-US" w:eastAsia="en-US" w:bidi="ar-SA"/>
        </w:rPr>
        <w:t xml:space="preserve">. This Court said in </w:t>
      </w:r>
      <w:r>
        <w:rPr>
          <w:rFonts w:ascii="arial" w:eastAsia="arial" w:hAnsi="arial" w:cs="arial"/>
          <w:i/>
          <w:color w:val="000000"/>
          <w:sz w:val="20"/>
          <w:lang w:val="en-US" w:eastAsia="en-US" w:bidi="ar-SA"/>
        </w:rPr>
        <w:t>Rossmo</w:t>
      </w:r>
      <w:r>
        <w:rPr>
          <w:rFonts w:ascii="arial" w:eastAsia="arial" w:hAnsi="arial" w:cs="arial"/>
          <w:color w:val="000000"/>
          <w:sz w:val="20"/>
          <w:lang w:val="en-US" w:eastAsia="en-US" w:bidi="ar-SA"/>
        </w:rPr>
        <w:t xml:space="preserve"> at para. 62: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conclude that the trial judge erred in principle by basing her decision on pre-litigation conduct. The very purpose of the litigation was to determine whether the impugned conduct supported a cause of action leading to a judgment in damages. The trial judge found no liability against DCC Unger. Costs should follow that determination. The order denying him costs amounts to a finding of quasi-liability and cannot be sustained.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[63] Similarly, in this case, the very purpose of the litigation was to determine whether the failure of the Owners to retain a holdback supported a cause of action by the appellant to enforce a claim against the holdback. The trial judge found that it did not. The order denying the Owners' costs amounts to a finding of quasi-liability. While the nonexistence of the holdback is the primary reason for denying the appellant's claim, it is the application of the law that gives rise to that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This line of authority from the Court of Appeal makes it very clear that trial judges err in exercising their discretion to deprive an otherwise successful litigant of costs because of pre-trial conduct. To do so would amount to a finding of quasi -liability against the successful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It is clear from the decisions cited in my original judgment dismissing the action that ICBC has no obligation to advise a plaintiff of the nature of the steps they need to take in order to satisfy the court they have taken all necessary and reasonable steps to ascertain the identity of the offending unidentified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do not understand the jurisprudence or the governing statutory provisions to place any sort of positive obligation on ICBC through its employees to either advise a plaintiff of the steps they must take to ascertain an unknown driver's identity or of the need to obtain independent legal advice on this provision.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cannot accede to counsel's suggestion that ICBC or an insurer has a positive obligation to advise an insured of the need to obtain legal advice. To do so would fundamentally change the nature of the contractual relationship between the insurer and insured and place the insurer in a position of quasi-authority requiring it to provide an element of legal advice, something adjusters and claims managers may not be well suited to do and may create a host of unanticipated and unforeseen consequences.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While the comments of Barrow J. in </w:t>
      </w:r>
      <w:r>
        <w:rPr>
          <w:rFonts w:ascii="arial" w:eastAsia="arial" w:hAnsi="arial" w:cs="arial"/>
          <w:i/>
          <w:color w:val="000000"/>
          <w:sz w:val="20"/>
          <w:lang w:val="en-US" w:eastAsia="en-US" w:bidi="ar-SA"/>
        </w:rPr>
        <w:t>Tessier</w:t>
      </w:r>
      <w:r>
        <w:rPr>
          <w:rFonts w:ascii="arial" w:eastAsia="arial" w:hAnsi="arial" w:cs="arial"/>
          <w:color w:val="000000"/>
          <w:sz w:val="20"/>
          <w:lang w:val="en-US" w:eastAsia="en-US" w:bidi="ar-SA"/>
        </w:rPr>
        <w:t xml:space="preserve"> are compelling as to the fairness that at least notifying a plaintiff of the provisions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would appear to create, the fact of the matter is that there is no statutory authority mandating that ICBC advise or alert a potential plaintiff of the provisions of s. 24(5)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Moreover, the jurisprudence since 2003, and most recently re-stated in </w:t>
      </w:r>
      <w:r>
        <w:rPr>
          <w:rFonts w:ascii="arial" w:eastAsia="arial" w:hAnsi="arial" w:cs="arial"/>
          <w:i/>
          <w:color w:val="000000"/>
          <w:sz w:val="20"/>
          <w:lang w:val="en-US" w:eastAsia="en-US" w:bidi="ar-SA"/>
        </w:rPr>
        <w:t>Wah Fai Plumbing,</w:t>
      </w:r>
      <w:r>
        <w:rPr>
          <w:rFonts w:ascii="arial" w:eastAsia="arial" w:hAnsi="arial" w:cs="arial"/>
          <w:color w:val="000000"/>
          <w:sz w:val="20"/>
          <w:lang w:val="en-US" w:eastAsia="en-US" w:bidi="ar-SA"/>
        </w:rPr>
        <w:t xml:space="preserve"> establishes that denying a successful litigant its costs based on pre-litigation conduct or for reasons that appear to impose quasi-liability on the successful party and sanction non-actionable conduct is not an appropriate or principled application of the costs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must say again that, in this case, I have a great deal of sympathy for the unsuccessful plaintiff, particularly in light of ICBC's failure to set her straight at the outset when it was apparent she did not understand the process. However, by the time the statement of defence was issued in October 2007, it would have been clear to the plaintiff and her counsel that her case was in peril, or definitely not nearly as strong as initially believed.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To deny the defendant its costs in this case would be contrary to the purpose of the costs provisions which include the winnowing function in the litigation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VI.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plaintiff's application to deny the defendant its costs in this case is dismissed and the defendant is entitled to the costs of this action and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K.M. KER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Correction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August 5,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Reasons for Judgment of Madam Justice Ker dated August 3, 2011 have been amended as follows:</w:t>
      </w:r>
      <w:r>
        <w:rPr>
          <w:rFonts w:ascii="arial" w:eastAsia="arial" w:hAnsi="arial" w:cs="arial"/>
          <w:sz w:val="20"/>
          <w:lang w:val="en-US" w:eastAsia="en-US" w:bidi="ar-SA"/>
        </w:rPr>
        <w:cr/>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neutral citation on the front page has been amended to Morris v. Doe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K.M. KER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2" style="position:absolute;z-index:251790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4"/>
          <w:headerReference w:type="default" r:id="rId675"/>
          <w:footerReference w:type="even" r:id="rId676"/>
          <w:footerReference w:type="default" r:id="rId677"/>
          <w:headerReference w:type="first" r:id="rId678"/>
          <w:footerReference w:type="first" r:id="rId67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680" w:history="1">
        <w:r>
          <w:rPr>
            <w:rFonts w:ascii="arial" w:eastAsia="arial" w:hAnsi="arial" w:cs="arial"/>
            <w:b/>
            <w:bCs/>
            <w:i/>
            <w:color w:val="0077CC"/>
            <w:kern w:val="32"/>
            <w:sz w:val="28"/>
            <w:szCs w:val="32"/>
            <w:u w:val="single"/>
            <w:shd w:val="clear" w:color="auto" w:fill="FFFFFF"/>
            <w:lang w:val="en-US" w:eastAsia="en-US" w:bidi="ar-SA"/>
          </w:rPr>
          <w:t>Pardanyi v. Wilson, [2004] B.C.J. No. 2967</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Boyd J.</w:t>
      </w:r>
    </w:p>
    <w:p>
      <w:pPr>
        <w:spacing w:before="120" w:line="260" w:lineRule="atLeast"/>
        <w:jc w:val="center"/>
        <w:rPr>
          <w:lang w:val="en-US" w:eastAsia="en-US" w:bidi="ar-SA"/>
        </w:rPr>
      </w:pPr>
      <w:r>
        <w:rPr>
          <w:rFonts w:ascii="arial" w:eastAsia="arial" w:hAnsi="arial" w:cs="arial"/>
          <w:color w:val="000000"/>
          <w:sz w:val="20"/>
          <w:lang w:val="en-US" w:eastAsia="en-US" w:bidi="ar-SA"/>
        </w:rPr>
        <w:t>Oral judgment: March 5, 2004.</w:t>
      </w:r>
    </w:p>
    <w:p>
      <w:pPr>
        <w:spacing w:before="120" w:line="260" w:lineRule="atLeast"/>
        <w:jc w:val="center"/>
        <w:rPr>
          <w:lang w:val="en-US" w:eastAsia="en-US" w:bidi="ar-SA"/>
        </w:rPr>
      </w:pPr>
      <w:r>
        <w:rPr>
          <w:rFonts w:ascii="arial" w:eastAsia="arial" w:hAnsi="arial" w:cs="arial"/>
          <w:color w:val="000000"/>
          <w:sz w:val="20"/>
          <w:lang w:val="en-US" w:eastAsia="en-US" w:bidi="ar-SA"/>
        </w:rPr>
        <w:t>Released: October 24, 2005.</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M033415</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[2004] B.C.J. No. 2967</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2004 BCSC 1804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143 A.C.W.S. (3d) 492</w:t>
      </w:r>
    </w:p>
    <w:p>
      <w:pPr>
        <w:spacing w:before="120" w:line="260" w:lineRule="atLeast"/>
        <w:rPr>
          <w:lang w:val="en-US" w:eastAsia="en-US" w:bidi="ar-SA"/>
        </w:rPr>
      </w:pPr>
      <w:r>
        <w:rPr>
          <w:rFonts w:ascii="arial" w:eastAsia="arial" w:hAnsi="arial" w:cs="arial"/>
          <w:color w:val="000000"/>
          <w:sz w:val="20"/>
          <w:lang w:val="en-US" w:eastAsia="en-US" w:bidi="ar-SA"/>
        </w:rPr>
        <w:t>Between Miklos Pardanyi, plaintiff, and Jacqueline Wilson,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(55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33" style="position:absolute;z-index:251688960"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52" w:name="Keywords_8"/>
      <w:bookmarkEnd w:id="152"/>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Motor vehicles — Liability of driver — Defendant's admitted liability for motor vehicle accident caused plaintiff's injuries. Damages — General damages — For personal injuries — General damages awarded for injuries sustained in motor vehicle accident. Damages — Special damages — Rehabilitation costs — Special damages awarded for injuries sustained in motor vehicle accident. Damages — For torts — Affecting the person — General and Special damages awarded for injuries sustained in motor vehicle accident. Damages — Physical injuries — Body injuries — Neck — Whiplash — General and special damages awarded for injuries sustained in motor vehicle accident.</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53" w:name="Case Summary_7"/>
            <w:bookmarkEnd w:id="153"/>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Defendant testified she was moving slowly when struck 44 year-old plaintiff's vehicle from the rear -- Accident characterized by insurer as a low velocity impact collision -- At time of impact, plaintiff attempting to shield elderly passenger -- In that vulnerable position, he was thrown forward with significant force -- Plaintiff only began experiencing headaches and stiffness in neck and upper shoulder area two days after accident -- Pain increased and three weeks later plaintiff diagnosed with moderate whiplash injury featuring acute symptoms during initial period -- Plaintiff's job physically demanding and he missed three months work -- Plaintiff experienced residual flare-up soft tissue injuries for one and a half years after accident requiring chiropractic and message therapy treatment -- Plaintiff established injuries resulted from accident -- Plaintiff awarded non-pecuniary damages of $20,000, wage loss in amount of $8,126 reduced by applicable 20 percent income tax deduction, and special damages in amount of $1,442 for various treatments. </w:t>
            </w:r>
            <w:r>
              <w:rPr>
                <w:lang w:val="en-US" w:eastAsia="en-US" w:bidi="ar-SA"/>
              </w:rPr>
              <w:cr/>
            </w:r>
          </w:p>
          <w:p>
            <w:pPr>
              <w:rPr>
                <w:lang w:val="en-US" w:eastAsia="en-US" w:bidi="ar-SA"/>
              </w:rPr>
            </w:pPr>
          </w:p>
        </w:tc>
      </w:tr>
    </w:tbl>
    <w:p>
      <w:pPr>
        <w:jc w:val="both"/>
        <w:rPr>
          <w:lang w:val="en-US" w:eastAsia="en-US" w:bidi="ar-SA"/>
        </w:rPr>
      </w:pPr>
      <w:bookmarkStart w:id="154" w:name="Legislation Cited_5"/>
      <w:bookmarkEnd w:id="154"/>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134" style="position:absolute;z-index:25174016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British Columbia Supreme Court Rules Rule 66</w:t>
      </w:r>
      <w:r>
        <w:rPr>
          <w:lang w:val="en-US" w:eastAsia="en-US" w:bidi="ar-SA"/>
        </w:rPr>
        <w:cr/>
      </w:r>
    </w:p>
    <w:p>
      <w:pPr>
        <w:keepNext/>
        <w:spacing w:before="240" w:line="340" w:lineRule="atLeast"/>
        <w:rPr>
          <w:lang w:val="en-US" w:eastAsia="en-US" w:bidi="ar-SA"/>
        </w:rPr>
      </w:pPr>
      <w:bookmarkStart w:id="155" w:name="Counsel_29"/>
      <w:bookmarkEnd w:id="155"/>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35" style="position:absolute;z-index:25179136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T. Kornfeld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B. Von Krosigk</w:t>
      </w:r>
      <w:r>
        <w:rPr>
          <w:lang w:val="en-US" w:eastAsia="en-US" w:bidi="ar-SA"/>
        </w:rPr>
        <w:cr/>
      </w:r>
    </w:p>
    <w:p>
      <w:pPr>
        <w:spacing w:after="240"/>
        <w:rPr>
          <w:lang w:val="en-US" w:eastAsia="en-US" w:bidi="ar-SA"/>
        </w:rPr>
      </w:pPr>
      <w:bookmarkStart w:id="156" w:name="Judgment_29"/>
      <w:bookmarkEnd w:id="156"/>
      <w:r>
        <w:pict>
          <v:line id="_x0000_s1136" style="position:absolute;z-index:251823104"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57" w:name="BOYD J. (orally)"/>
            <w:bookmarkEnd w:id="157"/>
            <w:r>
              <w:rPr>
                <w:rFonts w:ascii="arial" w:eastAsia="arial" w:hAnsi="arial" w:cs="arial"/>
                <w:b/>
                <w:color w:val="000000"/>
                <w:sz w:val="30"/>
                <w:lang w:val="en-US" w:eastAsia="en-US" w:bidi="ar-SA"/>
              </w:rPr>
              <w:t>BOYD J. (orally)</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claims injuries arising from a motor vehicle accident which occurred on March 13th, 2000, near the intersection of Inglewood Avenue and Taylor Way in West Vancouver, British Columbia.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While liability has been admitted by the defence, the defence position is nevertheless that the accident in question was what is referred to as a "low velocity impact collision" and as a result, the accident either gave rise to no injuries or minimal injuries.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Turning to the background, the plaintiff testified that at the time of the accident he was returning from Horseshoe Bay, driving his elderly passenger to the downtown Vancouver area. As he was driving southbound on Taylor Way, he came to a full stop at the intersection of Inglewood and Taylor Way behind some traffic. He was stopped approximately five to six feet behind the vehicle ahead.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Within three to five seconds after being stopped, he looked into his rear-view mirror and could see the defendant's van approaching at such a speed that he immediately calculated the vehicle would be unable to stop. He instinctively turned to his elderly passenger and put his right arm in front of his chest, in an effort to prevent him from eventually being propelled forward.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What he described as "a big bang" followed. His Volvo station wagon was propelled forward some three to four feet, although not striking the vehicle ahead. The plaintiff himself was thrown forward, caught by his own three-point seatbelt and then thrown backward, his head striking the headrest behind. He described the impact as being of a medium impact.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taking the position that this was a low velocity impact with little or no damage sustained, the defence relies both on the defendant driver's own evidence and that of the ICBC estimators who examined the defendant s vehicle some days later.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 was driving her Chevrolet Astro van southbound on Taylor Way with her four-year-old grandson as her front seat passenger. She testified that after merging on to Taylor Way and travelling downhill, she came to a full stop at the Inglewood intersection, being the first in a number of vehicles in line.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Contrary to the plaintiff who described the traffic as medium to heavy, she said there was little or no traffic on Taylor Way. Once the light at Inglewood turned green, she testified that she moved ahead slowly.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Based on her years of earlier service as a nurse at the neighbouring Inglewood Care Centre, she said it was her experience that when the light turned green at Inglewood the next southbound traffic control light on Taylor Way would be turning red. Anticipating, therefore, a red light ahead, she says she moved ahead slowly with one foot on the brake of the vehicle. Even so, she said that her vehicle began to pick up speed as it travelled downhill. She said she realized she would have difficulty stopping and thus put both feet onto the brake pedal, but still could not bring the vehicle to a stop.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She testified that she contemplated turning or cranking the vehicle to the right to climb up onto the adjoining sidewalk, but did not do so since a pedestrian was on the walkway and might have been injured. As a result, she continued forward and eventually struck the rear of the plaintiff's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She insists, however, that by the time of the collision her vehicle was "barely moving" and that she did no more than tap the rear of the plaintiff's vehicle. She said there was little or no impact, and that neither she nor her small grandson were propelled forward at the time of impact.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She had no accurate recollection of the damage to the plaintiff's vehicle, apart from what she described as a small pushing in of what she described as the accordion bumper of the Volvo station wagon. As to her own vehicle, she denied that there was any damage sustained whatsoever.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being shown photographs of certain black scuff marks and the indentation on the left side of the front bumper of her van, she again denied that the damage was sustained in this accident, but insisted that that damage had been sustained approximately a week earlier in a parking lot when some other vehicle had bumped into her van.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regret to say that I found the defendant's evidence both unreliable and almost entirely lacking in credibility. I note that her evidence was both inconsistent with the evidence of the plaintiff, but more particularly, was internally inconsistent.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She completed a low velocity impact questionnaire on May 1st, 2000, at the behest of the Insurance Corporation, at which time she indicated there was "slight damage" to her own vehicle. This, of course, conflicted directly with the evidence she provided at trial. Nowhere in that questionnaire did she make any reference to a brake failure being the cause of this accident, yet this was quite obviously her evidence at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Furthermore, in the same questionnaire, she made no reference to any old damage to the front bumper, which also conflicted with the evidence given at trial. While she insisted that she discussed the issue of old damage with the estimator at the time of the original assessment on March 14th, 2000, this was not noted anywhere on the original SL14 estimate sheet. I conclude that no such conversation took place.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Since I have placed no weight at all on the defendant's evidence concerning the collision or the severity of the impact involved, I turn therefore to an analysis of the physical damage sustained, which is, of course, the second leg of the defence argument here.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As I have mentioned, the defence places great emphasis on the evidence of the two ICBC claims estimators involved, who characterized the damage to the defendant's vehicle as cosmetic in nature. Neither estimator noted any damage to the bumper, in terms of any shifting of the bumper or any underlying structural damage. At most, they recorded scruff marks to the left front bumper and a dimpling of this bumper just below the scuff mark area. It was estimated that the damage to the front bumper of the defendant's vehicle would require approximately 4.9 hours of work at a cost of approximately $350 to $450.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note that this damage claim was treated as a straightforward claim on March 15th, 2004, with no mention at that time of any characterization of the claim as a low velocity impact claim.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Some time later, on approximately May 1st, the defendant was asked to re-attend the Claims Centre, and the estimators were instructed by the adjustor to consider whether the claim fell into the category of a low velocity impact claim. The estimators reviewed the matter, and the accident was so categorized.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infer that by this point in time the plaintiff had reported his injuries to the insurer and the matter was being considered, at least retrospectively, to determine whether an LVI defence could be mounted.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While I do not suggest either estimator acted subject to any direction, it is significant nevertheless that this characterization arose late in the day, following the plaintiff's own reporting of the claim.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It should be noted that the plaintiff's own 1985 Volvo station wagon sustained some damage which is not inconsequential. The tailpipe of the vehicle was broken off, the rear bumper collapsed and crushed in, and the rear right taillight broken. As I recall the evidence, the cost of the repairs was in the order of approximately $900. No photographs were taken of the damage, but I accept the plaintiff's evidence on this point, and the cost estimates, of course, reflect the damage which was viewed by the Tiptop Collision estimator.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the whole of the evidence, the court has been asked to infer that on the basis of the defendant's evidence, and on the basis of the Claim Centre's characterization of the claim as a low velocity impact collision, the plaintiff has not proven on a balance of probabilities that the injuries which he suffered could have arisen from this collision.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my view, there is nothing in the evidence of the defendant herself to support this, nor is there anything in the evidence of either estimator to support such a conclusion.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Both individuals conceded that they are not forensic estimators, and that at the very most they could provide the court with opinion evidence as to the particular damage attributable to the collision and the cost thereof. However, neither individual was able to provide any evidence concerning what injury or injuries could reasonably be expected to arise from this or any other damage to a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As Justice Thackray noted in his decision in Leslie Gordon v. Gordon Palmer </w:t>
      </w:r>
      <w:hyperlink r:id="rId681" w:history="1">
        <w:r>
          <w:rPr>
            <w:rFonts w:ascii="arial" w:eastAsia="arial" w:hAnsi="arial" w:cs="arial"/>
            <w:i/>
            <w:color w:val="0077CC"/>
            <w:sz w:val="20"/>
            <w:u w:val="single"/>
            <w:shd w:val="clear" w:color="auto" w:fill="FFFFFF"/>
            <w:lang w:val="en-US" w:eastAsia="en-US" w:bidi="ar-SA"/>
          </w:rPr>
          <w:t>(1993), 78 B.C.L.R. (2d) 236</w:t>
        </w:r>
      </w:hyperlink>
      <w:r>
        <w:rPr>
          <w:rFonts w:ascii="arial" w:eastAsia="arial" w:hAnsi="arial" w:cs="arial"/>
          <w:color w:val="000000"/>
          <w:sz w:val="20"/>
          <w:lang w:val="en-US" w:eastAsia="en-US" w:bidi="ar-SA"/>
        </w:rPr>
        <w:t>, there is no legal principle to the effect that if there is no motor vehicle damage, then there can be no injury. As he noted: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Significant injuries can be caused by the most casual of slips and falls. Conversely, accidents causing extensive property damage may leave those involved unscathed. The presence and extent of injuries are to be determined on the basis of evidence given in court.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Here, I am satisfied that the plaintiff has proven on a balance of probabilities, as a matter of causation, that the injuries he suffered were indeed attributable to the accident in issue. I am satisfied that, contrary to the defence evidence, his vehicle was struck with some considerable force. I am satisfied that he was thrown forward with some significant force. It is noteworthy that at the time of the collision he was turned, looking towards his elderly passenger, with one arm free and across his passenger's chest. It is noteworthy that he was in this particularly vulnerable position at the time the injuries were sustained.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will turn now to address the issue of the appropriate quantum of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is forth-eight years of age, and I take it was approximately forty-four years of age on the date of the accident. He trained as a mechanical engineer in Hungary, but has worked as a caregiver with Drake Medox from 1991 until August 2003. I accept his evidence that his work as a caregiver was relatively heavy work and involved the constant lifting and transferring of physically and mentally disabled patients, all male patients, weighing something in the range of a hundred and sixty to a hundred and ninety pounds.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was very forthright in his evidence that, despite his involvement in this collision on March 13th, he felt no immediate pain or suffering, and that it was not until approximately two days following the collision when he first began to experience headaches, as well as stiffness in the neck and upper shoulder area.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Having studied Raki massage for many years, he attempted to treat himself and massage the area. Notwithstanding his efforts, the pain continued to mount and did not subside. Not one who is quick to attend or resort to medical treatment, he continued to cope as best he could with his symptoms, guarding his movements in the course of his work and continuing to administer Raki self-massage and practice meditation techniques at night.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Finally, by the end of his third week he reported to his employer that he would be unable to work on April 1st, and then visited his doctor at the first opportunity on Monday, April 3rd, 2000.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His long-time general practitioner, Dr. Nuran, provided detailed evidence of his findings on April 3rd. He diagnosed the plaintiff as having suffered a whiplash injury and recommended a course of acupuncture treatments, followed by both chiropractic and massage therapy. He himself administered the acupuncture treatments between April 4th and May 23rd, 2000, treatments which proved to be somewhat helpful, but disappointingly did not resolve the plaintiff's complaints.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plaintiff's condition more or less plateaued at this point and other modalities of treatment were recommended. The plaintiff underwent massage therapy with a Stephen Williams from April 5th to June 26th, and chiropractic treatment from April 26th to June 26th, 2000. Throughout this period, as he underwent intensive treatment, he remained off work; that is from April 4th, 2000, until the end of June 2000. At that point he returned to work full-time as a caregiver with Drake Medox.</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accept his evidence that it would have been impossible to return to work prior to this point, either on a part-time or any other basis, given the heavy, demanding nature of the work.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defence position is that the plaintiff ought to have been able to return to work earlier, or at least ought to have been able to return to work part-time prior to this date, failing which, the defence says, he has not mitigated his damages. I reject this position.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On the balance of all of the evidence, including the plaintiff's evidence and that of his physician, I am satisfied that the plaintiff was properly justified in remaining off work for the entirety of this period and that he is entitled to his wage loss for that period.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Although he returned to work at the end of June 2000, the plaintiff continued to be very cautious with respect to his moves and lifts of his patients at work, although he admitted he generally felt much better. He began to return to some of his recreational and social activities by that summer. Nevertheless, as he testified, it was not his usual summer. He was unable to bike since he was unable to hold his head up while riding. He could not engage in any head play at soccer. He was unable to look up while playing basketball, and while he was able to hike and walk, he could not walk the same distances.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accept his evidence that it was not until the fall of 2001 that he was able to return to the same level of activities as that prior to the accident. As I mentioned, while the plaintiff did return to work at the end of June 2000, his ability to move freely at work was somewhat restricted.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accept his evidence, supported by his doctor, that he experienced a flare-up of his symptoms in late 2000, and then again in early 2001. Dr. Nuran assessed the situation and referred him again to both chiropractic and massage therapy treatment.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Given the intervening Christmas period, the plaintiff was unable to take advantage of these referrals until February. He attended in February 2000 for chiropractic treatment, and then further treatments from mid to late August 2001. He attended fourteen separate massage therapy treatments from March 26th to April 15, 2001. I am satisfied that the plaintiff attended all of these treatments directly as a result of the flare-up of his soft tissue injuries, and that all of these treatments were therefore attributable to the injuries sustained in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should mention that during the intervening period the plaintiff suffered a knee injury when he stepped off a curb and sustained an injury to the meniscus musculature of one of his knees. He was off work for three months, but none of those injuries nor any of that time off work is attributable to this action.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By the fall of 2001, as I have mentioned, the plaintiff had more or less returned to his pre-accident condition both in terms of his physical condition and his activity level.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On the basis of the plaintiff's evidence, and that of his physician, and the other reports before me, I am satisfied he suffered a moderate whiplash injury with acute symptoms during the period from March to July, with some residual symptoms lasting until the fall of 2001. During this latter period he experienced flare-ups and required both chiropractic and massage therapy treatment.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Given this history of symptoms lasting over a period of approximately one-and-a-half years, I reject the notion that the plaintiff's claim falls into the category of a minimal claim detailed by defendant's counsel. This was not a case in which the injuries were resolved within two to four months, commanding damages in the $1,500 to $3,000 range.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Rather, I find, as I have said, that he suffered a moderate whiplash injury with symptoms lingering over a period of a year and a half, and consistent with the authorities, I find he is entitled to non-pecuniary damages of $20,000.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addition, the plaintiff is entitled to his wage loss. There is a gross wage loss in the sum of $8,126.92. Applying the agreed-upon deduction for income tax of approximately twenty-five percent, leaves a net claim of $6,095.19, which is awarded.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plaintiff is also entitled to special damages of $1,442.59 for the chiropractic and massage therapy treatments, acupuncture treatments, as well as the three-month swimming pass.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Subject, of course, to whatever offers have been exchanged, the plaintiff is also entitled to costs of the action on a party and party basis.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Anything else?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MS. VON KROSIGK: No. The only thing, costs are fixed under Rule 66, so we'll just go according to the rule.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COURT: All right.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MS. VON KROSIGK: Thank you</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COURT: Thank you.</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BOYD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7" style="position:absolute;z-index:2518333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82"/>
          <w:headerReference w:type="default" r:id="rId683"/>
          <w:footerReference w:type="even" r:id="rId684"/>
          <w:footerReference w:type="default" r:id="rId685"/>
          <w:headerReference w:type="first" r:id="rId686"/>
          <w:footerReference w:type="first" r:id="rId68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88" w:history="1">
        <w:r>
          <w:rPr>
            <w:rFonts w:ascii="arial" w:eastAsia="arial" w:hAnsi="arial" w:cs="arial"/>
            <w:b/>
            <w:bCs/>
            <w:i/>
            <w:color w:val="0077CC"/>
            <w:kern w:val="32"/>
            <w:sz w:val="28"/>
            <w:szCs w:val="32"/>
            <w:u w:val="single"/>
            <w:shd w:val="clear" w:color="auto" w:fill="FFFFFF"/>
            <w:lang w:val="en-US" w:eastAsia="en-US" w:bidi="ar-SA"/>
          </w:rPr>
          <w:t>Reed v. Burke Law Corp., [2003] B.C.J. No. 2524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Hyslop</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13 and 14, and October 2,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30,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Kamloops Registry No. 34818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2524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1652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127 A.C.W.S. (3d) 1009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Janet Reed, client, and Burke Law Corporation, solicitor</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8" style="position:absolute;z-index:2516899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58" w:name="Keywords_9"/>
      <w:bookmarkEnd w:id="158"/>
      <w:r>
        <w:rPr>
          <w:rFonts w:ascii="arial" w:eastAsia="arial" w:hAnsi="arial" w:cs="arial"/>
          <w:b/>
          <w:color w:val="000000"/>
          <w:sz w:val="20"/>
          <w:lang w:val="en-US" w:eastAsia="en-US" w:bidi="ar-SA"/>
        </w:rPr>
        <w:t>Barristers and solicitors — Compensation — Duty to inform client of estimated costs of legal services — Measure of compensation — Reasonable charges, reasonably performed.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59" w:name="Case Summary_8"/>
            <w:bookmarkEnd w:id="15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Review of five accounts that the lawyer rendered to the client. The accounts totalled $44,985, of which $20,943 remained outstanding. The client maintained that the lawyer agreed to pursue her case for $40,000. The client had approached the lawyer about dealing with a rent review matter on behalf of herself and other residents. The client had other personal matters she also wished the lawyer to address. The lawyer wrote to the client indicating that he would charge his usual fee of $275 per hour. He commenced proceedings, attended various interlocutory applications and completed examinations for discoveries. The lawyer could not recall how much time he spent preparing the client for her examination for discovery. He charged her eight hours for that time, which the client disputed. The lawsuit was not complete and the lawyer had withdrawn because his fees were not paid.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60" w:name="Holdings of Court_7"/>
            <w:bookmarkEnd w:id="160"/>
            <w:r>
              <w:rPr>
                <w:rFonts w:ascii="arial" w:eastAsia="arial" w:hAnsi="arial" w:cs="arial"/>
                <w:color w:val="000000"/>
                <w:sz w:val="20"/>
                <w:lang w:val="en-US" w:eastAsia="en-US" w:bidi="ar-SA"/>
              </w:rPr>
              <w:t>HELD: The lawyer's account was approved at $44,985 less $1,375 in fees.</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He did not mislead the client with respect to legal fees. He was clear about his hourly rate. Five hours were deducted from the accounts based on the evidence regarding the preparation time for the client's examination for discovery. Otherwise, the lawyer proved the fees, charges and disbursements were reasonably necessary and proper to conduct the proceedings, and that they were authorized by the client.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61" w:name="Legislation Cited_6"/>
      <w:bookmarkEnd w:id="16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39" style="position:absolute;z-index:2517411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Indian Act, R.S.C. 1970, c.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Legal Professions Act, R.S.B.C. 1998, c. 9, ss. 70(3), 71, 72(1)(b), 73(2)(b).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Real Estate Act.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62" w:name="Counsel_30"/>
      <w:bookmarkEnd w:id="16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0" style="position:absolute;z-index:251792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Janet Reed, appeared on her own behalf. Rein Burke, appeared on behalf of Burke Law Corporation.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3" w:name="Judgment_30"/>
      <w:bookmarkEnd w:id="163"/>
      <w:r>
        <w:pict>
          <v:line id="_x0000_s1141" style="position:absolute;z-index:25182412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64" w:name="MASTER HYSLOP_0"/>
            <w:bookmarkEnd w:id="164"/>
            <w:r>
              <w:rPr>
                <w:rFonts w:ascii="arial" w:eastAsia="arial" w:hAnsi="arial" w:cs="arial"/>
                <w:b/>
                <w:color w:val="000000"/>
                <w:sz w:val="30"/>
                <w:lang w:val="en-US" w:eastAsia="en-US" w:bidi="ar-SA"/>
              </w:rPr>
              <w:t>MASTER HYSLOP</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Burke Law Corporation ("lawyer") took out an appointment to review five accounts that the lawyer rendered to Janet Reed ("client"). These accounts are dated October 30, 2001, November 27, 2001, July 26, 2002, January 20, 2003 and April 29, 2003. The total amount of the five accounts is $44,984.95. Of that amount $24,041.90 is paid, and there remains outstanding $20,943.05. The fees total $34,237.50, disbursements $5,482.11 and tax $5,265.34.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client has not disputed the disbursements that the lawyer included in his accounts. The client did not understand what agency fees were. At the conclusion of the hearing, I asked the lawyer to break down those agency fees, giving an explanation in an affidavit as for what they were incurred. The lawyer did this. The lawyer was to serve the client with that affidavit. The client was to have until September 8, 2003 to comment on that affidavit. If she wished to make further submissions regarding the agency fees, she could do so and this matter could be dealt with by way of a telephone conference. I did not hear from the client, and I assume the explanation in the affidavit to be satisfactory.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review is pursuant to s. 70(3) of the Legal Professions Act, RSBC 1998, c. 9 ("LPA") which says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Subject to subsection (11), a lawyer may obtain an appointment to have a bill reviewed 30 days or more after the bill was delivered under section 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Those matters that I must consider are set out in s. 71:</w:t>
      </w:r>
      <w:r>
        <w:rPr>
          <w:rFonts w:ascii="arial" w:eastAsia="arial" w:hAnsi="arial" w:cs="arial"/>
          <w:sz w:val="20"/>
          <w:lang w:val="en-US" w:eastAsia="en-US" w:bidi="ar-SA"/>
        </w:rPr>
        <w:cr/>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section applies to a review or examination under section 68(7), 70, 77(3), 78(2) or 79(3).</w:t>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subsections (4) and (5), the registrar must allow fees, charges and disbursements for the following services:</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those reasonably necessary and proper to conduct the proceeding or business to which they relate;</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those authorized by the client or subsequently approved by the client, whether or not the services were reasonably necessary and proper to conduct the proceeding or business to which they relate.</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subsections (4) and (5), the registrar may allow fees, charges and disbursements for the following services, even if unnecessary for the proper conduct of the proceeding or business to which they relate: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those reasonably intended by the lawyer to advance the interests of the client at the time the services were provided;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those requested by the client after being informed by the lawyer that they were unnecessary and not likely to advance the interests of the client.</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a review of a lawyer's bill, the registrar must consider all of the circumstances, including</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complexity, difficulty or novelty of the issues involved,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skill, specialized knowledge and responsibility required of the lawyer,</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lawyer's character and standing in the profession,</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involved,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time reasonably spent,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 has been an agreement that sets a fee rate that is based on an amount per unit of time spent by the lawyer, whether the rate was reasonable,</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importance of the matter to the client whose bill is being reviewed, 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result obtained.</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discretion of the registrar under subsection (4) is not limited by the terms of an agreement between the lawyer and the lawyer's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client's position is that the lawyer agreed to do her case for $40,000.00. The client's position is that the lawyer should cancel the outstanding balance on the account and return her file to her. The client did hire the lawyer to do legal work. The lawyer says that date was November 2, 2001, and the client says that it was in October of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client was referred to the lawyer by a land appraiser by the name of Danny Grant. The client resided in the lower mainland, and the lawyer in the interior of British Columbia. Country Park Village ("Country Park") is located on leased land. The client and other Country Park residents held sub-leases. The head lease had been granted by Her Majesty in the Right of Canada pursuant to the Indian Act, R.S.C. 1970, c.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client and other tenants of Country Park expected to pay a monthly rental fee, common area maintenance, sewer charges and management fees. The rent fee was not to change, except with the increase of real estate values within Country Park. The rent fees were in fact increased. The client and some of the other tenants were disputing this increase.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client, in September of 2001, sent to the lawyer documents relating to the issue of rent review. The client made it known that she was a spokesperson for a group of residents in Country Park. Further, the lawyer learned that this association had already hired a lawyer who had gone to the British Columbia Supreme Court over the rent review issue, only to have the court refuse to deal with the matter due to lack of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September 26, 2001, the lawyer wrote to the client and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"Dear Ms. Reed: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 Country Park Village Properties ("Mainland") Ltd.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acknowledge receipt of the lease and sub-lease. These were received from Greyhound on September 26th, 2001.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will review these materials during the week of October 15th, 2001 and be in a position to provide an opinion to you at that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meantime I would ask that your association provide a retainer to us in the amount of $2500 to cover our fees and expenses. My usual hourly rate is $275 per hour and I propose to charge that rate to your association.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Yours sincerely,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BURKE LAW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October 1, 2001, the client wrote to Mr. Burke and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requested residents to postpone setting action in Federal Court until you could have time to view and give us an opion (sic)."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She goes on to state in that letter: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know you have many matters at hand and that you are not available to actually take our case (or mine) on at the present time. I am prepared to wait until you can, but would appreciate a comment from you if it looks OK for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October 10, 2001, the client wrote the lawyer and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seems that the residents were so relieved that they were finally going to have their case heard in Federal Court that they decided to go ahead with it. I am very disappointed. I wished to wait for your opinion. However, I am hopeful you may be able to defend me personally. I was simply the spokesman but uncovered many discrepancies in our leases, some through privacy act from DIAND."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She further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enclose list of items regarding slander."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that letter, the client lists a number of documents under the heading "EVIDENCE" which she states should be in "JR file "SLANDER"." At this time the client had other matters she wished the lawyer to address other than the rent review for Country Park. The client wrote to the lawyer on October 1, 2001 and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THINK WE MAY HAVE SOME KIND OF CASE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we are hopeful you will think that too."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any case, there are many more problems than just the rent review and injunction and I would still like to see if you could represent me in the other aspects such 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response to the lawyer's letter of September 26, 2001, the client gave the lawyer a retainer on October 16, 2001. On October 16, 2001, the lawyer gave advice to the client regarding a small claims action, and letters from the landlord's lawyer threatening litigation against the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October 25, 2001 the lawyer went to a meeting in Chilliwack attended by some of the residents of Country Park. At this meeting, the lawyer talked to the residents about the jurisdiction of Federal Court and the British Columbia Supreme Court as it relates to the matter of the rent review. Individual cases were then talked about generally. What the lawyer said is best described in paragraph 17 on page 5 of his outline of submissions:</w:t>
      </w:r>
      <w:r>
        <w:rPr>
          <w:rFonts w:ascii="arial" w:eastAsia="arial" w:hAnsi="arial" w:cs="arial"/>
          <w:sz w:val="20"/>
          <w:lang w:val="en-US" w:eastAsia="en-US" w:bidi="ar-SA"/>
        </w:rPr>
        <w:cr/>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he has been retained by 2 or 3 dozen residents to act for them in claims against the Vendor similar to Reeds; and,</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Reed's claim can be adjudicated by way of a summary trial; then,</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summary trial could be heard in Kamloops;</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application for a summary trial would likely be heard within months of the action being commenced; and</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estimated costs to the completion of the summary trial to establish the Vendor's liability would be approximately $40,000.00.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lawyer, on October 30, 2001, wrote a letter to the client which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"Dear Ms. Reed: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 Country Park Village Properties (Mainland) Ltd.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will confirm that as requested by you, we have reviewed the materials which you provided to us and we have provided our opinion on the various issues that arise to the group of residents. We thank you for your hospitality during our visit to Chilliwack on October 25th, 2001.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next step for each of the residents would be to meet with me to discuss their individual claims and the costs associated with proceeding with a lawsuit.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herewith enclose our statement of account for our time spent on your behalf to October 30th, 2001. We trust you will find the account in order.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Yours sincerely,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BURKE LAW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At this hearing the lawyer stated that the account that he rendered to the client is dated October 30, 2001 for $4,455.00 in fees, and disbursements in the amount of $289.75, the latter of which consisted mainly of the lawyer's travelling expenses. The lawyer was not asked, nor did he do any further legal work for the residents as a group, of which the client was the spokesperson.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client decided she wished to hire the lawyer to address legal problems as a result of her purchase of a duplex in Country Park. On November 2, 2001, she met the lawyer in Vancouver for a considerable period of time. The lawyer took instructions from the client and agreed to act on her behalf. On November 3, 2001, the client wrote the lawyer a letter (Exhibit 6 at this hearing) and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"Thank you for the interview yesterday. I feel relieved of much of the tension from the past couple of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client, in that letter, went on to recall other events that she obviously thought were important to communicate to the lawyer. At the end of her letter, the client put in a P.S: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"...also, regarding slander or intimidation... at times I WAS in fear."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None of the other tenants at Country Park hired the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lawyer wrote the client on November 14, 2001 stating he had reviewed the various documents that she had provided to him to date relating to her purchase of the duplex at Country Park in Chilliwack.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November 19, 2001, the lawyer sent a draft writ of summons and statement of claim asking for the client's input. Further amendments were made to the writ and statement of claim, and a further draft of the writ of summons and statement of claim was sent to the client on November 20, 2001. In a letter dated November 27, 2001, the lawyer reported to the client the he had filed in the Supreme Court registry at Kamloops on November 22, 2001 a writ and statement of claim, and enclosing a copy of them. The lawyer then sent to the client an account dated November 27, 2001 in the amount of $7,622.50, plus disbursements and taxes for a total of $9,051.69. This account is found at tab 5 of Exhibit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writ and statement of claim named three corporate defendants, three individuals and a law partnership. The statement of claim was 16 pages alleging facts against each of the defendants separately, and setting out separately what the plaintiff is seeking from each of the defendants or group of defendants. These claims are for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for which damages are sought. In addition, there are claims for recision, a claim under the Real Estate Act, return of monies paid under the sub-lease, an alternate claim seeking an order granting a sub-lease in the form in accordance with a contract, mental distress, as well as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lawyer, in January of 2003, amended the writ and statement of claim to correct a typographical error in the description of one of the corporate defendants, and changed the place of trial to Chilliwack.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All of the defendants filed a statement of defence, save and except Sharon Graystone, a real estate agent against whom default judgment was taken for damages to be assessed.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June 10, 2002, the lawyer successfully defended a motion brought on by one of the defendants to have the place of trial moved to Vancouver. The client wanted to have this matter heard in Kamloops as there had been some media publicity in the Chilliwack area. The lawyer was of the view that Chilliwack was the proper place to have this matter heard as he stated that ninety percent of the witnesses lived in the Chilliwack area. The lawyer was of the opinion that had they sought the place of trial as Kamloops, they would not have successfully defended the motion. In addition, the lawyer had to take out an appointment to settle the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During the month of June, 2002, the lawyer prepared for the examination of Patricia Brown, one of the defendants in the action, and on June 21, 2002, travelled to Abbotsford for the discovery of Ms. Brown, to find that she did not attend.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July of 2002, the lawyer brought on an application to strike out one of the individuals, and one of the corporate defendant's statement of defence, which was successful, and for which judgment was entered against those defendants, with damages to be assessed.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July 26, 2002, the lawyer rendered an account to the client for $10,610.00 in fees, and disbursements of $1,942.75, and taxes, for a total amount of $13,609.66. This account is shown in exhibit 1 at tab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August 20, 2002, the lawyer examined one of the defendants, Andrew Purdy. The following day, August 21, 2002, the client was examined. The account for which these examinations for discoveries were billed is dated January 20, 2003, found at exhibit 1, tab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At the hearing of this matter, and as a result of cross-examination by the client of the lawyer, the lawyer could not remember when the preparation for the client took place, but thought it had taken place at the court reporter's office, after the examination for discovery of Mr. Purdy. The client disagreed with this. The lawyer had difficulty remembering. The account for which the examinations for discovery were billed is dated January 20, 2003, found at exhibit 1 at tab 7. The client was billed eight hours for her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next and last account that the lawyer rendered to the client was dated April 29, 2003, and that was for a small amount of disbursements which amounted to $54.92, at which time the balance owing on the client's account was $20,943.05.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lawyer further stated at this hearing that when travelling on behalf of a client, besides his out-of-pocket expenses, he charges half of his hourly rate. This was not set out in writing to the client, nor was it questioned by the client at the hearing. The lawyer, in his account, itemizes what he did for the client. In addition, there is a pre-billing report with each account which sets out the lawyer's time and the cost of each service rendered to the client by the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lawyer had, in letters dated June 24, 2002 and June 26, 2002, set out the measure of damages that the client might expect in this lawsuit. On November 27, 2002, the lawyer, at the request of the client, in a letter, outlined certain costs that the client would have to incur in order to have this case ready for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This lawsuit has not been completed. The lawyer has withdrawn from the case, and did so in about June of 2003. At this hearing, the lawyer stated that he withdrew from the case because his fees were not paid, though promised to be paid by the client. The lawyer was concerned about the client's ability to pay ongoing legal fees. On February 17, 2003, in a letter, the lawyer told the client: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do not propose to take further steps in this lawsuit while our accounts remain outstanding."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LAWYER'S BILLINGS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lawyer expected the client to pay him an hourly fee based on the work he did on behalf of the client. This was stated in a letter directed to the client by the lawyer dated November 27, 2001. (exhibit 1, tab 2) The lawyer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wish to also once again confirm that we have agreed to prosecute this action on your behalf on the basis of charging our usual hourly charge-out rates. For Mr. Burke his time will be charged at $275 per hour and for our Ms. McBain will be charged at $150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client did not question the lawyer about the accounts and the time he spent doing the client's work. The only issue that involved time, to which I have already referred, is the preparation of the client for her examination for discovery. The account, which is found at tab 7, seems to be in contradiction to what the evidence was given by the lawyer. I am not suggesting there is any dishonesty on the part of the lawyer; he simply could not remember.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client had a number of complaints of which she gave evidence, and these are set out in her affidavit sworn August 11, 2003 and filed August 13, 2003. I will deal with each paragraph of the client's affidavit: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 #2: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client says at paragraph #2: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and 120 residents in my neighbourhood are involved in a dispute with our Landlord. We agreed that I will commence a lawsuit against our Landlord and other parties involved. Depending on how my case turns out, the other residents may follow suit.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is not quite accurate. The client, on behalf of a group of people, hired the lawyer to give them an opinion on the rent review as it related to their sub-lease and the head lease, and that was all the lawyer was initially asked to do. When he met with the residents on October 25, 2001, he went prepared to talk about the rent review. The lawyer then became involved in a discussion about the individual claims that each of the residents had. The lawyer stated that each of them would have to hire him individually. None of them did. The lawyer was not aware, nor did he take the client's case on the basis that depending how her case turned out, the other residents individually would then commence legal actions. The lawyer acted for only the client. He was not acting on behalf of other residents of Country Park.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 #3 and #4: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lawyer did not claim on behalf of the client punitive damages or damages for slander. When the lawyer took the client's case on November 2, 2003, the lawyer told the client that she did not have a case for slander and punitive damages. This is referred to in the lawyer's letters to the client dated June 26, 2002 (exhibit 3, tab A), September 4, 2002 (exhibit 1, tab 12) and February 17, 2003. The lawyer did not believe that the client had a good case for these claims, and expressed concern about the cost of litigating the slander case. The client claims that the lawyer, in June of 2002, reassured her damages could be claimed for the "slanderous attacks by the defendant landlord" and refers to the lawyer's letters of June 26, 2002 and May 21, 2003 in support. They do just the opposite. I note in passing, that the statement of claim does make a claim for mental distress, but not in the context of punitive damages, nor slander.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lawyer wrote to the client letters dated June 24 and June 26, 2002 setting out what he believed the client's damages were (tab 12 of exhibit 1). The lawyer has known since before the client retained him that the client wished to sue for slander prior to being retained by the client. In addition the client wished to seek punitive damages. Since the client retained the lawyer, the lawyer has always been of the view, and advised the client that these claims for which she would not be successful. The lawyer, on September 24, 2002, wrote a letter to the client reviewing the matters of slander and punitive damages. In this three-page letter at tab 12 of exhibit 1, the lawyer writes at page 2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"Our advice to you in November of 2001 and our advice to you now is that no claim for defamation should be made by you. The reasons are: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written comments by the landlord, in our view, likely are not defamatory.</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comments are defamatory, there is little doubt that the residents would not believe the landlord's comments. You continue to act as the residents' spokesperson. The result is that the damages to which you would be entitled would be minimal.</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suing the landlord, you would be opening up a separate can of worms whereby the landlord would be counterclaiming against you for substantially more monies than your claim in damages. The risks of litigating the issue are simply too large for you to take.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costs of litigating a defamation action would exceed any compensation that could be recovered."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May 21, 2003 (exhibit 3, tab B), the lawyer wrote the client once again reviewing the history of the lawyer's opinion on those particular claims.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 #5: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lawyer denies specifically dealing with the client's case at the meeting of October 25, 2001 as he had yet to be retained by the client, and further, he stated would have been inappropriate. It is clear that some of the residents pressed the lawyer to talk about their claims because they believed them to be similar to the client's, and there might be some savings in legal fees in doing this. The lawyer told the meeting that he charged for his time at the rate $275.00 per hour, that they did not have a class action, and that they would have to hire him individually.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meeting of the residents, the contingency fee agreement came up. The lawyer stated that he told the residents that he does not even consider a contingency fee agreement until the discoveries are completed. In the case of the client, a contingency fee agreement came up only on November 2, 2001, and the lawyer restated his position to the client as he did to the residents on October 25, 2001. The issue of a contingency fee agreement never came up again between the client and the lawyer.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client called two witnesses, Faith Sproule and Allen Bossert. Mrs. Sproule gave evidence that she was helping with the rent review of the entire trailer park and was the client's helper for this hearing. She confirmed that Country Park had not paid any money to the lawyer. She also said she had never seen the letter of September 26, 2001 (Exhibit 1, tab 1). She sent documents to the lawyer only because the client had requested she do so. She further stated she had not discussed the problems outlined in the client's letter to the lawyer of October 1, 2001. She further stated that she was unaware that the client was asking the lawyer to take the residents' case for the rent review.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Bossert gave evidence that he attended the meeting of October 25, 2001. He stated that the lawyer said how he would handle each of the residents' case, and that if it was heard in Kamloops, it would go a lot faster. There was also a discussion about the statute of limitations. Mr. Bossert claims that the lawyer said he would do the client's case for $40,000.00, and each of the other residents for something less. He acknowledged he had not spoken to the lawyer prior to October 25, 2001. He also stated that the lawyer described that there were two kinds of trials, those which had witnesses and those which were conducted by affidavit. He had no recollection of hearing the words summary trial. He acknowledged that the lawyer stated that each of the residents would have to hire the lawyer individually for their case. He stated that the client's case would be a precedent which would result in the cost to the others being a lot less. He stated he did not hire the lawyer. Mr. Bossert further explained that the rent review committee was separate from the committee and the board for the whole of Country Park. He further stated that each of the owners were paying $35.00 per month to pursue their claim in Federal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 evidence that the lawyer was aware that the other residents were depending on the client's case to determine whether they were to pursue their case. Nor is there any evidence that the lawyer was to handle the client's case "within the agreed time frame, with the other residents losing their right to sue due to the statute of limitations." This was not the basis on which the lawyer took on the client's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 #6: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client asked to review her file and went to the lawyer's office for that purpose. She found a letter from a law firm representing two of the defendants. That letter is set out in exhibit 3, tab I. There is no evidence that the defendants, whose statement of defence was struck out, were not properly served. The lawyer who was complaining of his office not being served was acting for other defendants who had filed statement of defences, and whose statement of defences were not in issue. He merely speculates that the lawyer ought to have done so, and that the proceedings may be set aside. No steps were taken to set that proceeding aside.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HomeLife Glenayre Realty Co. Ltd. wrote the lawyer a letter (exhibit 1, tab M), saying that his lawyer, Ian McKinnon, will be representing that company. Ian McKinnon is the lawyer representing the residents in the rent review in the Federal Court. There is no evidence that Mr. McKinnon tried to act on behalf of Home Life Glenayre Realty Co. Ltd.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lawyer viewed the letter as "ludicrous." Neither of these letters were important.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 #7: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cost of doing this trial in Kamloops would have been far greater due to the witnesses having to travel. It would appear that the lawyer exercised good judgment.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 #8: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lawyer was willing to set this matter down, but he was not being paid for his services.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 #10: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client did not claim that the services rendered by the lawyer were improper and not authorized. I do not find that the lawyer misled the client on legal fees. He was very clear his hourly rate was $275.00 per hour (exhibit 1, tab 2). Exhibit 3, tab N, a letter from the lawyer to the client dated November 27, 2002, is not a revised estimate, but states what further costs the client will have to incur before the action would be ready for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 #11: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reviewed Exhibit 1, tab 6, and there appears to be no telephone call between the lawyer and the client. The client in her evidence on cross-examination acknowledged that she told the lawyer that she was going to be selling some jewellery, but that she did not give him a date as to when the jewellery would be sold. The issue of this jewellery being sold related to the payment to the lawyer's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client did not cross-examine the lawyer on the work that he did or the time spent doing that work, other than the preparation for the client for her examination for discovery. Because I am unable to determine how many hours were spent preparing the client for the examination for discovery, and when it took place, and for that matter, if it took place, I delete five hours from the account dated August 19, 2002. I am doing so because the lawyer cannot remember, and the client's evidence, by law, must be preferred. I, therefore, deduct the sum of five hours at $275.00 per hour, which totals $1,375.00.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client took no objection as to the time the lawyer spent on the file, nor did she suggest that the work done by the lawyer was unnecessary. Mr. Justice Davies in a case of Re Legal Professions Act Schlecter v. Ruhr (1957), 25 WWR 178, said at p. 180: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the duty and authority of the registrar to disallow upon a solicitor-and-client taxation such costs unnecessarily incurred is inherent in the taxation process. But that is not to say that he is bound to examine on that ground charges against which that objection is not 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find that the lawyer proved the fees, charges and disbursements that were reasonably necessary and proper to conduct the proceedings or business of the client, and that they were authorized by the client. I, therefore, find that the lawyer's account is justified in the amount of $44,984.94, less $1,375.00 in fees, with the appropriate adjustment for P.S.T. and G.S.T., and the amount owing, taking into consideration all the payments made is $19,367.60. The lawyer shall have the costs of this hearing pursuant to s. 72(1)(b) which I summarily fix pursuant to s. 73(2)(b) of the LPA, SBC [*] 1998, c. 9. I fix that amount at $500.00 inclusive of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HYSLOP</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2" style="position:absolute;z-index:2518343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89"/>
          <w:headerReference w:type="default" r:id="rId690"/>
          <w:footerReference w:type="even" r:id="rId691"/>
          <w:footerReference w:type="default" r:id="rId692"/>
          <w:headerReference w:type="first" r:id="rId693"/>
          <w:footerReference w:type="first" r:id="rId69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95" w:history="1">
        <w:r>
          <w:rPr>
            <w:rFonts w:ascii="arial" w:eastAsia="arial" w:hAnsi="arial" w:cs="arial"/>
            <w:b/>
            <w:bCs/>
            <w:i/>
            <w:color w:val="0077CC"/>
            <w:kern w:val="32"/>
            <w:sz w:val="28"/>
            <w:szCs w:val="32"/>
            <w:u w:val="single"/>
            <w:shd w:val="clear" w:color="auto" w:fill="FFFFFF"/>
            <w:lang w:val="en-US" w:eastAsia="en-US" w:bidi="ar-SA"/>
          </w:rPr>
          <w:t>R. v. Neustaeter, [2006] B.C.J. No. 3250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McEwan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6 - 8 and 12,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15,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23788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3250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1872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42 M.V.R. (5th) 251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71 W.C.B. (2d) 824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CarswellBC 3079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Regina, and Timothy Neil Douglas Neustaeter</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(30 paras.)</w:t>
      </w:r>
    </w:p>
    <w:p>
      <w:pPr>
        <w:jc w:val="both"/>
        <w:rPr>
          <w:rFonts w:ascii="arial" w:eastAsia="arial" w:hAnsi="arial" w:cs="arial"/>
          <w:sz w:val="20"/>
          <w:lang w:val="en-US" w:eastAsia="en-US" w:bidi="ar-SA"/>
        </w:rPr>
      </w:pPr>
      <w:bookmarkStart w:id="165" w:name="Counsel_31"/>
      <w:bookmarkEnd w:id="16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3" style="position:absolute;z-index:2516910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Crown: S. Smith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Accused: G. Orris Q.C.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6" w:name="Judgment_31"/>
      <w:bookmarkEnd w:id="166"/>
      <w:r>
        <w:pict>
          <v:line id="_x0000_s1144" style="position:absolute;z-index:25174220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67" w:name="McEWAN J."/>
            <w:bookmarkEnd w:id="167"/>
            <w:r>
              <w:rPr>
                <w:rFonts w:ascii="arial" w:eastAsia="arial" w:hAnsi="arial" w:cs="arial"/>
                <w:b/>
                <w:color w:val="000000"/>
                <w:sz w:val="30"/>
                <w:lang w:val="en-US" w:eastAsia="en-US" w:bidi="ar-SA"/>
              </w:rPr>
              <w:t>McEWAN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Timothy Neil Douglas Neustaeter is charged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or near Vancouver, in the Province of British Columbia, on or about the 31st day of August, 2004, he did operate a motor vehicle, in a manner that was dangerous to the public having regard to all the circumstances including the nature, condition and use of the place at which the motor vehicle was being operated, and the amount of traffic that at the time was or might reasonably be expected to be at that place, and thereby he did cause bodily harm to Wendy Marina Davis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August 31, 2004 about 1:00 a.m., Mr. Neustaeter lost control of a brand new Honda Civic on Stanley Park Drive in Vancouver. The vehicle left the road on a right to left curve, mounting a curb, striking a park bench and hitting a large tree before flipping on its roof on a pedestrian and bicycle path adjacent to the road. His passenger, a girlfriend named Wendy Davis, was injured in the incident. She suffered injury to her foot, ankle, and arm. These required three surgeries and some physiotherapy. There do not appear to be serious long term effects.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accused admits that he was the operator a motor vehicle at the time and place set out in the indictment and that Wendy Davis suffered bodily harm as a result of the collision caused by his loss of control of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There is no question that a passenger in the situation of Ms. Davis is a member of the public as that phrase is interpreted for the purposes of this provision of the </w:t>
      </w:r>
      <w:r>
        <w:rPr>
          <w:rFonts w:ascii="arial" w:eastAsia="arial" w:hAnsi="arial" w:cs="arial"/>
          <w:b/>
          <w:i/>
          <w:color w:val="000000"/>
          <w:sz w:val="20"/>
          <w:lang w:val="en-US" w:eastAsia="en-US" w:bidi="ar-SA"/>
        </w:rPr>
        <w:t>Criminal Code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central issue in this case is whether, considering all the circumstances, including the nature, condition and use of that area of Stanley Park about 1:00 a.m. on a late-summer night, and the amount of traffic that was or might be expected to be there, he drove in a manner that was dangerous.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leading case setting out the test to be applied is </w:t>
      </w:r>
      <w:r>
        <w:rPr>
          <w:rFonts w:ascii="arial" w:eastAsia="arial" w:hAnsi="arial" w:cs="arial"/>
          <w:b/>
          <w:i/>
          <w:color w:val="000000"/>
          <w:sz w:val="20"/>
          <w:lang w:val="en-US" w:eastAsia="en-US" w:bidi="ar-SA"/>
        </w:rPr>
        <w:t>R. v. Hundal</w:t>
      </w:r>
      <w:r>
        <w:rPr>
          <w:rFonts w:ascii="arial" w:eastAsia="arial" w:hAnsi="arial" w:cs="arial"/>
          <w:color w:val="000000"/>
          <w:sz w:val="20"/>
          <w:lang w:val="en-US" w:eastAsia="en-US" w:bidi="ar-SA"/>
        </w:rPr>
        <w:t xml:space="preserve">, </w:t>
      </w:r>
      <w:hyperlink r:id="rId696" w:history="1">
        <w:r>
          <w:rPr>
            <w:rFonts w:ascii="arial" w:eastAsia="arial" w:hAnsi="arial" w:cs="arial"/>
            <w:i/>
            <w:color w:val="0077CC"/>
            <w:sz w:val="20"/>
            <w:u w:val="single"/>
            <w:shd w:val="clear" w:color="auto" w:fill="FFFFFF"/>
            <w:lang w:val="en-US" w:eastAsia="en-US" w:bidi="ar-SA"/>
          </w:rPr>
          <w:t>[1993] 1 S.C.R. 867</w:t>
        </w:r>
      </w:hyperlink>
      <w:r>
        <w:rPr>
          <w:rFonts w:ascii="arial" w:eastAsia="arial" w:hAnsi="arial" w:cs="arial"/>
          <w:color w:val="000000"/>
          <w:sz w:val="20"/>
          <w:lang w:val="en-US" w:eastAsia="en-US" w:bidi="ar-SA"/>
        </w:rPr>
        <w:t>. There, after noting that "a trier of fact may convict if satisfied beyond a reasonable doubt that viewed objectively the accused was driving in a manner that was dangerous to the public'" and setting out the terms of the section, the Court per Cory J., added: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making the assessment, the trier of fact should be satisfied that the conduct amounted to a </w:t>
      </w:r>
      <w:r>
        <w:rPr>
          <w:rFonts w:ascii="arial" w:eastAsia="arial" w:hAnsi="arial" w:cs="arial"/>
          <w:color w:val="000000"/>
          <w:sz w:val="20"/>
          <w:u w:val="single"/>
          <w:lang w:val="en-US" w:eastAsia="en-US" w:bidi="ar-SA"/>
        </w:rPr>
        <w:t>marked departure</w:t>
      </w:r>
      <w:r>
        <w:rPr>
          <w:rFonts w:ascii="arial" w:eastAsia="arial" w:hAnsi="arial" w:cs="arial"/>
          <w:color w:val="000000"/>
          <w:sz w:val="20"/>
          <w:lang w:val="en-US" w:eastAsia="en-US" w:bidi="ar-SA"/>
        </w:rPr>
        <w:t xml:space="preserve"> from the standard of care that a reasonable person would observe in the accused's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road and weather conditions on August 31, 2004 were completely unremarkable. It was apparently a clear moonlit summer night. It was not windy or raining. The road was bare and dry and in good condition. There were no unusual hazards on the road surface itself. The road did have a somewhat unusual characteristic in that it was wide enough to accommodate two lanes in the direction of travel southbound from Third Beach. The curb lane is generally given over to parking for much of the day so that in effect there was only one lane of travel. The nature of the traffic, the dimensions of the road, and the numbers of vehicles that might be expected to be parking, with people getting into and out of them and, perhaps, other factors, have persuaded the authorities responsible for roads in the park to set the speed limit throughout at 30 kilometres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the direction in which Mr. Neustaeter was travelling there is an additional parking lot to the right side. Just before the exit from that lot the lane narrows and the single yellow centre line breaks to indicate that traffic may cross. The narrowing is created by a section of curb which juts out perpendicularly marking the parking lane as at an end. The effect, as the photographs taken the next day and put into evidence show, is that what appears, if it is empty, to be a roadway wide enough for two cars to proceed in the same direction, is really one lane with an elongated parking bay.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There was considerable discussion about the available light at 1:00 p.m. on August 31, 2004. Det/Cst Thacker testified that there were approximately three light standards as well as light from the nearby Lawn Bowling Club, the apartment towers in the West End and a full moon. The defence produced a series of recently-taken photos of the area on a dark night. Other photos, taken at the direction of the police by an ambulance attendant were also available, and there was some discussion as to whether the darkness beyond the objects illuminated by the lights of the emergency equipment on the flash of the camera could lead to useful inferences.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None of these ruminations are of much assistance. I certainly do not accept the notion that one simply adds up all the available light as if more is better. There are countless examples or illustrations that could be given to show that other light sources can be a cause of distraction rather than illumination. The only inference to be drawn from the circumstances in this regard is that it was fully dark, that there was some illumination of the road by street lamps, and that headlights were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Neustaeter had his headlights on. I accept, if objective verification is required, the evidence of the witness, Mr. Gervais, who says he saw them. There is no more to say about light than that the ordinary adjustments for night driving in warm weather on unobstructed, dry roads, were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There is some evidence of consumption of liquor. It is possible to infer that Mr. Neustaeter drank about 8 cans of beer between 5:30 p.m. and 1:00 a.m., when the incident occurred. There is no expert assistance as to what this means. There is no evidence that at any point in his progress on the afternoon and evening from Vancouver to Lighthouse park in West Vancouver, to Deep Cove, and then to Third Beach and to the scene of the accident, Mr. Neustaeter displayed any sign that the consumption of alcohol had, in any way, affected his ability to operate his vehicle. The observations of the police in the aftermath of the accident do not lead to anything more probative than that Mr. Neustaeter had consumed </w:t>
      </w:r>
      <w:r>
        <w:rPr>
          <w:rFonts w:ascii="arial" w:eastAsia="arial" w:hAnsi="arial" w:cs="arial"/>
          <w:color w:val="000000"/>
          <w:sz w:val="20"/>
          <w:u w:val="single"/>
          <w:lang w:val="en-US" w:eastAsia="en-US" w:bidi="ar-SA"/>
        </w:rPr>
        <w:t>some</w:t>
      </w:r>
      <w:r>
        <w:rPr>
          <w:rFonts w:ascii="arial" w:eastAsia="arial" w:hAnsi="arial" w:cs="arial"/>
          <w:color w:val="000000"/>
          <w:sz w:val="20"/>
          <w:lang w:val="en-US" w:eastAsia="en-US" w:bidi="ar-SA"/>
        </w:rPr>
        <w:t xml:space="preserve"> alcohol. The only value of this evidence, and it is slight, is that it shows that Mr. Neustaeter was not exactly on the fastidious end of the range when it comes to drinking and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evidence respecting what actually happened comes from three sources, Ms. Davis and two bystanders, Troy Gervais and Chantelle Bralovich. They were a couple who had been out for a walk. They were both sober. They had just returned to their car which was parked near the Lawn Bowling Club on the opposite side of the road that Mr. Neustaeter was travelling.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Gervais said he was in his car when he heard Mr. Neustaeter's vehicle accelerating, then saw a set of lights approaching. He saw sparks and heard an impact when the vehicle hit the curb, then a park bench, and then a tree before ending up on its roof. While the car was moving he said the rpms were high and that he did not hear any braking. There were no other pedestrians or cars in the immediate vicinity. He had seen a number of cars go by earlier, none of which had had difficulty negotiating the curve. He said Mr. Neustaeter's car was "moving at a fairly decent speed". He could not give an accurate estimate, but said it was going considerably faster than the other cars he had seen that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Bralovich said she could hear the car revving and that it was going too fast for the corner. She estimated its speed at 60 kilometres per hour. She said she was not positive about that, but could say, on the other hand, that the vehicle was not going anything like 100 kilometres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Wendy Davis says that she remember Mr. Neustaeter starting to accelerate after they had left Third Beach, and that she became concerned about the speed and told Mr. Neustaeter to slow down more than once. She says she saw the odometer needle reach 100 kilometres per hour. She recalls, at some point, seeing headlights passing in the opposite direction, and then an impact. She said it was a long time ago but guesses that the whole thing took about 10-20 seconds. She says Mr. Neustaeter did not brake, but that the car was slowing down shortly before the accident occurred. She recalled the needle of the speedometer moving in the slow direction. She acknowledged that her time estimate may be inaccurate and that the whole incident occurred over a short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Davis acknowledged that she was intoxicated, but that she was aware of what was going on, and could carry on a conversation.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speed limit throughout the park and on Stanley Park Drive is 30 kilometres per hour. It is obvious that on a busy day, when the parking stalls are filled with cars, the road narrows effectively to two lanes, and the "nature, condition, and use of the place" would, in those circumstances, include foot traffic in and about the parked cars. That is not exactly the situation that confronted Mr. Neustaeter at 1:00 a.m. on the same road. When one looks at the photographs it is clear that the design of the road itself supposes traffic of a very moderate speed. The manner in which the curb juts out to mark the end of the parking lane on the road just before the area where Mr. Neustaeter's car left the road would be hazardous on a road built for more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evidence conflicts as to what Mr. Neustaeter's speed actually was. In this regard, I think more reliance must be placed on what Mr. Gervais and Ms. Bralovich had to say than on Ms. Davis' observations. Apart from the question of sobriety, Mr. Gervais and Ms. Bralovich were in a better position to assess the actual motion of the vehicle. Their impressions as to speed, while necessarily imprecise, satisfy me that the vehicle cannot have been travelling at anything like the speed Ms. Davis suggests she observed on the speedometer. Similarly, the observations of Mr. Gervais and Ms. Bralovich that the vehicle appeared to be accelerating are at odds with the evidence of Ms. Davis. When this is put in the context of the very brief time over which the incident took place, Ms. Davis' version of events involving acceleration, repeated warnings, and deceleration without braking cannot be an accurate description of the actual chain of events. I find it impossible to place any reliance on what she recalls of what actually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saying so, I cast no aspersions on Ms. Davis whatsoever. She was clearly doing her best to tell the truth about what happened, and she clearly does not wish Mr. Neustaeter any ill. I am, however, of the view that whatever impressions she formed in the course of, or in the aftermath of, this event, are not of much assistance to the court in coming to terms with what actually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What is established, in my view, is that Mr. Neustaeter accelerated his vehicle at a point on Stanley Park Drive where, at the time he was driving, the road was two lanes wide. He came to the point where the pavement narrows rather abruptly and the road turns fairly sharply to the left and he failed to make the corner. In effect, he straightened out the curve with the results that have been described.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most obvious cause of the accident was excessive speed. On the evidence that speed was probably in the area of 60 kilometres per hour, if not a little more. It is clear that on a busy day the posted limit of 30 kilometres per hour is fully justified by the uses to which the road and the park are put. It is also clear, however, that when traffic is low, some of the paved parts of the road are much wider than they are when cars are parked and those sections could be safely negotiated at higher speeds.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draw no useful inference from the behaviour of the motorists observed by the police while their police cruiser was in plain sight as to the norm for a reasonable person in the accused's circumstances. Strict adherence to the speed limit is the universal norm for drivers who see police cars ahead.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R. v. S.M.B. (appeal by N.J.)</w:t>
      </w:r>
      <w:r>
        <w:rPr>
          <w:rFonts w:ascii="arial" w:eastAsia="arial" w:hAnsi="arial" w:cs="arial"/>
          <w:color w:val="000000"/>
          <w:sz w:val="20"/>
          <w:lang w:val="en-US" w:eastAsia="en-US" w:bidi="ar-SA"/>
        </w:rPr>
        <w:t xml:space="preserve">, </w:t>
      </w:r>
      <w:hyperlink r:id="rId697" w:history="1">
        <w:r>
          <w:rPr>
            <w:rFonts w:ascii="arial" w:eastAsia="arial" w:hAnsi="arial" w:cs="arial"/>
            <w:i/>
            <w:color w:val="0077CC"/>
            <w:sz w:val="20"/>
            <w:u w:val="single"/>
            <w:shd w:val="clear" w:color="auto" w:fill="FFFFFF"/>
            <w:lang w:val="en-US" w:eastAsia="en-US" w:bidi="ar-SA"/>
          </w:rPr>
          <w:t>[2004] B.C.J. No. 330</w:t>
        </w:r>
      </w:hyperlink>
      <w:r>
        <w:rPr>
          <w:rFonts w:ascii="arial" w:eastAsia="arial" w:hAnsi="arial" w:cs="arial"/>
          <w:color w:val="000000"/>
          <w:sz w:val="20"/>
          <w:lang w:val="en-US" w:eastAsia="en-US" w:bidi="ar-SA"/>
        </w:rPr>
        <w:t xml:space="preserve">, </w:t>
      </w:r>
      <w:hyperlink r:id="rId697" w:history="1">
        <w:r>
          <w:rPr>
            <w:rFonts w:ascii="arial" w:eastAsia="arial" w:hAnsi="arial" w:cs="arial"/>
            <w:i/>
            <w:color w:val="0077CC"/>
            <w:sz w:val="20"/>
            <w:u w:val="single"/>
            <w:shd w:val="clear" w:color="auto" w:fill="FFFFFF"/>
            <w:lang w:val="en-US" w:eastAsia="en-US" w:bidi="ar-SA"/>
          </w:rPr>
          <w:t>2004 BCCA 98</w:t>
        </w:r>
      </w:hyperlink>
      <w:r>
        <w:rPr>
          <w:rFonts w:ascii="arial" w:eastAsia="arial" w:hAnsi="arial" w:cs="arial"/>
          <w:color w:val="000000"/>
          <w:sz w:val="20"/>
          <w:lang w:val="en-US" w:eastAsia="en-US" w:bidi="ar-SA"/>
        </w:rPr>
        <w:t>, the accused, a youth, came upon an accident on the Sea to Sky Highway, as she rounded a curve. She slammed on her brakes and travelled in a straight line rather than following the arc of the curve, striking one of the vehicles involved in the accident, but causing minimal additional damage. It was established that the speed of the vehicle was about 100 kilometres per hour in a zone where the speed limit was 80 kilometres per hour, generally, with a 60 kilometres per hour sign at the curve.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Crown in </w:t>
      </w:r>
      <w:r>
        <w:rPr>
          <w:rFonts w:ascii="arial" w:eastAsia="arial" w:hAnsi="arial" w:cs="arial"/>
          <w:b/>
          <w:i/>
          <w:color w:val="000000"/>
          <w:sz w:val="20"/>
          <w:lang w:val="en-US" w:eastAsia="en-US" w:bidi="ar-SA"/>
        </w:rPr>
        <w:t>R. v. S.M.B.</w:t>
      </w:r>
      <w:r>
        <w:rPr>
          <w:rFonts w:ascii="arial" w:eastAsia="arial" w:hAnsi="arial" w:cs="arial"/>
          <w:color w:val="000000"/>
          <w:sz w:val="20"/>
          <w:lang w:val="en-US" w:eastAsia="en-US" w:bidi="ar-SA"/>
        </w:rPr>
        <w:t xml:space="preserve"> submitted that excessive speed can, in itself, constitute dangerous driving. The Court of Appeal, per Braidwood J.A. observed: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62 While some authorities, such as </w:t>
      </w:r>
      <w:r>
        <w:rPr>
          <w:rFonts w:ascii="arial" w:eastAsia="arial" w:hAnsi="arial" w:cs="arial"/>
          <w:i/>
          <w:color w:val="000000"/>
          <w:sz w:val="20"/>
          <w:lang w:val="en-US" w:eastAsia="en-US" w:bidi="ar-SA"/>
        </w:rPr>
        <w:t>R. v. Richards</w:t>
      </w:r>
      <w:r>
        <w:rPr>
          <w:rFonts w:ascii="arial" w:eastAsia="arial" w:hAnsi="arial" w:cs="arial"/>
          <w:color w:val="000000"/>
          <w:sz w:val="20"/>
          <w:lang w:val="en-US" w:eastAsia="en-US" w:bidi="ar-SA"/>
        </w:rPr>
        <w:t xml:space="preserve"> </w:t>
      </w:r>
      <w:hyperlink r:id="rId698" w:history="1">
        <w:r>
          <w:rPr>
            <w:rFonts w:ascii="arial" w:eastAsia="arial" w:hAnsi="arial" w:cs="arial"/>
            <w:i/>
            <w:color w:val="0077CC"/>
            <w:sz w:val="20"/>
            <w:u w:val="single"/>
            <w:shd w:val="clear" w:color="auto" w:fill="FFFFFF"/>
            <w:lang w:val="en-US" w:eastAsia="en-US" w:bidi="ar-SA"/>
          </w:rPr>
          <w:t>(2003), 174 C.C.C. (3d) 154</w:t>
        </w:r>
      </w:hyperlink>
      <w:r>
        <w:rPr>
          <w:rFonts w:ascii="arial" w:eastAsia="arial" w:hAnsi="arial" w:cs="arial"/>
          <w:color w:val="000000"/>
          <w:sz w:val="20"/>
          <w:lang w:val="en-US" w:eastAsia="en-US" w:bidi="ar-SA"/>
        </w:rPr>
        <w:t xml:space="preserve">, </w:t>
      </w:r>
      <w:hyperlink r:id="rId698" w:history="1">
        <w:r>
          <w:rPr>
            <w:rFonts w:ascii="arial" w:eastAsia="arial" w:hAnsi="arial" w:cs="arial"/>
            <w:i/>
            <w:color w:val="0077CC"/>
            <w:sz w:val="20"/>
            <w:u w:val="single"/>
            <w:shd w:val="clear" w:color="auto" w:fill="FFFFFF"/>
            <w:lang w:val="en-US" w:eastAsia="en-US" w:bidi="ar-SA"/>
          </w:rPr>
          <w:t>169 O.A.C. 339</w:t>
        </w:r>
      </w:hyperlink>
      <w:r>
        <w:rPr>
          <w:rFonts w:ascii="arial" w:eastAsia="arial" w:hAnsi="arial" w:cs="arial"/>
          <w:color w:val="000000"/>
          <w:sz w:val="20"/>
          <w:lang w:val="en-US" w:eastAsia="en-US" w:bidi="ar-SA"/>
        </w:rPr>
        <w:t xml:space="preserve">, </w:t>
      </w:r>
      <w:hyperlink r:id="rId698" w:history="1">
        <w:r>
          <w:rPr>
            <w:rFonts w:ascii="arial" w:eastAsia="arial" w:hAnsi="arial" w:cs="arial"/>
            <w:i/>
            <w:color w:val="0077CC"/>
            <w:sz w:val="20"/>
            <w:u w:val="single"/>
            <w:shd w:val="clear" w:color="auto" w:fill="FFFFFF"/>
            <w:lang w:val="en-US" w:eastAsia="en-US" w:bidi="ar-SA"/>
          </w:rPr>
          <w:t>35 M.V.R. (4th) 25</w:t>
        </w:r>
      </w:hyperlink>
      <w:r>
        <w:rPr>
          <w:rFonts w:ascii="arial" w:eastAsia="arial" w:hAnsi="arial" w:cs="arial"/>
          <w:color w:val="000000"/>
          <w:sz w:val="20"/>
          <w:lang w:val="en-US" w:eastAsia="en-US" w:bidi="ar-SA"/>
        </w:rPr>
        <w:t>, seem to support the Crown's submission, most suggest that something more than just excessive speed is normally required to found a conviction of dangerous driving.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63 For example, in Richards, supra at para. 11, the court noted that excessive speed could constitute dangerous driving "under certain circumstances". In </w:t>
      </w:r>
      <w:r>
        <w:rPr>
          <w:rFonts w:ascii="arial" w:eastAsia="arial" w:hAnsi="arial" w:cs="arial"/>
          <w:i/>
          <w:color w:val="000000"/>
          <w:sz w:val="20"/>
          <w:lang w:val="en-US" w:eastAsia="en-US" w:bidi="ar-SA"/>
        </w:rPr>
        <w:t>R. v. M.(M.K.)</w:t>
      </w:r>
      <w:r>
        <w:rPr>
          <w:rFonts w:ascii="arial" w:eastAsia="arial" w:hAnsi="arial" w:cs="arial"/>
          <w:color w:val="000000"/>
          <w:sz w:val="20"/>
          <w:lang w:val="en-US" w:eastAsia="en-US" w:bidi="ar-SA"/>
        </w:rPr>
        <w:t xml:space="preserve"> </w:t>
      </w:r>
      <w:hyperlink r:id="rId699" w:history="1">
        <w:r>
          <w:rPr>
            <w:rFonts w:ascii="arial" w:eastAsia="arial" w:hAnsi="arial" w:cs="arial"/>
            <w:i/>
            <w:color w:val="0077CC"/>
            <w:sz w:val="20"/>
            <w:u w:val="single"/>
            <w:shd w:val="clear" w:color="auto" w:fill="FFFFFF"/>
            <w:lang w:val="en-US" w:eastAsia="en-US" w:bidi="ar-SA"/>
          </w:rPr>
          <w:t>(1998), 35 M.V.R. (3d) 319</w:t>
        </w:r>
      </w:hyperlink>
      <w:r>
        <w:rPr>
          <w:rFonts w:ascii="arial" w:eastAsia="arial" w:hAnsi="arial" w:cs="arial"/>
          <w:color w:val="000000"/>
          <w:sz w:val="20"/>
          <w:lang w:val="en-US" w:eastAsia="en-US" w:bidi="ar-SA"/>
        </w:rPr>
        <w:t xml:space="preserve"> at para. 2 (Ont. C.A.), the court stated that a finding that excessive speed amounted to a marked departure from the standard of care of the prudent driver was dependent on the context in which the driving occurred. In </w:t>
      </w:r>
      <w:r>
        <w:rPr>
          <w:rFonts w:ascii="arial" w:eastAsia="arial" w:hAnsi="arial" w:cs="arial"/>
          <w:i/>
          <w:color w:val="000000"/>
          <w:sz w:val="20"/>
          <w:lang w:val="en-US" w:eastAsia="en-US" w:bidi="ar-SA"/>
        </w:rPr>
        <w:t>R. v. G.S.D.</w:t>
      </w:r>
      <w:r>
        <w:rPr>
          <w:rFonts w:ascii="arial" w:eastAsia="arial" w:hAnsi="arial" w:cs="arial"/>
          <w:color w:val="000000"/>
          <w:sz w:val="20"/>
          <w:lang w:val="en-US" w:eastAsia="en-US" w:bidi="ar-SA"/>
        </w:rPr>
        <w:t xml:space="preserve"> (B.C.C.A.) </w:t>
      </w:r>
      <w:hyperlink r:id="rId700" w:history="1">
        <w:r>
          <w:rPr>
            <w:rFonts w:ascii="arial" w:eastAsia="arial" w:hAnsi="arial" w:cs="arial"/>
            <w:i/>
            <w:color w:val="0077CC"/>
            <w:sz w:val="20"/>
            <w:u w:val="single"/>
            <w:shd w:val="clear" w:color="auto" w:fill="FFFFFF"/>
            <w:lang w:val="en-US" w:eastAsia="en-US" w:bidi="ar-SA"/>
          </w:rPr>
          <w:t>(1994), 52 B.C.A.C. 224</w:t>
        </w:r>
      </w:hyperlink>
      <w:r>
        <w:rPr>
          <w:rFonts w:ascii="arial" w:eastAsia="arial" w:hAnsi="arial" w:cs="arial"/>
          <w:color w:val="000000"/>
          <w:sz w:val="20"/>
          <w:lang w:val="en-US" w:eastAsia="en-US" w:bidi="ar-SA"/>
        </w:rPr>
        <w:t xml:space="preserve">, </w:t>
      </w:r>
      <w:hyperlink r:id="rId700" w:history="1">
        <w:r>
          <w:rPr>
            <w:rFonts w:ascii="arial" w:eastAsia="arial" w:hAnsi="arial" w:cs="arial"/>
            <w:i/>
            <w:color w:val="0077CC"/>
            <w:sz w:val="20"/>
            <w:u w:val="single"/>
            <w:shd w:val="clear" w:color="auto" w:fill="FFFFFF"/>
            <w:lang w:val="en-US" w:eastAsia="en-US" w:bidi="ar-SA"/>
          </w:rPr>
          <w:t>8 M.V.R. (3d) 311</w:t>
        </w:r>
      </w:hyperlink>
      <w:r>
        <w:rPr>
          <w:rFonts w:ascii="arial" w:eastAsia="arial" w:hAnsi="arial" w:cs="arial"/>
          <w:color w:val="000000"/>
          <w:sz w:val="20"/>
          <w:lang w:val="en-US" w:eastAsia="en-US" w:bidi="ar-SA"/>
        </w:rPr>
        <w:t xml:space="preserve"> at para. 36, Mr. Justice Goldie, for the Court, said: "[t]he finding with respect to excessive speed must also be examined in light of all the evidence". Finally, in </w:t>
      </w:r>
      <w:r>
        <w:rPr>
          <w:rFonts w:ascii="arial" w:eastAsia="arial" w:hAnsi="arial" w:cs="arial"/>
          <w:i/>
          <w:color w:val="000000"/>
          <w:sz w:val="20"/>
          <w:lang w:val="en-US" w:eastAsia="en-US" w:bidi="ar-SA"/>
        </w:rPr>
        <w:t>R. v. Quesnel</w:t>
      </w:r>
      <w:r>
        <w:rPr>
          <w:rFonts w:ascii="arial" w:eastAsia="arial" w:hAnsi="arial" w:cs="arial"/>
          <w:color w:val="000000"/>
          <w:sz w:val="20"/>
          <w:lang w:val="en-US" w:eastAsia="en-US" w:bidi="ar-SA"/>
        </w:rPr>
        <w:t xml:space="preserve"> </w:t>
      </w:r>
      <w:hyperlink r:id="rId701" w:history="1">
        <w:r>
          <w:rPr>
            <w:rFonts w:ascii="arial" w:eastAsia="arial" w:hAnsi="arial" w:cs="arial"/>
            <w:i/>
            <w:color w:val="0077CC"/>
            <w:sz w:val="20"/>
            <w:u w:val="single"/>
            <w:shd w:val="clear" w:color="auto" w:fill="FFFFFF"/>
            <w:lang w:val="en-US" w:eastAsia="en-US" w:bidi="ar-SA"/>
          </w:rPr>
          <w:t>(1996), 76 B.C.A.C. 318</w:t>
        </w:r>
      </w:hyperlink>
      <w:r>
        <w:rPr>
          <w:rFonts w:ascii="arial" w:eastAsia="arial" w:hAnsi="arial" w:cs="arial"/>
          <w:color w:val="000000"/>
          <w:sz w:val="20"/>
          <w:lang w:val="en-US" w:eastAsia="en-US" w:bidi="ar-SA"/>
        </w:rPr>
        <w:t xml:space="preserve">, </w:t>
      </w:r>
      <w:hyperlink r:id="rId701" w:history="1">
        <w:r>
          <w:rPr>
            <w:rFonts w:ascii="arial" w:eastAsia="arial" w:hAnsi="arial" w:cs="arial"/>
            <w:i/>
            <w:color w:val="0077CC"/>
            <w:sz w:val="20"/>
            <w:u w:val="single"/>
            <w:shd w:val="clear" w:color="auto" w:fill="FFFFFF"/>
            <w:lang w:val="en-US" w:eastAsia="en-US" w:bidi="ar-SA"/>
          </w:rPr>
          <w:t>20 M.V.R. (3d) 46</w:t>
        </w:r>
      </w:hyperlink>
      <w:r>
        <w:rPr>
          <w:rFonts w:ascii="arial" w:eastAsia="arial" w:hAnsi="arial" w:cs="arial"/>
          <w:color w:val="000000"/>
          <w:sz w:val="20"/>
          <w:lang w:val="en-US" w:eastAsia="en-US" w:bidi="ar-SA"/>
        </w:rPr>
        <w:t xml:space="preserve"> at para. 8, Mr. Justice Hollinrake, for the Court, stated: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[w]hile evidence of speed standing by itself will not necessarily lead to a finding of dangerous driving it may well do where as here the surrounding circumstances add a component to that speed that brings the driving up to the criminal level of dangerous driving . .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64 The authorities mentioned in the preceding paragraph clearly establish that circumstances beyond simply the speed of a vehicle are relevant and must be considered in a dangerous driving conviction. Given this proposition, I find the cases in which the principles in </w:t>
      </w:r>
      <w:r>
        <w:rPr>
          <w:rFonts w:ascii="arial" w:eastAsia="arial" w:hAnsi="arial" w:cs="arial"/>
          <w:i/>
          <w:color w:val="000000"/>
          <w:sz w:val="20"/>
          <w:lang w:val="en-US" w:eastAsia="en-US" w:bidi="ar-SA"/>
        </w:rPr>
        <w:t>Hundal</w:t>
      </w:r>
      <w:r>
        <w:rPr>
          <w:rFonts w:ascii="arial" w:eastAsia="arial" w:hAnsi="arial" w:cs="arial"/>
          <w:color w:val="000000"/>
          <w:sz w:val="20"/>
          <w:lang w:val="en-US" w:eastAsia="en-US" w:bidi="ar-SA"/>
        </w:rPr>
        <w:t xml:space="preserve"> have been applied are of limited assistance in this appeal as they each depend on their own peculiar circumstances.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65 In considering the surrounding circumstances, the following must be noted: the appellant was the owner of the Integra and the vehicle was in good working condition; according to N.E., the appellant had some familiarity with Highway 99; no passengers in the Integra felt uncomfortable or at all anxious about the appellant's driving immediately before the accident; the weather at the time of the accident was good and the roadway was dry; and, traffic on Highway 99 was light to moderate in both directions at the time of the accident.</w:t>
      </w:r>
    </w:p>
    <w:p>
      <w:pPr>
        <w:numPr>
          <w:numId w:val="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66 The passage from </w:t>
      </w:r>
      <w:r>
        <w:rPr>
          <w:rFonts w:ascii="arial" w:eastAsia="arial" w:hAnsi="arial" w:cs="arial"/>
          <w:i/>
          <w:color w:val="000000"/>
          <w:sz w:val="20"/>
          <w:lang w:val="en-US" w:eastAsia="en-US" w:bidi="ar-SA"/>
        </w:rPr>
        <w:t>Hundal</w:t>
      </w:r>
      <w:r>
        <w:rPr>
          <w:rFonts w:ascii="arial" w:eastAsia="arial" w:hAnsi="arial" w:cs="arial"/>
          <w:color w:val="000000"/>
          <w:sz w:val="20"/>
          <w:lang w:val="en-US" w:eastAsia="en-US" w:bidi="ar-SA"/>
        </w:rPr>
        <w:t>, supra at 885, quoted above, bears repeating here: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 Negligent driving can be thought of as a continuum that progresses, or regresses, from momentary lack of attention giving rise to civil responsibility through careless driving under a provincial Highway Traffic Act to dangerous driving under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continuum posited by </w:t>
      </w:r>
      <w:r>
        <w:rPr>
          <w:rFonts w:ascii="arial" w:eastAsia="arial" w:hAnsi="arial" w:cs="arial"/>
          <w:b/>
          <w:i/>
          <w:color w:val="000000"/>
          <w:sz w:val="20"/>
          <w:lang w:val="en-US" w:eastAsia="en-US" w:bidi="ar-SA"/>
        </w:rPr>
        <w:t>Hundal</w:t>
      </w:r>
      <w:r>
        <w:rPr>
          <w:rFonts w:ascii="arial" w:eastAsia="arial" w:hAnsi="arial" w:cs="arial"/>
          <w:color w:val="000000"/>
          <w:sz w:val="20"/>
          <w:lang w:val="en-US" w:eastAsia="en-US" w:bidi="ar-SA"/>
        </w:rPr>
        <w:t xml:space="preserve"> poses certain practical difficulties in evaluating any given set of circumstances. The fact that a moment of mere inattention can lead to appalling consequences was specifically addressed in </w:t>
      </w:r>
      <w:r>
        <w:rPr>
          <w:rFonts w:ascii="arial" w:eastAsia="arial" w:hAnsi="arial" w:cs="arial"/>
          <w:b/>
          <w:i/>
          <w:color w:val="000000"/>
          <w:sz w:val="20"/>
          <w:lang w:val="en-US" w:eastAsia="en-US" w:bidi="ar-SA"/>
        </w:rPr>
        <w:t>R. v. Beatty</w:t>
      </w:r>
      <w:r>
        <w:rPr>
          <w:rFonts w:ascii="arial" w:eastAsia="arial" w:hAnsi="arial" w:cs="arial"/>
          <w:color w:val="000000"/>
          <w:sz w:val="20"/>
          <w:lang w:val="en-US" w:eastAsia="en-US" w:bidi="ar-SA"/>
        </w:rPr>
        <w:t xml:space="preserve">, </w:t>
      </w:r>
      <w:hyperlink r:id="rId702" w:history="1">
        <w:r>
          <w:rPr>
            <w:rFonts w:ascii="arial" w:eastAsia="arial" w:hAnsi="arial" w:cs="arial"/>
            <w:i/>
            <w:color w:val="0077CC"/>
            <w:sz w:val="20"/>
            <w:u w:val="single"/>
            <w:shd w:val="clear" w:color="auto" w:fill="FFFFFF"/>
            <w:lang w:val="en-US" w:eastAsia="en-US" w:bidi="ar-SA"/>
          </w:rPr>
          <w:t>[2006] B.C.J. No. 1038</w:t>
        </w:r>
      </w:hyperlink>
      <w:r>
        <w:rPr>
          <w:rFonts w:ascii="arial" w:eastAsia="arial" w:hAnsi="arial" w:cs="arial"/>
          <w:color w:val="000000"/>
          <w:sz w:val="20"/>
          <w:lang w:val="en-US" w:eastAsia="en-US" w:bidi="ar-SA"/>
        </w:rPr>
        <w:t xml:space="preserve">, </w:t>
      </w:r>
      <w:hyperlink r:id="rId702" w:history="1">
        <w:r>
          <w:rPr>
            <w:rFonts w:ascii="arial" w:eastAsia="arial" w:hAnsi="arial" w:cs="arial"/>
            <w:i/>
            <w:color w:val="0077CC"/>
            <w:sz w:val="20"/>
            <w:u w:val="single"/>
            <w:shd w:val="clear" w:color="auto" w:fill="FFFFFF"/>
            <w:lang w:val="en-US" w:eastAsia="en-US" w:bidi="ar-SA"/>
          </w:rPr>
          <w:t>2006 BCCA 229</w:t>
        </w:r>
      </w:hyperlink>
      <w:r>
        <w:rPr>
          <w:rFonts w:ascii="arial" w:eastAsia="arial" w:hAnsi="arial" w:cs="arial"/>
          <w:color w:val="000000"/>
          <w:sz w:val="20"/>
          <w:lang w:val="en-US" w:eastAsia="en-US" w:bidi="ar-SA"/>
        </w:rPr>
        <w:t>. There, the Court, per Finch C.J.B.C., made the following observations: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In this case, there is no evidence that the respondent was speeding, no evidence that he had consumed alcohol or drugs, and no evidence that he was driving erratically or improperly at any time before his vehicle crossed into the oncoming lane of traffic.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However, the evidence showed that there was only one lane for travel in each direction, the traffic was proceeding at or near the posted speed limit of 90 kilometres per hour, the highway was well-travelled, there was limited visibility approaching the curve, and the collision occurred within a split second of the respondent's crossing onto the oncoming lane of traffic.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 </w:t>
      </w:r>
      <w:r>
        <w:rPr>
          <w:rFonts w:ascii="arial" w:eastAsia="arial" w:hAnsi="arial" w:cs="arial"/>
          <w:color w:val="000000"/>
          <w:sz w:val="20"/>
          <w:u w:val="single"/>
          <w:lang w:val="en-US" w:eastAsia="en-US" w:bidi="ar-SA"/>
        </w:rPr>
        <w:t>Viewed objectively, the respondent's failure to confine his vehicle to its own lane of travel was in "all the circumstances" highly dangerous to other persons lawfully using the highway, and in particular those approaching in a westerly direction on their own side of the road.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 The trial judge addressed her attention to the respondent's "momentary lack of attention" and his "few seconds of lapsed attention". She held that such a momentary lapse should not be characterized as dangerous driving.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26 In my respectful opinion the learned trial judge asked the wrong question. The right question was whether crossing the centre line into the path of oncoming traffic at 90 kilometres per hour, on a well-travelled highway was objectively dangerous. I think that question could only be answered in the affirmative. Driving in that way is clearly a "marked departure" from the standard of care a reasonable person would observe in the accused's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Applied in the present circumstances, I do not think that it can be inferred that the consequences of driving at 60 kilometres per hour were objectively dangerous in the way that crossing the centre line on a busy highway obviously 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question here is whether the circumstances leave open a reasonable doubt that a reasonable person in Mr. Neustaeter's circumstances would have been aware of the risk and the danger involved in driving as Mr. Neustaeter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Whether it was a marked departure from the norm to increase the car's speed somewhat, in the circumstances, must be put in context. In most circumstances, where a paved road is bare and dry and traffic is light, 60 kilometres per hour is not an unsafe speed. This was not a case where, at the time and place the car </w:t>
      </w:r>
      <w:r>
        <w:rPr>
          <w:rFonts w:ascii="arial" w:eastAsia="arial" w:hAnsi="arial" w:cs="arial"/>
          <w:i/>
          <w:color w:val="000000"/>
          <w:sz w:val="20"/>
          <w:lang w:val="en-US" w:eastAsia="en-US" w:bidi="ar-SA"/>
        </w:rPr>
        <w:t>began</w:t>
      </w:r>
      <w:r>
        <w:rPr>
          <w:rFonts w:ascii="arial" w:eastAsia="arial" w:hAnsi="arial" w:cs="arial"/>
          <w:color w:val="000000"/>
          <w:sz w:val="20"/>
          <w:lang w:val="en-US" w:eastAsia="en-US" w:bidi="ar-SA"/>
        </w:rPr>
        <w:t xml:space="preserve"> to accelerate, it has been established that the speed was inevitably irresponsible. It is clear that at the point where the road curves and Mr. Neustaeter lost control of the vehicle he was going too fast. This is something a person who knew the road well would anticipate, but that a person who did not, might not. Those who are responsible for the signage have deemed it sufficient to post the limit at intervals without drawing any particular attention to the narrowing that takes place where the accident occurred. I imply no criticism in making that observation. But in assessing the culpability of Mr. Neustaeter in the circumstances, and in attempting to locate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w:t>
      </w:r>
      <w:r>
        <w:rPr>
          <w:rFonts w:ascii="arial" w:eastAsia="arial" w:hAnsi="arial" w:cs="arial"/>
          <w:b/>
          <w:i/>
          <w:color w:val="000000"/>
          <w:sz w:val="20"/>
          <w:lang w:val="en-US" w:eastAsia="en-US" w:bidi="ar-SA"/>
        </w:rPr>
        <w:t>Hundal</w:t>
      </w:r>
      <w:r>
        <w:rPr>
          <w:rFonts w:ascii="arial" w:eastAsia="arial" w:hAnsi="arial" w:cs="arial"/>
          <w:color w:val="000000"/>
          <w:sz w:val="20"/>
          <w:lang w:val="en-US" w:eastAsia="en-US" w:bidi="ar-SA"/>
        </w:rPr>
        <w:t xml:space="preserve"> continuum, I do not think the evidence forecloses the possibility of an error in judgment short of the marked departure from the standard of care required to found a conviction on the offence charged.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Neustaeter is therefore acquitted.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McEWAN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5" style="position:absolute;z-index:2517934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03"/>
          <w:headerReference w:type="default" r:id="rId704"/>
          <w:footerReference w:type="even" r:id="rId705"/>
          <w:footerReference w:type="default" r:id="rId706"/>
          <w:headerReference w:type="first" r:id="rId707"/>
          <w:footerReference w:type="first" r:id="rId70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09" w:history="1">
        <w:r>
          <w:rPr>
            <w:rFonts w:ascii="arial" w:eastAsia="arial" w:hAnsi="arial" w:cs="arial"/>
            <w:b/>
            <w:bCs/>
            <w:i/>
            <w:color w:val="0077CC"/>
            <w:kern w:val="32"/>
            <w:sz w:val="28"/>
            <w:szCs w:val="32"/>
            <w:u w:val="single"/>
            <w:shd w:val="clear" w:color="auto" w:fill="FFFFFF"/>
            <w:lang w:val="en-US" w:eastAsia="en-US" w:bidi="ar-SA"/>
          </w:rPr>
          <w:t>Salvatierra v. Vancouver (City), [2008] B.C.J. No. 1251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J.S. Sigurdson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4,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2,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M050260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1251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860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168 A.C.W.S. (3d) 947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Blanca Salvatierra, Plaintiff, and The City of Vancouver and John Rooney, Defendants, and Insurance Corporation of British Columbia,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6" style="position:absolute;z-index:2516920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68" w:name="Keywords_10"/>
      <w:bookmarkEnd w:id="168"/>
      <w:r>
        <w:rPr>
          <w:rFonts w:ascii="arial" w:eastAsia="arial" w:hAnsi="arial" w:cs="arial"/>
          <w:b/>
          <w:color w:val="000000"/>
          <w:sz w:val="20"/>
          <w:lang w:val="en-US" w:eastAsia="en-US" w:bidi="ar-SA"/>
        </w:rPr>
        <w:t>Insurance law — Actions — Practice and procedure — Costs — Considerations — Offers to settle — Application by parties for costs in action where plaintiff awarded $87,000 for damages in motor vehicle accident — Plaintiff awarded costs on scale B — Offer to settle did not attract costs consequences because offer made by defendant City and third party insurance company but not absent individual defendant — Insurance company could have made offer jointly for defendants sued jointly — Plaintiff not successful on loss of earning capacity claim but, given nature of injuries, not a sufficiently discrete issue to attribute costs.</w:t>
      </w:r>
    </w:p>
    <w:p>
      <w:pPr>
        <w:jc w:val="both"/>
        <w:rPr>
          <w:rFonts w:ascii="arial" w:eastAsia="arial" w:hAnsi="arial" w:cs="arial"/>
          <w:sz w:val="20"/>
          <w:lang w:val="en-US" w:eastAsia="en-US" w:bidi="ar-SA"/>
        </w:rPr>
      </w:pPr>
      <w:bookmarkStart w:id="169" w:name="Legislation Cited_7"/>
      <w:bookmarkEnd w:id="16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47" style="position:absolute;z-index:2517432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Insurance (Vehicle) Act, </w:t>
      </w:r>
      <w:hyperlink r:id="rId710" w:history="1">
        <w:r>
          <w:rPr>
            <w:rFonts w:ascii="arial" w:eastAsia="arial" w:hAnsi="arial" w:cs="arial"/>
            <w:i/>
            <w:color w:val="0077CC"/>
            <w:sz w:val="20"/>
            <w:u w:val="single"/>
            <w:shd w:val="clear" w:color="auto" w:fill="FFFFFF"/>
            <w:lang w:val="en-US" w:eastAsia="en-US" w:bidi="ar-SA"/>
          </w:rPr>
          <w:t>R.S.B.C. 1996, c. 231, s. 76</w:t>
        </w:r>
      </w:hyperlink>
      <w:r>
        <w:rPr>
          <w:rFonts w:ascii="arial" w:eastAsia="arial" w:hAnsi="arial" w:cs="arial"/>
          <w:color w:val="000000"/>
          <w:sz w:val="20"/>
          <w:lang w:val="en-US" w:eastAsia="en-US" w:bidi="ar-SA"/>
        </w:rPr>
        <w:t>(4)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Rules of Court, Rule 37, Rule 37A, Rule 37(31), Rule 57(15)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70" w:name="Counsel_32"/>
      <w:bookmarkEnd w:id="17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8" style="position:absolute;z-index:251794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G.J. Collette.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and Third Party: T.S. Hawkins.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1" w:name="Judgment_32"/>
      <w:bookmarkEnd w:id="171"/>
      <w:r>
        <w:pict>
          <v:line id="_x0000_s1149" style="position:absolute;z-index:25182515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 - Costs</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72" w:name="J.S. SIGURDSON J."/>
            <w:bookmarkEnd w:id="172"/>
            <w:r>
              <w:rPr>
                <w:rFonts w:ascii="arial" w:eastAsia="arial" w:hAnsi="arial" w:cs="arial"/>
                <w:b/>
                <w:color w:val="000000"/>
                <w:sz w:val="30"/>
                <w:lang w:val="en-US" w:eastAsia="en-US" w:bidi="ar-SA"/>
              </w:rPr>
              <w:t>J.S. SIGURDSON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May 1, 2008, I issued reasons for judgment awarding the plaintiff $87,000 in damages arising from a motor vehicle accident that occurred on November 15, 2003 [</w:t>
      </w:r>
      <w:hyperlink r:id="rId711" w:history="1">
        <w:r>
          <w:rPr>
            <w:rFonts w:ascii="arial" w:eastAsia="arial" w:hAnsi="arial" w:cs="arial"/>
            <w:i/>
            <w:color w:val="0077CC"/>
            <w:sz w:val="20"/>
            <w:u w:val="single"/>
            <w:shd w:val="clear" w:color="auto" w:fill="FFFFFF"/>
            <w:lang w:val="en-US" w:eastAsia="en-US" w:bidi="ar-SA"/>
          </w:rPr>
          <w:t>2008 BCSC 537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parties apply to determine the question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defendant, the City of Vancouver, and the third party, Insurance Corporation of British Columbia (ICBC), delivered an offer to settle the claim for "$110,000 (less advances) purportedly in accordance with Rule 37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Rule 37(31) provides that where there are multiple defendants being sued jointly, an offer to settle by the defendant must be made jointly with all other defendants. The rule specifically states:</w:t>
      </w:r>
      <w:r>
        <w:rPr>
          <w:rFonts w:ascii="arial" w:eastAsia="arial" w:hAnsi="arial" w:cs="arial"/>
          <w:sz w:val="20"/>
          <w:lang w:val="en-US" w:eastAsia="en-US" w:bidi="ar-SA"/>
        </w:rPr>
        <w:cr/>
      </w:r>
    </w:p>
    <w:p>
      <w:pPr>
        <w:numPr>
          <w:numId w:val="1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than in an action for defamation, if several defendants are sued jointly, a plaintiff may not make an offer to settle except jointly to all defendants, and a defendant may not make an offer to settle except jointly with all other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It is not disputed that the defendants Mr. Rooney and the City of Vancouver were joint tortfeasors. The City of Vancouver admitted that it was vicariously liable for Mr. Rooney's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An appearance was entered by ICBC's solicitors for both Mr. Rooney and the City of Vancouver. Eventually, Mr. Rooney could not be contacted and the solicitors applied to be removed from the record.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Rooney was not included in the offer to settle. On its face, as Mr. Rooney and the City were joint tortfeasors, the offer did not comply with Rule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authorities indicate that Rule 37 is a complete code. In </w:t>
      </w:r>
      <w:r>
        <w:rPr>
          <w:rFonts w:ascii="arial" w:eastAsia="arial" w:hAnsi="arial" w:cs="arial"/>
          <w:b/>
          <w:i/>
          <w:color w:val="000000"/>
          <w:sz w:val="20"/>
          <w:lang w:val="en-US" w:eastAsia="en-US" w:bidi="ar-SA"/>
        </w:rPr>
        <w:t>Marszalek Estate v. Bishop</w:t>
      </w:r>
      <w:r>
        <w:rPr>
          <w:rFonts w:ascii="arial" w:eastAsia="arial" w:hAnsi="arial" w:cs="arial"/>
          <w:color w:val="000000"/>
          <w:sz w:val="20"/>
          <w:lang w:val="en-US" w:eastAsia="en-US" w:bidi="ar-SA"/>
        </w:rPr>
        <w:t xml:space="preserve">, </w:t>
      </w:r>
      <w:hyperlink r:id="rId712" w:history="1">
        <w:r>
          <w:rPr>
            <w:rFonts w:ascii="arial" w:eastAsia="arial" w:hAnsi="arial" w:cs="arial"/>
            <w:i/>
            <w:color w:val="0077CC"/>
            <w:sz w:val="20"/>
            <w:u w:val="single"/>
            <w:shd w:val="clear" w:color="auto" w:fill="FFFFFF"/>
            <w:lang w:val="en-US" w:eastAsia="en-US" w:bidi="ar-SA"/>
          </w:rPr>
          <w:t>2008 BCSC 370</w:t>
        </w:r>
      </w:hyperlink>
      <w:r>
        <w:rPr>
          <w:rFonts w:ascii="arial" w:eastAsia="arial" w:hAnsi="arial" w:cs="arial"/>
          <w:color w:val="000000"/>
          <w:sz w:val="20"/>
          <w:lang w:val="en-US" w:eastAsia="en-US" w:bidi="ar-SA"/>
        </w:rPr>
        <w:t xml:space="preserve"> at para. 13, Fisher J. comprehensively reviewed the authorities concerning the application of Rules 37 and 37A when there are offers made by multiple defendants. She referred to Southin J.A.'s comments in </w:t>
      </w:r>
      <w:r>
        <w:rPr>
          <w:rFonts w:ascii="arial" w:eastAsia="arial" w:hAnsi="arial" w:cs="arial"/>
          <w:b/>
          <w:i/>
          <w:color w:val="000000"/>
          <w:sz w:val="20"/>
          <w:lang w:val="en-US" w:eastAsia="en-US" w:bidi="ar-SA"/>
        </w:rPr>
        <w:t>Brown v. Lowe,</w:t>
      </w:r>
      <w:r>
        <w:rPr>
          <w:rFonts w:ascii="arial" w:eastAsia="arial" w:hAnsi="arial" w:cs="arial"/>
          <w:color w:val="000000"/>
          <w:sz w:val="20"/>
          <w:lang w:val="en-US" w:eastAsia="en-US" w:bidi="ar-SA"/>
        </w:rPr>
        <w:t xml:space="preserve"> </w:t>
      </w:r>
      <w:hyperlink r:id="rId474" w:history="1">
        <w:r>
          <w:rPr>
            <w:rFonts w:ascii="arial" w:eastAsia="arial" w:hAnsi="arial" w:cs="arial"/>
            <w:i/>
            <w:color w:val="0077CC"/>
            <w:sz w:val="20"/>
            <w:u w:val="single"/>
            <w:shd w:val="clear" w:color="auto" w:fill="FFFFFF"/>
            <w:lang w:val="en-US" w:eastAsia="en-US" w:bidi="ar-SA"/>
          </w:rPr>
          <w:t>2002 BCCA 7</w:t>
        </w:r>
      </w:hyperlink>
      <w:r>
        <w:rPr>
          <w:rFonts w:ascii="arial" w:eastAsia="arial" w:hAnsi="arial" w:cs="arial"/>
          <w:color w:val="000000"/>
          <w:sz w:val="20"/>
          <w:lang w:val="en-US" w:eastAsia="en-US" w:bidi="ar-SA"/>
        </w:rPr>
        <w:t xml:space="preserve">, 158, </w:t>
      </w:r>
      <w:hyperlink r:id="rId474" w:history="1">
        <w:r>
          <w:rPr>
            <w:rFonts w:ascii="arial" w:eastAsia="arial" w:hAnsi="arial" w:cs="arial"/>
            <w:i/>
            <w:color w:val="0077CC"/>
            <w:sz w:val="20"/>
            <w:u w:val="single"/>
            <w:shd w:val="clear" w:color="auto" w:fill="FFFFFF"/>
            <w:lang w:val="en-US" w:eastAsia="en-US" w:bidi="ar-SA"/>
          </w:rPr>
          <w:t>97 B.C.L.R. (3d) 246</w:t>
        </w:r>
      </w:hyperlink>
      <w:r>
        <w:rPr>
          <w:rFonts w:ascii="arial" w:eastAsia="arial" w:hAnsi="arial" w:cs="arial"/>
          <w:color w:val="000000"/>
          <w:sz w:val="20"/>
          <w:lang w:val="en-US" w:eastAsia="en-US" w:bidi="ar-SA"/>
        </w:rPr>
        <w:t xml:space="preserve"> (C.A.) (Ryan J.A. concurring) at para. 154, that Rule 37 "is a complete code and there is no room for any judicial discretion save that given by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weight of authority supports the view that Rule 37 is a complete code that leaves no room for judicial discretion in its application if the offer does not comply with, but could have complied, with Rule 37: </w:t>
      </w:r>
      <w:r>
        <w:rPr>
          <w:rFonts w:ascii="arial" w:eastAsia="arial" w:hAnsi="arial" w:cs="arial"/>
          <w:b/>
          <w:i/>
          <w:color w:val="000000"/>
          <w:sz w:val="20"/>
          <w:lang w:val="en-US" w:eastAsia="en-US" w:bidi="ar-SA"/>
        </w:rPr>
        <w:t>Marszalek Estate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Rule 37A permits a party to a proceeding to make an offer and bring it to the attention of the trial judge in connection with costs in any circumstances to which Rule 37 does not apply. Here I find that Rule 37 does apply to the circumstance of an offer by the defendants in this case. In the case of joint tortfeasors, the offer must be made by all defendants sued jointly to attract cost consequences.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Notwithstanding the argument that Mr. Rooney disappeared and could not be located, an appearance had initially been filed on his behalf and he remained a party to the action. ICBC had the authority under s. 76(4) of the </w:t>
      </w:r>
      <w:r>
        <w:rPr>
          <w:rFonts w:ascii="arial" w:eastAsia="arial" w:hAnsi="arial" w:cs="arial"/>
          <w:b/>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to compromise or settle the claim. I was not shown any reason why it could not have made an offer jointly for defendants sued jointly in the action as contemplated by Rule 37(31).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As Mr. Rooney was not included in the offer, the offer did not comply with Rule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As the offer does not comply with Rule 37, I should not take it into consideration in determining substantial success for the purpose of awarding costs: </w:t>
      </w:r>
      <w:r>
        <w:rPr>
          <w:rFonts w:ascii="arial" w:eastAsia="arial" w:hAnsi="arial" w:cs="arial"/>
          <w:b/>
          <w:i/>
          <w:color w:val="000000"/>
          <w:sz w:val="20"/>
          <w:lang w:val="en-US" w:eastAsia="en-US" w:bidi="ar-SA"/>
        </w:rPr>
        <w:t>Roeske v. Brickwood Holdings Ltd.</w:t>
      </w:r>
      <w:r>
        <w:rPr>
          <w:rFonts w:ascii="arial" w:eastAsia="arial" w:hAnsi="arial" w:cs="arial"/>
          <w:color w:val="000000"/>
          <w:sz w:val="20"/>
          <w:lang w:val="en-US" w:eastAsia="en-US" w:bidi="ar-SA"/>
        </w:rPr>
        <w:t xml:space="preserve">, </w:t>
      </w:r>
      <w:hyperlink r:id="rId713" w:history="1">
        <w:r>
          <w:rPr>
            <w:rFonts w:ascii="arial" w:eastAsia="arial" w:hAnsi="arial" w:cs="arial"/>
            <w:i/>
            <w:color w:val="0077CC"/>
            <w:sz w:val="20"/>
            <w:u w:val="single"/>
            <w:shd w:val="clear" w:color="auto" w:fill="FFFFFF"/>
            <w:lang w:val="en-US" w:eastAsia="en-US" w:bidi="ar-SA"/>
          </w:rPr>
          <w:t>2007 BCSC 1038</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Weber v. Weber</w:t>
      </w:r>
      <w:r>
        <w:rPr>
          <w:rFonts w:ascii="arial" w:eastAsia="arial" w:hAnsi="arial" w:cs="arial"/>
          <w:color w:val="000000"/>
          <w:sz w:val="20"/>
          <w:lang w:val="en-US" w:eastAsia="en-US" w:bidi="ar-SA"/>
        </w:rPr>
        <w:t xml:space="preserve">, </w:t>
      </w:r>
      <w:hyperlink r:id="rId714" w:history="1">
        <w:r>
          <w:rPr>
            <w:rFonts w:ascii="arial" w:eastAsia="arial" w:hAnsi="arial" w:cs="arial"/>
            <w:i/>
            <w:color w:val="0077CC"/>
            <w:sz w:val="20"/>
            <w:u w:val="single"/>
            <w:shd w:val="clear" w:color="auto" w:fill="FFFFFF"/>
            <w:lang w:val="en-US" w:eastAsia="en-US" w:bidi="ar-SA"/>
          </w:rPr>
          <w:t>2004 BCSC 1639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However, the defendants say that I should exercise my discretion to apportion costs pursuant to Rule 57(15):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may award costs that relate to some particular issue or part of the proceeding or may award costs except so far as they relate to some particular issue or part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defendants argue that they should receive 75 percent of their costs. The key argument they make is the plaintiff's failure to obtain an award for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Marszalek</w:t>
      </w:r>
      <w:r>
        <w:rPr>
          <w:rFonts w:ascii="arial" w:eastAsia="arial" w:hAnsi="arial" w:cs="arial"/>
          <w:color w:val="000000"/>
          <w:sz w:val="20"/>
          <w:lang w:val="en-US" w:eastAsia="en-US" w:bidi="ar-SA"/>
        </w:rPr>
        <w:t>, Fisher J. described the usual approach that is followed under Rule 57(15):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[55] There are three fundamental criteria to consider in a decision to apportion costs: (1) there must be separate or distinct issues clearly delineated; (2) the court time attributable to the trial of these separate issues must be taken into account; and (3) apportionment must effect a just result between the parties: </w:t>
      </w:r>
      <w:r>
        <w:rPr>
          <w:rFonts w:ascii="arial" w:eastAsia="arial" w:hAnsi="arial" w:cs="arial"/>
          <w:b/>
          <w:i/>
          <w:color w:val="000000"/>
          <w:sz w:val="20"/>
          <w:lang w:val="en-US" w:eastAsia="en-US" w:bidi="ar-SA"/>
        </w:rPr>
        <w:t>Sutherland v. Canada (Attorney General)</w:t>
      </w:r>
      <w:r>
        <w:rPr>
          <w:rFonts w:ascii="arial" w:eastAsia="arial" w:hAnsi="arial" w:cs="arial"/>
          <w:color w:val="000000"/>
          <w:sz w:val="20"/>
          <w:lang w:val="en-US" w:eastAsia="en-US" w:bidi="ar-SA"/>
        </w:rPr>
        <w:t xml:space="preserve">, </w:t>
      </w:r>
      <w:hyperlink r:id="rId663" w:history="1">
        <w:r>
          <w:rPr>
            <w:rFonts w:ascii="arial" w:eastAsia="arial" w:hAnsi="arial" w:cs="arial"/>
            <w:i/>
            <w:color w:val="0077CC"/>
            <w:sz w:val="20"/>
            <w:u w:val="single"/>
            <w:shd w:val="clear" w:color="auto" w:fill="FFFFFF"/>
            <w:lang w:val="en-US" w:eastAsia="en-US" w:bidi="ar-SA"/>
          </w:rPr>
          <w:t>2008 BCCA 27</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[56] Applications under this sub-rule should be brought in relatively rare cases.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Although the plaintiff was not awarded damages for loss of earning capacity, I do not think that this was a sufficiently distinct or discrete issue such that costs can be identified that are attributable to it and in fairness be awarded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 refer to the decisions of Ehrcke J. in </w:t>
      </w:r>
      <w:r>
        <w:rPr>
          <w:rFonts w:ascii="arial" w:eastAsia="arial" w:hAnsi="arial" w:cs="arial"/>
          <w:b/>
          <w:i/>
          <w:color w:val="000000"/>
          <w:sz w:val="20"/>
          <w:lang w:val="en-US" w:eastAsia="en-US" w:bidi="ar-SA"/>
        </w:rPr>
        <w:t>White v. Stonestreet</w:t>
      </w:r>
      <w:r>
        <w:rPr>
          <w:rFonts w:ascii="arial" w:eastAsia="arial" w:hAnsi="arial" w:cs="arial"/>
          <w:color w:val="000000"/>
          <w:sz w:val="20"/>
          <w:lang w:val="en-US" w:eastAsia="en-US" w:bidi="ar-SA"/>
        </w:rPr>
        <w:t xml:space="preserve">, </w:t>
      </w:r>
      <w:hyperlink r:id="rId715" w:history="1">
        <w:r>
          <w:rPr>
            <w:rFonts w:ascii="arial" w:eastAsia="arial" w:hAnsi="arial" w:cs="arial"/>
            <w:i/>
            <w:color w:val="0077CC"/>
            <w:sz w:val="20"/>
            <w:u w:val="single"/>
            <w:shd w:val="clear" w:color="auto" w:fill="FFFFFF"/>
            <w:lang w:val="en-US" w:eastAsia="en-US" w:bidi="ar-SA"/>
          </w:rPr>
          <w:t>2006 BCSC 1605</w:t>
        </w:r>
      </w:hyperlink>
      <w:r>
        <w:rPr>
          <w:rFonts w:ascii="arial" w:eastAsia="arial" w:hAnsi="arial" w:cs="arial"/>
          <w:color w:val="000000"/>
          <w:sz w:val="20"/>
          <w:lang w:val="en-US" w:eastAsia="en-US" w:bidi="ar-SA"/>
        </w:rPr>
        <w:t xml:space="preserve"> and Burnyeat J. in </w:t>
      </w:r>
      <w:r>
        <w:rPr>
          <w:rFonts w:ascii="arial" w:eastAsia="arial" w:hAnsi="arial" w:cs="arial"/>
          <w:b/>
          <w:i/>
          <w:color w:val="000000"/>
          <w:sz w:val="20"/>
          <w:lang w:val="en-US" w:eastAsia="en-US" w:bidi="ar-SA"/>
        </w:rPr>
        <w:t>DiFranco v. Sung</w:t>
      </w:r>
      <w:r>
        <w:rPr>
          <w:rFonts w:ascii="arial" w:eastAsia="arial" w:hAnsi="arial" w:cs="arial"/>
          <w:color w:val="000000"/>
          <w:sz w:val="20"/>
          <w:lang w:val="en-US" w:eastAsia="en-US" w:bidi="ar-SA"/>
        </w:rPr>
        <w:t xml:space="preserve">, </w:t>
      </w:r>
      <w:hyperlink r:id="rId716" w:history="1">
        <w:r>
          <w:rPr>
            <w:rFonts w:ascii="arial" w:eastAsia="arial" w:hAnsi="arial" w:cs="arial"/>
            <w:i/>
            <w:color w:val="0077CC"/>
            <w:sz w:val="20"/>
            <w:u w:val="single"/>
            <w:shd w:val="clear" w:color="auto" w:fill="FFFFFF"/>
            <w:lang w:val="en-US" w:eastAsia="en-US" w:bidi="ar-SA"/>
          </w:rPr>
          <w:t>[1998] B.C.J. No. 430</w:t>
        </w:r>
      </w:hyperlink>
      <w:r>
        <w:rPr>
          <w:rFonts w:ascii="arial" w:eastAsia="arial" w:hAnsi="arial" w:cs="arial"/>
          <w:color w:val="000000"/>
          <w:sz w:val="20"/>
          <w:lang w:val="en-US" w:eastAsia="en-US" w:bidi="ar-SA"/>
        </w:rPr>
        <w:t xml:space="preserve"> (S.C.) (Q.L.). In </w:t>
      </w:r>
      <w:r>
        <w:rPr>
          <w:rFonts w:ascii="arial" w:eastAsia="arial" w:hAnsi="arial" w:cs="arial"/>
          <w:b/>
          <w:i/>
          <w:color w:val="000000"/>
          <w:sz w:val="20"/>
          <w:lang w:val="en-US" w:eastAsia="en-US" w:bidi="ar-SA"/>
        </w:rPr>
        <w:t>DiFranco</w:t>
      </w:r>
      <w:r>
        <w:rPr>
          <w:rFonts w:ascii="arial" w:eastAsia="arial" w:hAnsi="arial" w:cs="arial"/>
          <w:color w:val="000000"/>
          <w:sz w:val="20"/>
          <w:lang w:val="en-US" w:eastAsia="en-US" w:bidi="ar-SA"/>
        </w:rPr>
        <w:t>,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I am satisfied that this is not one of those "relatively few cases" where there should be an apportionment of costs. I cannot conclude that the case would have taken less time or that it would have been settled if the prior medical and psychological history of the plaintiff had been made known to all of the consultants from the beginning. At the same time, it is impossible to find that the questions of future wage loss and future care costs are "neatly severable." Rather, these heads of damages are inseparable from the main question raised by the pleadings: to what extent the admitted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has created long term effects for the plaintiff. While the claims may have been exaggerated, I did not and cannot now conclude that they were imaginary. It is merely the case that I could not be satisfied on a balance of probabilities that the plaintiff had shown that there was any loss of earning capacity or any need for future care costs as a result of the two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think those observations are apt. Given the nature of the injuries suffered by Ms. Salvatierra, I do not think that any of the heads of damages were sufficiently distinct and separate that an award of costs in connection with the loss of earning capacity issue in favour of the defendants is necessary or appropriate to do justice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Accordingly, I find that the plaintiff is entitled to costs and I award those on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J.S. SIGURDSON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0" style="position:absolute;z-index:2518353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17"/>
          <w:headerReference w:type="default" r:id="rId718"/>
          <w:footerReference w:type="even" r:id="rId719"/>
          <w:footerReference w:type="default" r:id="rId720"/>
          <w:headerReference w:type="first" r:id="rId721"/>
          <w:footerReference w:type="first" r:id="rId72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23" w:history="1">
        <w:r>
          <w:rPr>
            <w:rFonts w:ascii="arial" w:eastAsia="arial" w:hAnsi="arial" w:cs="arial"/>
            <w:b/>
            <w:bCs/>
            <w:i/>
            <w:color w:val="0077CC"/>
            <w:kern w:val="32"/>
            <w:sz w:val="28"/>
            <w:szCs w:val="32"/>
            <w:u w:val="single"/>
            <w:shd w:val="clear" w:color="auto" w:fill="FFFFFF"/>
            <w:lang w:val="en-US" w:eastAsia="en-US" w:bidi="ar-SA"/>
          </w:rPr>
          <w:t>Strata Plan 4249 v. Travelers Insurance Co. of Canada, [2018] B.C.J. No. 108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E.J. Adair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11-12,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25,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S137740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108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114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CarswellBC 143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288 A.C.W.S. (3d) 568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75 C.C.L.I. (5th) 19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The Owners, Strata Plan 4249, Plaintiff, and Travelers Insurance Company of Canada, Defendant, and Active Fire &amp; Safety Services Ltd., Amacon Development (Homer) Corp., Amacon Homer Development Limited Partnership, Barry Robert Thorson, B.R. Thorson Consulting Ltd., Gerard Elston Johnston, Ipex Inc., Ironstone Engineering Inc., John Doe Corporation, LMLTD Holdings Corp., Sterling, Cooper &amp; Associates, Victaulic Company of Canada ULC, Amacon Real Estate Holdings Corp., Georg Fischer Harvel, LLC, Tyco International of Canada Ltd., Tyco Fire Suppression &amp; Building Products, Tyco Fire Products LP, Fire Products GP Holding, LLC, Tyco Fire and Security Services, and George Steeves,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(119 paras.)</w:t>
      </w:r>
    </w:p>
    <w:p>
      <w:pPr>
        <w:jc w:val="both"/>
        <w:rPr>
          <w:rFonts w:ascii="arial" w:eastAsia="arial" w:hAnsi="arial" w:cs="arial"/>
          <w:sz w:val="20"/>
          <w:lang w:val="en-US" w:eastAsia="en-US" w:bidi="ar-SA"/>
        </w:rPr>
      </w:pPr>
      <w:bookmarkStart w:id="173" w:name="Counsel_33"/>
      <w:bookmarkEnd w:id="17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1" style="position:absolute;z-index:2516930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 Stewart, L.S. Bumstead.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M. Parrish.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Attorney General of British Columbia: G. Morley.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4" w:name="Judgment_33"/>
      <w:bookmarkEnd w:id="174"/>
      <w:r>
        <w:pict>
          <v:line id="_x0000_s1152" style="position:absolute;z-index:25174425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r>
        <w:rPr>
          <w:rFonts w:ascii="arial" w:eastAsia="arial" w:hAnsi="arial" w:cs="arial"/>
          <w:sz w:val="20"/>
          <w:lang w:val="en-US" w:eastAsia="en-US" w:bidi="ar-SA"/>
        </w:rPr>
        <w:cr/>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Introduction</w:t>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Factual background</w:t>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legislative context for the Certificate</w:t>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Discussion and analysis</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Suitability for summary trial</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(b) Is the Sprinkler System part of the plumbing "delivery and distribution system," or simply "Common Property"?</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Relief from forfeiture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Constitutional Question: are the Minimum Standards ultra vires?</w:t>
      </w:r>
    </w:p>
    <w:p>
      <w:pPr>
        <w:numPr>
          <w:numId w:val="4"/>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Summary and disposition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75" w:name="E.J. ADAIR J._0"/>
            <w:bookmarkEnd w:id="175"/>
            <w:r>
              <w:rPr>
                <w:rFonts w:ascii="arial" w:eastAsia="arial" w:hAnsi="arial" w:cs="arial"/>
                <w:b/>
                <w:color w:val="000000"/>
                <w:sz w:val="30"/>
                <w:lang w:val="en-US" w:eastAsia="en-US" w:bidi="ar-SA"/>
              </w:rPr>
              <w:t>E.J. ADAIR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1.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(the "Strata Corporation") owns a strata condominium complex known as the "Beasley," located at 888 Homer Street, Vancouver, B.C. The Beasley is a 33-storey residential tower (with some commercial retail units), over seven levels of underground parking. Construction was completed in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defendant ("Travelers") operates an insurance and surety business. Travelers' business includes acting as a warranty provider under the </w:t>
      </w:r>
      <w:r>
        <w:rPr>
          <w:rFonts w:ascii="arial" w:eastAsia="arial" w:hAnsi="arial" w:cs="arial"/>
          <w:b/>
          <w:i/>
          <w:color w:val="000000"/>
          <w:sz w:val="20"/>
          <w:lang w:val="en-US" w:eastAsia="en-US" w:bidi="ar-SA"/>
        </w:rPr>
        <w:t>Homeowner Protection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1998, c. 31</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Insurance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2012, c. 1</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Homeowner Protection Act Regulation</w:t>
      </w:r>
      <w:r>
        <w:rPr>
          <w:rFonts w:ascii="arial" w:eastAsia="arial" w:hAnsi="arial" w:cs="arial"/>
          <w:color w:val="000000"/>
          <w:sz w:val="20"/>
          <w:lang w:val="en-US" w:eastAsia="en-US" w:bidi="ar-SA"/>
        </w:rPr>
        <w:t xml:space="preserve">, B.C. Reg. 22/99, and the </w:t>
      </w:r>
      <w:r>
        <w:rPr>
          <w:rFonts w:ascii="arial" w:eastAsia="arial" w:hAnsi="arial" w:cs="arial"/>
          <w:b/>
          <w:i/>
          <w:color w:val="000000"/>
          <w:sz w:val="20"/>
          <w:lang w:val="en-US" w:eastAsia="en-US" w:bidi="ar-SA"/>
        </w:rPr>
        <w:t>Insurance Regulation [Revised Regulation]</w:t>
      </w:r>
      <w:r>
        <w:rPr>
          <w:rFonts w:ascii="arial" w:eastAsia="arial" w:hAnsi="arial" w:cs="arial"/>
          <w:color w:val="000000"/>
          <w:sz w:val="20"/>
          <w:lang w:val="en-US" w:eastAsia="en-US" w:bidi="ar-SA"/>
        </w:rPr>
        <w:t xml:space="preserve">, </w:t>
      </w:r>
      <w:hyperlink r:id="rId724" w:history="1">
        <w:r>
          <w:rPr>
            <w:rFonts w:ascii="arial" w:eastAsia="arial" w:hAnsi="arial" w:cs="arial"/>
            <w:i/>
            <w:color w:val="0077CC"/>
            <w:sz w:val="20"/>
            <w:u w:val="single"/>
            <w:shd w:val="clear" w:color="auto" w:fill="FFFFFF"/>
            <w:lang w:val="en-US" w:eastAsia="en-US" w:bidi="ar-SA"/>
          </w:rPr>
          <w:t>B.C. Reg. 403/2012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October 2011, Travelers issued a home warranty certificate for the Beasley (the "Certificate"). The builder identified in the Certificate was Amacon Development (Homer) Corp. ("Amacon"), and the commencement date for the Certificate was October 20,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Under "Materials &amp; Labour Warranty," the cover page of the Certificate set out the following coverage [</w:t>
      </w:r>
      <w:r>
        <w:rPr>
          <w:rFonts w:ascii="arial" w:eastAsia="arial" w:hAnsi="arial" w:cs="arial"/>
          <w:b/>
          <w:color w:val="000000"/>
          <w:sz w:val="20"/>
          <w:lang w:val="en-US" w:eastAsia="en-US" w:bidi="ar-SA"/>
        </w:rPr>
        <w:t>bold</w:t>
      </w:r>
      <w:r>
        <w:rPr>
          <w:rFonts w:ascii="arial" w:eastAsia="arial" w:hAnsi="arial" w:cs="arial"/>
          <w:color w:val="000000"/>
          <w:sz w:val="20"/>
          <w:lang w:val="en-US" w:eastAsia="en-US" w:bidi="ar-SA"/>
        </w:rPr>
        <w:t xml:space="preserve"> and </w:t>
      </w:r>
      <w:r>
        <w:rPr>
          <w:rFonts w:ascii="arial" w:eastAsia="arial" w:hAnsi="arial" w:cs="arial"/>
          <w:color w:val="000000"/>
          <w:sz w:val="20"/>
          <w:u w:val="single"/>
          <w:lang w:val="en-US" w:eastAsia="en-US" w:bidi="ar-SA"/>
        </w:rPr>
        <w:t>underlining</w:t>
      </w:r>
      <w:r>
        <w:rPr>
          <w:rFonts w:ascii="arial" w:eastAsia="arial" w:hAnsi="arial" w:cs="arial"/>
          <w:color w:val="000000"/>
          <w:sz w:val="20"/>
          <w:lang w:val="en-US" w:eastAsia="en-US" w:bidi="ar-SA"/>
        </w:rPr>
        <w:t xml:space="preserve"> in original]:</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153" type="#_x0000_t75" style="width:388.5pt;height:139.5pt">
            <v:imagedata r:id="rId725"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In the Certificate, "Common Property" has the same meaning as in the </w:t>
      </w:r>
      <w:r>
        <w:rPr>
          <w:rFonts w:ascii="arial" w:eastAsia="arial" w:hAnsi="arial" w:cs="arial"/>
          <w:b/>
          <w:i/>
          <w:color w:val="000000"/>
          <w:sz w:val="20"/>
          <w:lang w:val="en-US" w:eastAsia="en-US" w:bidi="ar-SA"/>
        </w:rPr>
        <w:t>Strata Property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1998, c. 43</w:t>
      </w:r>
      <w:r>
        <w:rPr>
          <w:rFonts w:ascii="arial" w:eastAsia="arial" w:hAnsi="arial" w:cs="arial"/>
          <w:color w:val="000000"/>
          <w:sz w:val="20"/>
          <w:lang w:val="en-US" w:eastAsia="en-US" w:bidi="ar-SA"/>
        </w:rPr>
        <w:t xml:space="preserve">, but does not include land. The </w:t>
      </w:r>
      <w:r>
        <w:rPr>
          <w:rFonts w:ascii="arial" w:eastAsia="arial" w:hAnsi="arial" w:cs="arial"/>
          <w:b/>
          <w:i/>
          <w:color w:val="000000"/>
          <w:sz w:val="20"/>
          <w:lang w:val="en-US" w:eastAsia="en-US" w:bidi="ar-SA"/>
        </w:rPr>
        <w:t>Strata Property Act</w:t>
      </w:r>
      <w:r>
        <w:rPr>
          <w:rFonts w:ascii="arial" w:eastAsia="arial" w:hAnsi="arial" w:cs="arial"/>
          <w:color w:val="000000"/>
          <w:sz w:val="20"/>
          <w:lang w:val="en-US" w:eastAsia="en-US" w:bidi="ar-SA"/>
        </w:rPr>
        <w:t xml:space="preserve"> defines "common property" in s. 1(1) as follows (in relevant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color w:val="000000"/>
          <w:sz w:val="20"/>
          <w:lang w:val="en-US" w:eastAsia="en-US" w:bidi="ar-SA"/>
        </w:rPr>
        <w:t>common property</w:t>
      </w:r>
      <w:r>
        <w:rPr>
          <w:rFonts w:ascii="arial" w:eastAsia="arial" w:hAnsi="arial" w:cs="arial"/>
          <w:color w:val="000000"/>
          <w:sz w:val="20"/>
          <w:lang w:val="en-US" w:eastAsia="en-US" w:bidi="ar-SA"/>
        </w:rPr>
        <w:t>" means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pipes, wires, cables, chutes, ducts and other facilities for the passage or provision of water, sewage, drainage, gas, oil, electricity, telephone, radio, television, garbage, heating and cooling systems, or other similar services, if they are located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within a floor, wall or ceiling that forms a boundary</w:t>
      </w:r>
    </w:p>
    <w:p>
      <w:pPr>
        <w:numPr>
          <w:numId w:val="7"/>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between a strata lot and another strata lot,</w:t>
      </w:r>
    </w:p>
    <w:p>
      <w:pPr>
        <w:numPr>
          <w:numId w:val="8"/>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between a strata lot and the common property, or</w:t>
      </w:r>
    </w:p>
    <w:p>
      <w:pPr>
        <w:numPr>
          <w:numId w:val="9"/>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between a strata lot or common property and another parcel of land, or</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wholly or partially within a strata lot, if they are capable of being and intended to be used in connection with the enjoyment of another strata lot or the common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By letter dated June 20, 2013, the Strata Corporation's property manager advised Travelers of a "severe deficiency with respect to the building fire sprinkler suppression system." I will refer to the Beasley's fire sprinkler suppression system as the "Sprinkler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Travelers treated the June 20 letter as notice of a warranty claim under the Certificate in respect of the Sprinkler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By letter dated July 2, 2013, Travelers advised the Strata Corporation that (among other things) it had determined the claim respecting the Sprinkler System fell under the 15-month materials and labour warranty for the Common Property, common facilities and other assets of the Strata Corporation, and that warranty had expired January 19, 2013. Therefore, as of June 20, 2013, the item was no longer covered.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Strata Corporation now seeks to have the coverage issues with respect to its warranty claim concerning the Sprinkler System determined on a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Strata Corporation says, first, that the Sprinkler System must be considered to be part of the plumbing delivery and distribution system, and therefore it is subject to the 2 year coverage period set out both in the Certificate, and in the "Minimum Standards of Coverage" contained in Schedule 3 to the </w:t>
      </w:r>
      <w:r>
        <w:rPr>
          <w:rFonts w:ascii="arial" w:eastAsia="arial" w:hAnsi="arial" w:cs="arial"/>
          <w:b/>
          <w:i/>
          <w:color w:val="000000"/>
          <w:sz w:val="20"/>
          <w:lang w:val="en-US" w:eastAsia="en-US" w:bidi="ar-SA"/>
        </w:rPr>
        <w:t>Homeowner Protection Act Regulation</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HPA Regulation</w:t>
      </w:r>
      <w:r>
        <w:rPr>
          <w:rFonts w:ascii="arial" w:eastAsia="arial" w:hAnsi="arial" w:cs="arial"/>
          <w:color w:val="000000"/>
          <w:sz w:val="20"/>
          <w:lang w:val="en-US" w:eastAsia="en-US" w:bidi="ar-SA"/>
        </w:rPr>
        <w:t>"). I will refer to the Minimum Standards of Coverage as the "Minimum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In the alternative, the Strata Corporation says that, if the Sprinkler System is Common Property, and subject to the 15 month coverage period, then it is entitled to relief from forfeiture in respect of the late notice of the claim, either pursuant to s. 13 of the </w:t>
      </w:r>
      <w:r>
        <w:rPr>
          <w:rFonts w:ascii="arial" w:eastAsia="arial" w:hAnsi="arial" w:cs="arial"/>
          <w:b/>
          <w:i/>
          <w:color w:val="000000"/>
          <w:sz w:val="20"/>
          <w:lang w:val="en-US" w:eastAsia="en-US" w:bidi="ar-SA"/>
        </w:rPr>
        <w:t>Insurance Act</w:t>
      </w:r>
      <w:r>
        <w:rPr>
          <w:rFonts w:ascii="arial" w:eastAsia="arial" w:hAnsi="arial" w:cs="arial"/>
          <w:color w:val="000000"/>
          <w:sz w:val="20"/>
          <w:lang w:val="en-US" w:eastAsia="en-US" w:bidi="ar-SA"/>
        </w:rPr>
        <w:t xml:space="preserve"> or s. 24 of the </w:t>
      </w:r>
      <w:r>
        <w:rPr>
          <w:rFonts w:ascii="arial" w:eastAsia="arial" w:hAnsi="arial" w:cs="arial"/>
          <w:b/>
          <w:i/>
          <w:color w:val="000000"/>
          <w:sz w:val="20"/>
          <w:lang w:val="en-US" w:eastAsia="en-US" w:bidi="ar-SA"/>
        </w:rPr>
        <w:t>Law and Equity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253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Strata Corporation has also given a "Notice of Constitutional Question" whereby it intends to question the constitutional validity of the Minimum Standards, to the extent that (in the words of the Strata Corporation) "they purport to amend" what the Strata Corporation says is the mandatory 2 year coverage period for defects in materials and labour provided for in s. 22(2)(a) of the </w:t>
      </w:r>
      <w:r>
        <w:rPr>
          <w:rFonts w:ascii="arial" w:eastAsia="arial" w:hAnsi="arial" w:cs="arial"/>
          <w:b/>
          <w:i/>
          <w:color w:val="000000"/>
          <w:sz w:val="20"/>
          <w:lang w:val="en-US" w:eastAsia="en-US" w:bidi="ar-SA"/>
        </w:rPr>
        <w:t>Homeowner Protection Act</w:t>
      </w:r>
      <w:r>
        <w:rPr>
          <w:rFonts w:ascii="arial" w:eastAsia="arial" w:hAnsi="arial" w:cs="arial"/>
          <w:color w:val="000000"/>
          <w:sz w:val="20"/>
          <w:lang w:val="en-US" w:eastAsia="en-US" w:bidi="ar-SA"/>
        </w:rPr>
        <w:t xml:space="preserve">. The Strata Corporation says that, to the extent the Minimum Standards purport to amend s. 22(2)(a) of the </w:t>
      </w:r>
      <w:r>
        <w:rPr>
          <w:rFonts w:ascii="arial" w:eastAsia="arial" w:hAnsi="arial" w:cs="arial"/>
          <w:b/>
          <w:i/>
          <w:color w:val="000000"/>
          <w:sz w:val="20"/>
          <w:lang w:val="en-US" w:eastAsia="en-US" w:bidi="ar-SA"/>
        </w:rPr>
        <w:t>Homeowner Protection Act</w:t>
      </w:r>
      <w:r>
        <w:rPr>
          <w:rFonts w:ascii="arial" w:eastAsia="arial" w:hAnsi="arial" w:cs="arial"/>
          <w:color w:val="000000"/>
          <w:sz w:val="20"/>
          <w:lang w:val="en-US" w:eastAsia="en-US" w:bidi="ar-SA"/>
        </w:rPr>
        <w:t xml:space="preserve">, they are </w:t>
      </w:r>
      <w:r>
        <w:rPr>
          <w:rFonts w:ascii="arial" w:eastAsia="arial" w:hAnsi="arial" w:cs="arial"/>
          <w:i/>
          <w:color w:val="000000"/>
          <w:sz w:val="20"/>
          <w:lang w:val="en-US" w:eastAsia="en-US" w:bidi="ar-SA"/>
        </w:rPr>
        <w:t>ultra vires</w:t>
      </w:r>
      <w:r>
        <w:rPr>
          <w:rFonts w:ascii="arial" w:eastAsia="arial" w:hAnsi="arial" w:cs="arial"/>
          <w:color w:val="000000"/>
          <w:sz w:val="20"/>
          <w:lang w:val="en-US" w:eastAsia="en-US" w:bidi="ar-SA"/>
        </w:rPr>
        <w:t>. I will refer to this as the "Constitutional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the summary trial, and among other relief, the Strata Corporation seeks:</w:t>
      </w:r>
      <w:r>
        <w:rPr>
          <w:rFonts w:ascii="arial" w:eastAsia="arial" w:hAnsi="arial" w:cs="arial"/>
          <w:sz w:val="20"/>
          <w:lang w:val="en-US" w:eastAsia="en-US" w:bidi="ar-SA"/>
        </w:rPr>
        <w:cr/>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its claim concerning the Sprinkler System falls within the 2 year materials and labour warranty for defects in the plumbing delivery and distribution system;</w:t>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declaration that, in respect of its claim, the Strata Corporation has complied with its notice obligations under the Certificate and under the </w:t>
      </w:r>
      <w:r>
        <w:rPr>
          <w:rFonts w:ascii="arial" w:eastAsia="arial" w:hAnsi="arial" w:cs="arial"/>
          <w:b/>
          <w:i/>
          <w:color w:val="000000"/>
          <w:sz w:val="20"/>
          <w:lang w:val="en-US" w:eastAsia="en-US" w:bidi="ar-SA"/>
        </w:rPr>
        <w:t>HPA Regulation</w:t>
      </w:r>
      <w:r>
        <w:rPr>
          <w:rFonts w:ascii="arial" w:eastAsia="arial" w:hAnsi="arial" w:cs="arial"/>
          <w:color w:val="000000"/>
          <w:sz w:val="20"/>
          <w:lang w:val="en-US" w:eastAsia="en-US" w:bidi="ar-SA"/>
        </w:rPr>
        <w:t>;</w:t>
      </w:r>
    </w:p>
    <w:p>
      <w:pPr>
        <w:numPr>
          <w:numId w:val="1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if the court determines the claim does not fall within the 2 year warranty, but, instead, within the 15 month warranty in respect of Common Property, then relief from forfeiture in respect of the late notice of the claim; and</w:t>
      </w:r>
    </w:p>
    <w:p>
      <w:pPr>
        <w:numPr>
          <w:numId w:val="16"/>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further alternative, if the court determines relief from forfeiture is not available, then a declaration that the Minimum Standards are </w:t>
      </w:r>
      <w:r>
        <w:rPr>
          <w:rFonts w:ascii="arial" w:eastAsia="arial" w:hAnsi="arial" w:cs="arial"/>
          <w:i/>
          <w:color w:val="000000"/>
          <w:sz w:val="20"/>
          <w:lang w:val="en-US" w:eastAsia="en-US" w:bidi="ar-SA"/>
        </w:rPr>
        <w:t>ultra vires</w:t>
      </w:r>
      <w:r>
        <w:rPr>
          <w:rFonts w:ascii="arial" w:eastAsia="arial" w:hAnsi="arial" w:cs="arial"/>
          <w:color w:val="000000"/>
          <w:sz w:val="20"/>
          <w:lang w:val="en-US" w:eastAsia="en-US" w:bidi="ar-SA"/>
        </w:rPr>
        <w:t xml:space="preserve"> to the extent that they purport to amend s. 22(2) of the </w:t>
      </w:r>
      <w:r>
        <w:rPr>
          <w:rFonts w:ascii="arial" w:eastAsia="arial" w:hAnsi="arial" w:cs="arial"/>
          <w:b/>
          <w:i/>
          <w:color w:val="000000"/>
          <w:sz w:val="20"/>
          <w:lang w:val="en-US" w:eastAsia="en-US" w:bidi="ar-SA"/>
        </w:rPr>
        <w:t>Homeowner Protection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By its notice of application, the Strata Corporation proposed to have the whole of the action dealt with on a summary trial. The relief sought also included an order for specific performance of the Certificate, and, in the alternative, general and special damages in lieu of specific performance. However, the Strata Corporation filed no admissible evidence respecting either the existence of any defect that might be covered under the Certificate or its claims for damages. At the hearing, counsel for the Strata Corporation advised that the Strata Corporation wished to adjourn generally its claims for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Travelers says that the action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Travelers says that the central issue in this case is whether a condominium's sprinkler system falls under the 24 month coverage period afforded to "plumbing" systems in the Certificate and the Minimum Standards. Travelers says that it does not, because the term "plumbing," properly interpreted, does not include a building's sprinkler system and therefore does not include the Sprinkler System. Travelers says that the Sprinkler System is a separate and distinct system that falls under the 15 month coverage period for Common Property. Therefore, based on both the Certificate and s. 1(1)(c)(i) of the Minimum Standards, the Strata Corporation's claim for coverage for the defects asserted in the Sprinkler System, based on notice given in June 2013, is out of time, since the warranty expired on January 19,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that context, Travelers seeks declaratory relief concerning the interpretation of certain provisions of the Certificate, and a declaration that Travelers' obligations to the Strata Corporation under the warranty in respect of alleged defects in the Sprinkler System have ceased to exist.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With respect to the Strata Corporation's alternative claim for relief from forfeiture, Travelers says that it is not available. Travelers says that, based on s. 10 of the </w:t>
      </w:r>
      <w:r>
        <w:rPr>
          <w:rFonts w:ascii="arial" w:eastAsia="arial" w:hAnsi="arial" w:cs="arial"/>
          <w:b/>
          <w:i/>
          <w:color w:val="000000"/>
          <w:sz w:val="20"/>
          <w:lang w:val="en-US" w:eastAsia="en-US" w:bidi="ar-SA"/>
        </w:rPr>
        <w:t>Insurance Regulation</w:t>
      </w:r>
      <w:r>
        <w:rPr>
          <w:rFonts w:ascii="arial" w:eastAsia="arial" w:hAnsi="arial" w:cs="arial"/>
          <w:color w:val="000000"/>
          <w:sz w:val="20"/>
          <w:lang w:val="en-US" w:eastAsia="en-US" w:bidi="ar-SA"/>
        </w:rPr>
        <w:t xml:space="preserve">, s. 13 of the </w:t>
      </w:r>
      <w:r>
        <w:rPr>
          <w:rFonts w:ascii="arial" w:eastAsia="arial" w:hAnsi="arial" w:cs="arial"/>
          <w:b/>
          <w:i/>
          <w:color w:val="000000"/>
          <w:sz w:val="20"/>
          <w:lang w:val="en-US" w:eastAsia="en-US" w:bidi="ar-SA"/>
        </w:rPr>
        <w:t>Insurance Act</w:t>
      </w:r>
      <w:r>
        <w:rPr>
          <w:rFonts w:ascii="arial" w:eastAsia="arial" w:hAnsi="arial" w:cs="arial"/>
          <w:color w:val="000000"/>
          <w:sz w:val="20"/>
          <w:lang w:val="en-US" w:eastAsia="en-US" w:bidi="ar-SA"/>
        </w:rPr>
        <w:t xml:space="preserve"> does not apply to home warranty insurance. Travelers says further that the Certificate is a claims-made insurance policy, and s. 24 of the </w:t>
      </w:r>
      <w:r>
        <w:rPr>
          <w:rFonts w:ascii="arial" w:eastAsia="arial" w:hAnsi="arial" w:cs="arial"/>
          <w:b/>
          <w:i/>
          <w:color w:val="000000"/>
          <w:sz w:val="20"/>
          <w:lang w:val="en-US" w:eastAsia="en-US" w:bidi="ar-SA"/>
        </w:rPr>
        <w:t>Law and Equity Act</w:t>
      </w:r>
      <w:r>
        <w:rPr>
          <w:rFonts w:ascii="arial" w:eastAsia="arial" w:hAnsi="arial" w:cs="arial"/>
          <w:color w:val="000000"/>
          <w:sz w:val="20"/>
          <w:lang w:val="en-US" w:eastAsia="en-US" w:bidi="ar-SA"/>
        </w:rPr>
        <w:t xml:space="preserve"> does not apply to claims-made policies.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With respect to the Constitutional Question, Travelers says that the Strata Corporation has failed to demonstrate that the Minimum Standards are </w:t>
      </w:r>
      <w:r>
        <w:rPr>
          <w:rFonts w:ascii="arial" w:eastAsia="arial" w:hAnsi="arial" w:cs="arial"/>
          <w:i/>
          <w:color w:val="000000"/>
          <w:sz w:val="20"/>
          <w:lang w:val="en-US" w:eastAsia="en-US" w:bidi="ar-SA"/>
        </w:rPr>
        <w:t>ultra vires</w:t>
      </w:r>
      <w:r>
        <w:rPr>
          <w:rFonts w:ascii="arial" w:eastAsia="arial" w:hAnsi="arial" w:cs="arial"/>
          <w:color w:val="000000"/>
          <w:sz w:val="20"/>
          <w:lang w:val="en-US" w:eastAsia="en-US" w:bidi="ar-SA"/>
        </w:rPr>
        <w:t xml:space="preserve">. It adopts the submissions made on this issue by the Attorney General of British Columbia. The Attorney General says that the text, context and purpose of the relevant enactments all lead to the conclusion that there is no inconsistency between the Minimum Standards and the relevant statutory provisions, and the Minimum Standards are not </w:t>
      </w:r>
      <w:r>
        <w:rPr>
          <w:rFonts w:ascii="arial" w:eastAsia="arial" w:hAnsi="arial" w:cs="arial"/>
          <w:i/>
          <w:color w:val="000000"/>
          <w:sz w:val="20"/>
          <w:lang w:val="en-US" w:eastAsia="en-US" w:bidi="ar-SA"/>
        </w:rPr>
        <w:t>ultra vires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Travelers says further that, with respect to the Strata Corporation's claim for damages, the Strata Corporation cannot unilaterally "adjourn" its application for summary trial on the damages claimed, and then, if it is successful on the coverage issues, seek to advance a claim for damages at some later date. That is impermissible "litigation in slices." Travelers says that, since the Strata Corporation, by its own admission, has failed to adduce any evidence on damages, its claim must be dismissed even if the court were to grant any of the other relief sought by the Strata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the following sections, I will first set out some additional factual background, including the relevant provisions of the Certificate and details about the Sprinkler System. Next, I will set out the legislative context for the warranty coverage, since terms of that coverage are required pursuant to statute. My discussion and analysis of the issues raised will follow.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2. Factual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factual background is straightforward, and a number of the facts have been set out in the </w:t>
      </w:r>
      <w:r>
        <w:rPr>
          <w:rFonts w:ascii="arial" w:eastAsia="arial" w:hAnsi="arial" w:cs="arial"/>
          <w:b/>
          <w:color w:val="000000"/>
          <w:sz w:val="20"/>
          <w:u w:val="single"/>
          <w:lang w:val="en-US" w:eastAsia="en-US" w:bidi="ar-SA"/>
        </w:rPr>
        <w:t>Introduction</w:t>
      </w:r>
      <w:r>
        <w:rPr>
          <w:rFonts w:ascii="arial" w:eastAsia="arial" w:hAnsi="arial" w:cs="arial"/>
          <w:color w:val="000000"/>
          <w:sz w:val="20"/>
          <w:lang w:val="en-US" w:eastAsia="en-US" w:bidi="ar-SA"/>
        </w:rPr>
        <w:t xml:space="preserve"> above. However, some additional background is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Travelers (and its predecessor companies) has been selling home warranty insurance in B.C. since 1999, following the enactment of the </w:t>
      </w:r>
      <w:r>
        <w:rPr>
          <w:rFonts w:ascii="arial" w:eastAsia="arial" w:hAnsi="arial" w:cs="arial"/>
          <w:b/>
          <w:i/>
          <w:color w:val="000000"/>
          <w:sz w:val="20"/>
          <w:lang w:val="en-US" w:eastAsia="en-US" w:bidi="ar-SA"/>
        </w:rPr>
        <w:t>Homeowner Protection Act</w:t>
      </w:r>
      <w:r>
        <w:rPr>
          <w:rFonts w:ascii="arial" w:eastAsia="arial" w:hAnsi="arial" w:cs="arial"/>
          <w:color w:val="000000"/>
          <w:sz w:val="20"/>
          <w:lang w:val="en-US" w:eastAsia="en-US" w:bidi="ar-SA"/>
        </w:rPr>
        <w:t xml:space="preserve"> and related legislation (discussed in more detail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When a licensed residential builder wishes to build and sell a new home in B.C., the builder must obtain a policy of home warranty insurance from a warranty provider, such as Travelers. Travelers requires a builder who wishes to obtain home warranty insurance to enter into a "Builder Agreement." The Builder Agreement in this case was between Travelers and Amacon.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Travelers charges the builder a premium for home warranty insurance. In his affidavit filed on the summary trial, Mr. Kerry Nagy, Travelers' assistant vice president of underwriting, explained that, for every home warranty insurance policy issued, Travelers has underwritten the risk and charged premiums to builders according to the Minimum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Pursuant to the Builder Agreement, Travelers issues a policy of home warranty insurance in respect of the new home that the builder constructs and sells. This policy is known as a home warranty certificate. Travelers issues both "common property" and "dwelling unit" warranty certificates. A "common property" home warranty certificate provides warranty coverage for the common property of a strata development. A "dwelling unit" home warranty certificate provides warranty coverage for a dwelling unit, such as a detached house or a condominium excluding the common property. The Certificate was issued to Amacon in respect of the Beasley's Common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cover page of the Certificate sets out basic information (for example, the address and legal description for the Beasley, the warranty certificate number, Amacon's name and address), and continues (in relevant part) [</w:t>
      </w:r>
      <w:r>
        <w:rPr>
          <w:rFonts w:ascii="arial" w:eastAsia="arial" w:hAnsi="arial" w:cs="arial"/>
          <w:b/>
          <w:color w:val="000000"/>
          <w:sz w:val="20"/>
          <w:lang w:val="en-US" w:eastAsia="en-US" w:bidi="ar-SA"/>
        </w:rPr>
        <w:t>bold</w:t>
      </w:r>
      <w:r>
        <w:rPr>
          <w:rFonts w:ascii="arial" w:eastAsia="arial" w:hAnsi="arial" w:cs="arial"/>
          <w:color w:val="000000"/>
          <w:sz w:val="20"/>
          <w:lang w:val="en-US" w:eastAsia="en-US" w:bidi="ar-SA"/>
        </w:rPr>
        <w:t xml:space="preserve"> and </w:t>
      </w:r>
      <w:r>
        <w:rPr>
          <w:rFonts w:ascii="arial" w:eastAsia="arial" w:hAnsi="arial" w:cs="arial"/>
          <w:color w:val="000000"/>
          <w:sz w:val="20"/>
          <w:u w:val="single"/>
          <w:lang w:val="en-US" w:eastAsia="en-US" w:bidi="ar-SA"/>
        </w:rPr>
        <w:t>underlining</w:t>
      </w:r>
      <w:r>
        <w:rPr>
          <w:rFonts w:ascii="arial" w:eastAsia="arial" w:hAnsi="arial" w:cs="arial"/>
          <w:color w:val="000000"/>
          <w:sz w:val="20"/>
          <w:lang w:val="en-US" w:eastAsia="en-US" w:bidi="ar-SA"/>
        </w:rPr>
        <w:t xml:space="preserve"> in original]: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is your Warranty Certificate which should be read and kept in a safe place. To ensure your Warranty rights are preserved, ensure that you understand what your rights and obligations are. Please note that all notice(s) of a claim under this Warranty Certificate must be delivered to the Builder and [Travelers] in writing prior to the expiry of the applicable warranty coverage. The important dates to note are:</w:t>
      </w:r>
    </w:p>
    <w:p>
      <w:pPr>
        <w:spacing w:before="120" w:line="260" w:lineRule="atLeast"/>
        <w:rPr>
          <w:rFonts w:ascii="arial" w:eastAsia="arial" w:hAnsi="arial" w:cs="arial"/>
          <w:sz w:val="20"/>
          <w:lang w:val="en-US" w:eastAsia="en-US" w:bidi="ar-SA"/>
        </w:rPr>
      </w:pPr>
      <w:r>
        <w:pict>
          <v:shape id="_x0000_i1154" type="#_x0000_t75" style="width:347.25pt;height:289.5pt">
            <v:imagedata r:id="rId726" o:title=""/>
          </v:shape>
        </w:pict>
      </w:r>
      <w:r>
        <w:rPr>
          <w:rFonts w:ascii="arial" w:eastAsia="arial" w:hAnsi="arial" w:cs="arial"/>
          <w:sz w:val="20"/>
          <w:lang w:val="en-US" w:eastAsia="en-US" w:bidi="ar-SA"/>
        </w:rPr>
        <w:t xml:space="preserve">  </w:t>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your convenience, enclosed with this Warranty Certificate please find a sticker outlining these important dates for you to affix in a conspicuous location in your new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Warranty Coverage is set out in section A of the Certificate. Section A 1.0 provides as follows regarding the materials and labour warranty at issue here [capitalized words are defined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5"/>
        <w:gridCol w:w="627"/>
        <w:gridCol w:w="773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57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Materials and Labour Warranty - 2 years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1.1 This Warranty provides coverage for Materials and Labour for up to two years as set out below:</w:t>
      </w:r>
    </w:p>
    <w:p>
      <w:pPr>
        <w:numPr>
          <w:numId w:val="1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first 12 months of the Warranty, for other than the Common Property, common facilities and other assets of a Strata Corporation, coverage for any Defect in the Materials and Labour.</w:t>
      </w:r>
    </w:p>
    <w:p>
      <w:pPr>
        <w:numPr>
          <w:numId w:val="18"/>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first 15 months of the Warranty, for the Common Property, common facilities and other assets of a Strata Corporation, coverage for any Defect in Materials and Labour.</w:t>
      </w:r>
    </w:p>
    <w:p>
      <w:pPr>
        <w:numPr>
          <w:numId w:val="19"/>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first 24 months of the Warranty,</w:t>
      </w:r>
    </w:p>
    <w:p>
      <w:pPr>
        <w:numPr>
          <w:numId w:val="2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coverage for any Defect in Materials and Labour supplied for the gas, electrical, plumbing, heating, ventilation, and air conditioning Delivery and Distribution Systems,</w:t>
      </w:r>
    </w:p>
    <w:p>
      <w:pPr>
        <w:numPr>
          <w:numId w:val="21"/>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coverage for any Defect in Material and Labour supplied for the exterior cladding, caulking, windows, and doors that may lead to detachment or material damage to the New Home or Common Property,</w:t>
      </w:r>
    </w:p>
    <w:p>
      <w:pPr>
        <w:numPr>
          <w:numId w:val="2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23"/>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Subsection A1.2, coverage for non-compliance or a violation of the Building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672"/>
        <w:gridCol w:w="314"/>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Non-compliance with, or a violation of the Building Code is considered a Defect covered by [Travelers] only if the non-compliance or violation: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constitutes an unreasonable health or safety risk, or</w:t>
      </w:r>
    </w:p>
    <w:p>
      <w:pPr>
        <w:numPr>
          <w:numId w:val="25"/>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has resulted in, or is likely to result in, Material Damage to the New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Section F addresses notice of a claim, and provides as follows [</w:t>
      </w:r>
      <w:r>
        <w:rPr>
          <w:rFonts w:ascii="arial" w:eastAsia="arial" w:hAnsi="arial" w:cs="arial"/>
          <w:color w:val="000000"/>
          <w:sz w:val="20"/>
          <w:u w:val="single"/>
          <w:lang w:val="en-US" w:eastAsia="en-US" w:bidi="ar-SA"/>
        </w:rPr>
        <w:t>underlining</w:t>
      </w:r>
      <w:r>
        <w:rPr>
          <w:rFonts w:ascii="arial" w:eastAsia="arial" w:hAnsi="arial" w:cs="arial"/>
          <w:color w:val="000000"/>
          <w:sz w:val="20"/>
          <w:lang w:val="en-US" w:eastAsia="en-US" w:bidi="ar-SA"/>
        </w:rPr>
        <w:t xml:space="preserve"> in original]:</w:t>
      </w:r>
      <w:r>
        <w:rPr>
          <w:rFonts w:ascii="arial" w:eastAsia="arial" w:hAnsi="arial" w:cs="arial"/>
          <w:sz w:val="20"/>
          <w:lang w:val="en-US" w:eastAsia="en-US" w:bidi="ar-SA"/>
        </w:rPr>
        <w:cr/>
      </w:r>
    </w:p>
    <w:p>
      <w:pPr>
        <w:numPr>
          <w:numId w:val="2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NOTICE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672"/>
        <w:gridCol w:w="314"/>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Within a reasonable time after the discovery of a Defect and </w:t>
            </w:r>
            <w:r>
              <w:rPr>
                <w:rFonts w:ascii="arial" w:eastAsia="arial" w:hAnsi="arial" w:cs="arial"/>
                <w:color w:val="000000"/>
                <w:sz w:val="18"/>
                <w:u w:val="single"/>
                <w:lang w:val="en-US" w:eastAsia="en-US" w:bidi="ar-SA"/>
              </w:rPr>
              <w:t>before the Expiry Date of the applicable Warranty coverage</w:t>
            </w:r>
            <w:r>
              <w:rPr>
                <w:rFonts w:ascii="arial" w:eastAsia="arial" w:hAnsi="arial" w:cs="arial"/>
                <w:color w:val="000000"/>
                <w:sz w:val="18"/>
                <w:lang w:val="en-US" w:eastAsia="en-US" w:bidi="ar-SA"/>
              </w:rPr>
              <w:t xml:space="preserve">, an Owner must give [Travelers] and the Builder </w:t>
            </w:r>
            <w:r>
              <w:rPr>
                <w:rFonts w:ascii="arial" w:eastAsia="arial" w:hAnsi="arial" w:cs="arial"/>
                <w:color w:val="000000"/>
                <w:sz w:val="18"/>
                <w:u w:val="single"/>
                <w:lang w:val="en-US" w:eastAsia="en-US" w:bidi="ar-SA"/>
              </w:rPr>
              <w:t>written notice</w:t>
            </w:r>
            <w:r>
              <w:rPr>
                <w:rFonts w:ascii="arial" w:eastAsia="arial" w:hAnsi="arial" w:cs="arial"/>
                <w:color w:val="000000"/>
                <w:sz w:val="18"/>
                <w:lang w:val="en-US" w:eastAsia="en-US" w:bidi="ar-SA"/>
              </w:rPr>
              <w:t xml:space="preserve"> in reasonable detail that provides particulars of any specific alleged Defects which may be covered by the Warranty.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672"/>
        <w:gridCol w:w="314"/>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[Travelers] will require the notice under Subsection F.1.1 to be in a prescribed form and include: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7"/>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Home Warranty Certificate Number of the New Home,</w:t>
      </w:r>
    </w:p>
    <w:p>
      <w:pPr>
        <w:numPr>
          <w:numId w:val="28"/>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copies of all relevant documentation and correspondence between the Owner and the Builder, and</w:t>
      </w:r>
    </w:p>
    <w:p>
      <w:pPr>
        <w:numPr>
          <w:numId w:val="29"/>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Particulars of the claim as determined to be necessary by [Travelers] to comply with its obligations pursuant to this Warranty Certificate.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1.3 The obligations of [Travelers] absolutely cease unless:</w:t>
      </w:r>
    </w:p>
    <w:p>
      <w:pPr>
        <w:numPr>
          <w:numId w:val="3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Proper notice is given to [Travelers] of a claim prior to the Expiry Date; and</w:t>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Owner conducts reasonable inspections of the New Home from time to time in order to discover defects or potential defects and gives notice pursuant to Subsection F.1.1.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As part of its argument respecting relief from forfeiture, the Strata Corporation says that s. F.1.3 is unenforceable because it offends s. 141(4) of the </w:t>
      </w:r>
      <w:r>
        <w:rPr>
          <w:rFonts w:ascii="arial" w:eastAsia="arial" w:hAnsi="arial" w:cs="arial"/>
          <w:b/>
          <w:i/>
          <w:color w:val="000000"/>
          <w:sz w:val="20"/>
          <w:lang w:val="en-US" w:eastAsia="en-US" w:bidi="ar-SA"/>
        </w:rPr>
        <w:t>Insurance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Travelers, on the other hand, says that s. F.1.3 is consistent with both the </w:t>
      </w:r>
      <w:r>
        <w:rPr>
          <w:rFonts w:ascii="arial" w:eastAsia="arial" w:hAnsi="arial" w:cs="arial"/>
          <w:b/>
          <w:i/>
          <w:color w:val="000000"/>
          <w:sz w:val="20"/>
          <w:lang w:val="en-US" w:eastAsia="en-US" w:bidi="ar-SA"/>
        </w:rPr>
        <w:t>Insurance Act</w:t>
      </w:r>
      <w:r>
        <w:rPr>
          <w:rFonts w:ascii="arial" w:eastAsia="arial" w:hAnsi="arial" w:cs="arial"/>
          <w:color w:val="000000"/>
          <w:sz w:val="20"/>
          <w:lang w:val="en-US" w:eastAsia="en-US" w:bidi="ar-SA"/>
        </w:rPr>
        <w:t xml:space="preserve"> and with s. 16 of the </w:t>
      </w:r>
      <w:r>
        <w:rPr>
          <w:rFonts w:ascii="arial" w:eastAsia="arial" w:hAnsi="arial" w:cs="arial"/>
          <w:b/>
          <w:i/>
          <w:color w:val="000000"/>
          <w:sz w:val="20"/>
          <w:lang w:val="en-US" w:eastAsia="en-US" w:bidi="ar-SA"/>
        </w:rPr>
        <w:t>HPA Regulation</w:t>
      </w:r>
      <w:r>
        <w:rPr>
          <w:rFonts w:ascii="arial" w:eastAsia="arial" w:hAnsi="arial" w:cs="arial"/>
          <w:color w:val="000000"/>
          <w:sz w:val="20"/>
          <w:lang w:val="en-US" w:eastAsia="en-US" w:bidi="ar-SA"/>
        </w:rPr>
        <w:t>. In the context of its position that the coverage period for the Sprinkler System is 15 months, on the summary trial, Travelers seeks both a declaration that s. F.1.3 is valid and enforceable, and a declaration that the Strata Corporation did not provide sufficient notice of the alleged defects as required by that section, and, as a result, Travelers' obligations to the Strata Corporation under the Certificate respecting the alleged defects have ceased to exist.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Section K, "DEFINITIONS," provides in relevant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1.2 "Builder" means the person named in the Warranty Certificate;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5"/>
        <w:gridCol w:w="627"/>
        <w:gridCol w:w="773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57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"Building Code" means, as applicable,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3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Vancouver Building Bylaw established under the </w:t>
      </w:r>
      <w:r>
        <w:rPr>
          <w:rFonts w:ascii="arial" w:eastAsia="arial" w:hAnsi="arial" w:cs="arial"/>
          <w:i/>
          <w:color w:val="000000"/>
          <w:sz w:val="20"/>
          <w:lang w:val="en-US" w:eastAsia="en-US" w:bidi="ar-SA"/>
        </w:rPr>
        <w:t>Vancouver Charter</w:t>
      </w:r>
      <w:r>
        <w:rPr>
          <w:rFonts w:ascii="arial" w:eastAsia="arial" w:hAnsi="arial" w:cs="arial"/>
          <w:color w:val="000000"/>
          <w:sz w:val="20"/>
          <w:lang w:val="en-US" w:eastAsia="en-US" w:bidi="ar-SA"/>
        </w:rPr>
        <w:t xml:space="preserve"> .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force at the time that the building permit was issued for the New Home .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"Common Property" has the same meaning as in the </w:t>
            </w:r>
            <w:r>
              <w:rPr>
                <w:rFonts w:ascii="arial" w:eastAsia="arial" w:hAnsi="arial" w:cs="arial"/>
                <w:i/>
                <w:color w:val="000000"/>
                <w:sz w:val="18"/>
                <w:lang w:val="en-US" w:eastAsia="en-US" w:bidi="ar-SA"/>
              </w:rPr>
              <w:t>Strata Property Act</w:t>
            </w:r>
            <w:r>
              <w:rPr>
                <w:rFonts w:ascii="arial" w:eastAsia="arial" w:hAnsi="arial" w:cs="arial"/>
                <w:color w:val="000000"/>
                <w:sz w:val="18"/>
                <w:lang w:val="en-US" w:eastAsia="en-US" w:bidi="ar-SA"/>
              </w:rPr>
              <w:t xml:space="preserve"> but does not include land;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"Defect" means any design or construction that is contrary to the Building Code or that requires repair or replacement due to the </w:t>
            </w:r>
            <w:r>
              <w:rPr>
                <w:rFonts w:ascii="arial" w:eastAsia="arial" w:hAnsi="arial" w:cs="arial"/>
                <w:b/>
                <w:i/>
                <w:color w:val="000000"/>
                <w:sz w:val="18"/>
                <w:u w:val="single"/>
                <w:lang w:val="en-US" w:eastAsia="en-US" w:bidi="ar-SA"/>
              </w:rPr>
              <w:t>negligence</w:t>
            </w:r>
            <w:r>
              <w:rPr>
                <w:rFonts w:ascii="arial" w:eastAsia="arial" w:hAnsi="arial" w:cs="arial"/>
                <w:color w:val="000000"/>
                <w:sz w:val="18"/>
                <w:lang w:val="en-US" w:eastAsia="en-US" w:bidi="ar-SA"/>
              </w:rPr>
              <w:t xml:space="preserve"> of a Builder or person for whom the Builder is responsible at law;</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1.10</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"Delivery and Distribution Systems" means the mechanical and electrical systems for delivery and distribution of electricity, water, waste, heat and air within and throughout a New Home, but excludes plumbing and electrical fixtures and appliances.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1.12</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"Expiry Date" means the expiration date referenced in this Warranty Certificate pertaining to each applicable Warranty and after which such Warranty shall absolutely cease.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1.14</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"Materials and Labour" means only Materials and Labour supplied by the Builder for construction of the New Home;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1.15</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"Materials and Labour Warranty" means the Warranty against defects in materials and labour provided to an Owner pursuant to Section A hereof;</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 the summary trial, the Strata Corporation filed an affidavit sworn by Celestine Chow. Ms. Chow is a senior project engineer with Jensen Hughes Consulting Canada Ltd. She is familiar with the Sprinkler System and provided a detailed description of how it works. Ms. Chow's evidence is the only evidence on that matter filed on the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Ms. Chow explained:</w:t>
      </w:r>
      <w:r>
        <w:rPr>
          <w:rFonts w:ascii="arial" w:eastAsia="arial" w:hAnsi="arial" w:cs="arial"/>
          <w:sz w:val="20"/>
          <w:lang w:val="en-US" w:eastAsia="en-US" w:bidi="ar-SA"/>
        </w:rPr>
        <w:cr/>
      </w:r>
    </w:p>
    <w:p>
      <w:pPr>
        <w:numPr>
          <w:numId w:val="3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Sprinkler System is part of the combined standpipe and sprinkler system. This system consists of two main standpipe risers, one of which also serves as a combined riser for the standpipe and sprinkler systems in the residential tower.</w:t>
      </w:r>
    </w:p>
    <w:p>
      <w:pPr>
        <w:numPr>
          <w:numId w:val="3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term "riser" refers to a series of pipes that rise vertically in a building. A standpipe system is a series of pipes which connect a water supply to hose connections and operate to extend the fire protection water system throughout the full height of the building. Standpipe systems are found in most buildings over three storeys in height and are essential in high buildings, such as the Beasley, in which the upper levels are beyond the reach of the fire department hoses mounted on aerial ladder equipment.</w:t>
      </w:r>
    </w:p>
    <w:p>
      <w:pPr>
        <w:numPr>
          <w:numId w:val="3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purpose of the standpipe risers is to provide a direct fire protection water feed to each floor. The combined standpipe and sprinkler system is connected to a City water main with a fire pump boosting the required minimum operating pressure of the standpipe hose connections at the top of the building.</w:t>
      </w:r>
    </w:p>
    <w:p>
      <w:pPr>
        <w:numPr>
          <w:numId w:val="3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parking levels in the building are protected with dry pipe sprinkler systems while the main retail and the upper residential levels are protected with wet sprinkler systems. Each level of the wet sprinkler system has its own sprinkler zone (i.e., each floor is a "zone") with the zone control connected to the combined sprinkler and standpipe riser. The zone control consists of an individual shutoff valve and an alarm flow switch so that each sprinkler zone can be shut off independently, and when the flow switch detects a water flow because of the sprinkler operation, the switch can generate a fire alarm in the building fire alarm system.</w:t>
      </w:r>
    </w:p>
    <w:p>
      <w:pPr>
        <w:numPr>
          <w:numId w:val="3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wet pipe sprinkler system is a sprinkler system employing automatic sprinkler heads attached to a piping system containing water and connected to a water supply. Water discharges immediately from a sprinkler opened by heat from a fire. In the Beasley, the piping system is connected to the combined standpipe and sprinkler riser. Once the sprinkler reaches the pre-determined operating temperature by the heat from a fire, the sprinkler opens automatically and discharges water immediately.</w:t>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dry pipe sprinkler system is a sprinkler system in which pipes are normally filled with pressurized air, rather than water in wet pipe sprinkler systems. The pressurized air in the piping is to hold the dry pipe valve in a closed position. This is to prevent water from the supply piping entering into the dry pipe sprinkler system. When a sprinkler opens by heat from a fire, the pressurized air in the system releases through the open sprinkler head. The dry pipe valve opens. Water subsequently reaches the open sprinkler and the sprinkler discharges water into the fire. Dry pipe sprinkler systems are generally provided in unheated areas, including in the parking garages in the Beasley.</w:t>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alarm pressure switch is located at the dry pipe valves of the dry pipe sprinkler systems in the parking levels of the Beasley. Once the dry pipe valve opens, the alarm switch senses the water pressure in the alarm chamber of the dry pipe valve and registers a fire alarm in the building fire alarm system. All the audible and visual fire alarm signaling devices in the Beasley are activated.</w:t>
      </w:r>
    </w:p>
    <w:p>
      <w:pPr>
        <w:numPr>
          <w:numId w:val="4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alarm flow switch is also located at each floor zone control of the wet sprinkler system on the commercial and residential floors of the Beasley. Once the alarm flow switch senses the water flow in the Sprinkler System, it registers a fire alarm. All the audible and visual fire alarm signaling devices in the building are activated.</w:t>
      </w:r>
    </w:p>
    <w:p>
      <w:pPr>
        <w:numPr>
          <w:numId w:val="4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Beasley, the standpipe and sprinkler systems are connected to the City water supply with a fire pump. Each floor zone control for the wet sprinkler system is connected to the combined standpipe and sprinkler risers. The sprinkler systems have distribution mains, cross mains, and sprinkler branch lines for distributing water to the sprinklers in accordance with the discharge requirement within the zone.</w:t>
      </w:r>
    </w:p>
    <w:p>
      <w:pPr>
        <w:numPr>
          <w:numId w:val="4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event of a fire in one of the floors in the Beasley, the ceiling temperature in the vicinity of the fire will reach the pre-determined temperature of the sprinklers in the fire compartment. The sprinkler experiencing the pre-determined or higher temperature opens automatically and water discharges to the fire through the open sprinkler. The water flow switch registers a fire alarm in the building fire alarm system and all signaling devices in the building are activated. If the temperature within the compartment is not cooled down by the sprinkler discharge, more sprinklers within the compartment may open one at a time. Only the sprinklers within the area having a temperature exceeding the pre-determined temperature of the sprinklers open. The water flow sounds the fire alarm throughout the building.</w:t>
      </w:r>
    </w:p>
    <w:p>
      <w:pPr>
        <w:numPr>
          <w:numId w:val="4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event a piece of sprinkler piping or a sprinkler fitting fails, the water in the Sprinkler System discharges through the broken piping or fitting. The water flow switch senses the water flow and registers a fire alarm in the building fire alarm system. All signaling devices in the Beasley are activated.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the Second Further Amended Notice of Civil Claim (the "NCC"), the Strata Corporation alleges (at para. 15) that between November 2011 and January 2014, the Beasley was subject to 15 separate failures in the Sprinkler System. The Strata Corporation pleads further that:</w:t>
      </w:r>
      <w:r>
        <w:rPr>
          <w:rFonts w:ascii="arial" w:eastAsia="arial" w:hAnsi="arial" w:cs="arial"/>
          <w:sz w:val="20"/>
          <w:lang w:val="en-US" w:eastAsia="en-US" w:bidi="ar-SA"/>
        </w:rPr>
        <w:cr/>
      </w:r>
    </w:p>
    <w:p>
      <w:pPr>
        <w:numPr>
          <w:numId w:val="4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April 29, 2013, the Strata Corporation, through its agent, put the Builder on notice of three separate failures in the Sprinkler System, requested reimbursement for expenses incurred pursuant to the terms of the warranty and requested outstanding repair work be performed.</w:t>
      </w:r>
    </w:p>
    <w:p>
      <w:pPr>
        <w:numPr>
          <w:numId w:val="4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June 20, 2013, the Strata Corporation, through its agent, notified Travelers of a severe deficiency in the Sprinkler System and requested Travelers perform an inspection to ensure no further damages would occur (the "Owners'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alleged defects in the Sprinkler System fall within the 2 year Labour &amp; Materials warranty found in the Certificate and this coverage did not expire until October 19, 2013.</w:t>
      </w:r>
    </w:p>
    <w:p>
      <w:pPr>
        <w:numPr>
          <w:numId w:val="4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complied with all of its obligations under the Certificate and, in particular, has notified the Builder and Travelers of specific alleged Defects which may be covered by the warranty as required by the terms of the Certificate.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its June 20, 2013 letter to Travelers, the Strata Corporation stated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 . . bring to your attention [a] severe deficiency with respect to the building fire sprinkler suppression system. Since September 2012, there have been two (2) major instances of cracked pex piping on the 19th floor, resulting in damages in excess of $400,000 and Strata having to pay water damage deductible totaling $105,000. Our effort to have the builder mitigate this problem, as per the attached letter sent to Amacon on April 29, 2013, [has] so far produced no response.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April 29, 2013 letter to Amacon (referred to in the NCC at para. 16) states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Since the building's completion, there have been three leaks related to defects in the building's fire sprinkler system. The first incident, which occurred on September 30th, 2012 and was attributed to a split sprinkler pipe line in unit 1901, resulted in damages to 40 suites . . .. The second incident, on December 24th 2012, was attributed to a leaky sprinkler pipe joint found inside the 20th floor electrical closet, . . .. The third incident, on March 13th, 2013, attributed to a leaky sprinkler line T joint in the 28th floor electrical closet,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However, on a summary trial, none of the statements in either letter is admissible evidence concerning either the existence in fact of a defect in materials or labour (either as defined in the Certificate or as described in the Minimum Standards), or the nature of any defect in the Sprinkler System. The Strata Corporation has not tendered any admissible evidence concerning those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Travelers' July 2, 2013 letter to the Strata Corporation stated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Thank you for your correspondence dated [June 20, 2013] pertaining to possible Defects at The Beasley. Unfortunately an inspection will not occur at this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be advised, as per section F (1.1) of your warranty documents the Strata must contact [Travelers] and the Builder in writing after discovery of a Defect with details of the alleged defect. The Strata failed to contract [Travelers] in September 2012 when the fire sprinkler suppression system failed as was required.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[Travelers] has determined that the item referred to in your claims notice letter would fall under the 15 month Materials and Labour warranty for common property . . . of the Strata Corporation. Unfortunately, that warranty expired on January 19, 2013.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In its amended Response to Civil Claim (at para. 24), Travelers denies that the Sprinkler System suffered either the defects alleged or any defects at all. In addition to pleading that the Strata Corporation's claim falls within the 15 month coverage period, Travelers pleads further that the Strata Corporation failed to provide Travelers with notice of the alleged defect within a reasonable period of time after discovery of the alleged defect. Therefore, in addition to the coverage period, the parties have joined issue concerning whether the notice requirements under s. 16(1) of the </w:t>
      </w:r>
      <w:r>
        <w:rPr>
          <w:rFonts w:ascii="arial" w:eastAsia="arial" w:hAnsi="arial" w:cs="arial"/>
          <w:b/>
          <w:i/>
          <w:color w:val="000000"/>
          <w:sz w:val="20"/>
          <w:lang w:val="en-US" w:eastAsia="en-US" w:bidi="ar-SA"/>
        </w:rPr>
        <w:t>HPA Regulation</w:t>
      </w:r>
      <w:r>
        <w:rPr>
          <w:rFonts w:ascii="arial" w:eastAsia="arial" w:hAnsi="arial" w:cs="arial"/>
          <w:color w:val="000000"/>
          <w:sz w:val="20"/>
          <w:lang w:val="en-US" w:eastAsia="en-US" w:bidi="ar-SA"/>
        </w:rPr>
        <w:t xml:space="preserve"> and s. F.1.1 of the Certificate have in fact been satisfied. Travelers also asserts that the Strata Corporation's warranty claim does not fall within the definition of "Defect" under the Certificate.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lack of any admissible evidence on facts that are clearly in issue based on the pleadings is problematic, even given the more limited relief the Strata Corporation sought at the hearing of the summary trial. Travelers' position at the hearing of the summary trial was essentially that if the Strata Corporation, having sought a summary trial of the action, failed to tender admissible evidence on matters on which it had the burden of proof, the consequence should be dismissal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Travelers filed two expert reports on the summary trial. The first was prepared by Satwinder Singh, a professional engineer and principal of TAG Engineering Inc., and it is attached to Mr. Singh's affidavit sworn September 29, 2017. The second was prepared by David Steer, also a professional engineer with a specialization in fire protection and life safety and a principal with LMDG Building Code Consultants Ltd., and it is attached to Mr. Steer's affidavit sworn September 29,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Travelers says that the evidence from Mr. Singh and Mr. Steer is being tendered to explain and describe how terms such as "plumbing" and "sprinkler system" are understood by persons in the construction industry and who work with the building code (in this case, the Vancouver Building Bylaw, which I will refer to as the "Building Code"). Travelers says the evidence is not being tendered to "educate" the court on the interpretation of domestic law (the legislative provisions discussed below). However, Travelers says (citing </w:t>
      </w:r>
      <w:r>
        <w:rPr>
          <w:rFonts w:ascii="arial" w:eastAsia="arial" w:hAnsi="arial" w:cs="arial"/>
          <w:b/>
          <w:i/>
          <w:color w:val="000000"/>
          <w:sz w:val="20"/>
          <w:lang w:val="en-US" w:eastAsia="en-US" w:bidi="ar-SA"/>
        </w:rPr>
        <w:t>Canada (Information Commissioner) v. Canada (Minister of Defence)</w:t>
      </w:r>
      <w:r>
        <w:rPr>
          <w:rFonts w:ascii="arial" w:eastAsia="arial" w:hAnsi="arial" w:cs="arial"/>
          <w:color w:val="000000"/>
          <w:sz w:val="20"/>
          <w:lang w:val="en-US" w:eastAsia="en-US" w:bidi="ar-SA"/>
        </w:rPr>
        <w:t xml:space="preserve">, </w:t>
      </w:r>
      <w:hyperlink r:id="rId727" w:history="1">
        <w:r>
          <w:rPr>
            <w:rFonts w:ascii="arial" w:eastAsia="arial" w:hAnsi="arial" w:cs="arial"/>
            <w:i/>
            <w:color w:val="0077CC"/>
            <w:sz w:val="20"/>
            <w:u w:val="single"/>
            <w:shd w:val="clear" w:color="auto" w:fill="FFFFFF"/>
            <w:lang w:val="en-US" w:eastAsia="en-US" w:bidi="ar-SA"/>
          </w:rPr>
          <w:t>2011 SCC 25</w:t>
        </w:r>
      </w:hyperlink>
      <w:r>
        <w:rPr>
          <w:rFonts w:ascii="arial" w:eastAsia="arial" w:hAnsi="arial" w:cs="arial"/>
          <w:color w:val="000000"/>
          <w:sz w:val="20"/>
          <w:lang w:val="en-US" w:eastAsia="en-US" w:bidi="ar-SA"/>
        </w:rPr>
        <w:t xml:space="preserve">, at paras. 32-33, </w:t>
      </w:r>
      <w:r>
        <w:rPr>
          <w:rFonts w:ascii="arial" w:eastAsia="arial" w:hAnsi="arial" w:cs="arial"/>
          <w:b/>
          <w:i/>
          <w:color w:val="000000"/>
          <w:sz w:val="20"/>
          <w:lang w:val="en-US" w:eastAsia="en-US" w:bidi="ar-SA"/>
        </w:rPr>
        <w:t>Fahlman by his guardian ad litem Fiona Gow v. Community Living British Columbia</w:t>
      </w:r>
      <w:r>
        <w:rPr>
          <w:rFonts w:ascii="arial" w:eastAsia="arial" w:hAnsi="arial" w:cs="arial"/>
          <w:color w:val="000000"/>
          <w:sz w:val="20"/>
          <w:lang w:val="en-US" w:eastAsia="en-US" w:bidi="ar-SA"/>
        </w:rPr>
        <w:t xml:space="preserve">, </w:t>
      </w:r>
      <w:hyperlink r:id="rId728" w:history="1">
        <w:r>
          <w:rPr>
            <w:rFonts w:ascii="arial" w:eastAsia="arial" w:hAnsi="arial" w:cs="arial"/>
            <w:i/>
            <w:color w:val="0077CC"/>
            <w:sz w:val="20"/>
            <w:u w:val="single"/>
            <w:shd w:val="clear" w:color="auto" w:fill="FFFFFF"/>
            <w:lang w:val="en-US" w:eastAsia="en-US" w:bidi="ar-SA"/>
          </w:rPr>
          <w:t>2007 BCCA 15</w:t>
        </w:r>
      </w:hyperlink>
      <w:r>
        <w:rPr>
          <w:rFonts w:ascii="arial" w:eastAsia="arial" w:hAnsi="arial" w:cs="arial"/>
          <w:color w:val="000000"/>
          <w:sz w:val="20"/>
          <w:lang w:val="en-US" w:eastAsia="en-US" w:bidi="ar-SA"/>
        </w:rPr>
        <w:t xml:space="preserve">, at paras. 27 and following, and </w:t>
      </w:r>
      <w:r>
        <w:rPr>
          <w:rFonts w:ascii="arial" w:eastAsia="arial" w:hAnsi="arial" w:cs="arial"/>
          <w:b/>
          <w:i/>
          <w:color w:val="000000"/>
          <w:sz w:val="20"/>
          <w:lang w:val="en-US" w:eastAsia="en-US" w:bidi="ar-SA"/>
        </w:rPr>
        <w:t>Sullivan on the Construction of Statues</w:t>
      </w:r>
      <w:r>
        <w:rPr>
          <w:rFonts w:ascii="arial" w:eastAsia="arial" w:hAnsi="arial" w:cs="arial"/>
          <w:color w:val="000000"/>
          <w:sz w:val="20"/>
          <w:lang w:val="en-US" w:eastAsia="en-US" w:bidi="ar-SA"/>
        </w:rPr>
        <w:t>, 6th ed. (Markham, Ont.: LexisNexis Canada, 2014), at sec.3.40 to sec.3.42 and sec.4.17 to sec.4.19) that a court may consider expert evidence when interpreting legislation, and expert evidence may also be considered to determine whether a technical meaning ought to be applied to a particular word, words or 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Strata Corporation says that both expert reports are inadmissible. It cites </w:t>
      </w:r>
      <w:r>
        <w:rPr>
          <w:rFonts w:ascii="arial" w:eastAsia="arial" w:hAnsi="arial" w:cs="arial"/>
          <w:b/>
          <w:i/>
          <w:color w:val="000000"/>
          <w:sz w:val="20"/>
          <w:lang w:val="en-US" w:eastAsia="en-US" w:bidi="ar-SA"/>
        </w:rPr>
        <w:t>Walsh v. BDO Dunwoody LLP</w:t>
      </w:r>
      <w:r>
        <w:rPr>
          <w:rFonts w:ascii="arial" w:eastAsia="arial" w:hAnsi="arial" w:cs="arial"/>
          <w:color w:val="000000"/>
          <w:sz w:val="20"/>
          <w:lang w:val="en-US" w:eastAsia="en-US" w:bidi="ar-SA"/>
        </w:rPr>
        <w:t xml:space="preserve">, </w:t>
      </w:r>
      <w:hyperlink r:id="rId729" w:history="1">
        <w:r>
          <w:rPr>
            <w:rFonts w:ascii="arial" w:eastAsia="arial" w:hAnsi="arial" w:cs="arial"/>
            <w:i/>
            <w:color w:val="0077CC"/>
            <w:sz w:val="20"/>
            <w:u w:val="single"/>
            <w:shd w:val="clear" w:color="auto" w:fill="FFFFFF"/>
            <w:lang w:val="en-US" w:eastAsia="en-US" w:bidi="ar-SA"/>
          </w:rPr>
          <w:t>2013 BCSC 1463</w:t>
        </w:r>
      </w:hyperlink>
      <w:r>
        <w:rPr>
          <w:rFonts w:ascii="arial" w:eastAsia="arial" w:hAnsi="arial" w:cs="arial"/>
          <w:color w:val="000000"/>
          <w:sz w:val="20"/>
          <w:lang w:val="en-US" w:eastAsia="en-US" w:bidi="ar-SA"/>
        </w:rPr>
        <w:t xml:space="preserve"> (where the court refused to admit an expert report prepared by a tax lawyer and former tax court judge purporting to opine on the proper interpretation of the </w:t>
      </w:r>
      <w:r>
        <w:rPr>
          <w:rFonts w:ascii="arial" w:eastAsia="arial" w:hAnsi="arial" w:cs="arial"/>
          <w:b/>
          <w:i/>
          <w:color w:val="000000"/>
          <w:sz w:val="20"/>
          <w:lang w:val="en-US" w:eastAsia="en-US" w:bidi="ar-SA"/>
        </w:rPr>
        <w:t>Income Tax Act</w:t>
      </w:r>
      <w:r>
        <w:rPr>
          <w:rFonts w:ascii="arial" w:eastAsia="arial" w:hAnsi="arial" w:cs="arial"/>
          <w:color w:val="000000"/>
          <w:sz w:val="20"/>
          <w:lang w:val="en-US" w:eastAsia="en-US" w:bidi="ar-SA"/>
        </w:rPr>
        <w:t xml:space="preserve"> and providing commentary on case law), among other authorities, in support of its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It is well established that, to be admissible, expert evidence must satisfy four threshold requirements: relevance; necessity in assisting the trier of fact; the absence of any exclusionary rule; and a properly qualified expert. See the discussion in </w:t>
      </w:r>
      <w:r>
        <w:rPr>
          <w:rFonts w:ascii="arial" w:eastAsia="arial" w:hAnsi="arial" w:cs="arial"/>
          <w:b/>
          <w:i/>
          <w:color w:val="000000"/>
          <w:sz w:val="20"/>
          <w:lang w:val="en-US" w:eastAsia="en-US" w:bidi="ar-SA"/>
        </w:rPr>
        <w:t>Walsh</w:t>
      </w:r>
      <w:r>
        <w:rPr>
          <w:rFonts w:ascii="arial" w:eastAsia="arial" w:hAnsi="arial" w:cs="arial"/>
          <w:color w:val="000000"/>
          <w:sz w:val="20"/>
          <w:lang w:val="en-US" w:eastAsia="en-US" w:bidi="ar-SA"/>
        </w:rPr>
        <w:t xml:space="preserve">, at paras. 17 and following (citing </w:t>
      </w:r>
      <w:r>
        <w:rPr>
          <w:rFonts w:ascii="arial" w:eastAsia="arial" w:hAnsi="arial" w:cs="arial"/>
          <w:b/>
          <w:i/>
          <w:color w:val="000000"/>
          <w:sz w:val="20"/>
          <w:lang w:val="en-US" w:eastAsia="en-US" w:bidi="ar-SA"/>
        </w:rPr>
        <w:t>R. v. Mohan</w:t>
      </w:r>
      <w:r>
        <w:rPr>
          <w:rFonts w:ascii="arial" w:eastAsia="arial" w:hAnsi="arial" w:cs="arial"/>
          <w:color w:val="000000"/>
          <w:sz w:val="20"/>
          <w:lang w:val="en-US" w:eastAsia="en-US" w:bidi="ar-SA"/>
        </w:rPr>
        <w:t xml:space="preserve">, </w:t>
      </w:r>
      <w:hyperlink r:id="rId730" w:history="1">
        <w:r>
          <w:rPr>
            <w:rFonts w:ascii="arial" w:eastAsia="arial" w:hAnsi="arial" w:cs="arial"/>
            <w:i/>
            <w:color w:val="0077CC"/>
            <w:sz w:val="20"/>
            <w:u w:val="single"/>
            <w:shd w:val="clear" w:color="auto" w:fill="FFFFFF"/>
            <w:lang w:val="en-US" w:eastAsia="en-US" w:bidi="ar-SA"/>
          </w:rPr>
          <w:t>[1994] 2 S.C.R. 9</w:t>
        </w:r>
      </w:hyperlink>
      <w:r>
        <w:rPr>
          <w:rFonts w:ascii="arial" w:eastAsia="arial" w:hAnsi="arial" w:cs="arial"/>
          <w:color w:val="000000"/>
          <w:sz w:val="20"/>
          <w:lang w:val="en-US" w:eastAsia="en-US" w:bidi="ar-SA"/>
        </w:rPr>
        <w:t xml:space="preserve">, at p. 20, and </w:t>
      </w:r>
      <w:r>
        <w:rPr>
          <w:rFonts w:ascii="arial" w:eastAsia="arial" w:hAnsi="arial" w:cs="arial"/>
          <w:b/>
          <w:i/>
          <w:color w:val="000000"/>
          <w:sz w:val="20"/>
          <w:lang w:val="en-US" w:eastAsia="en-US" w:bidi="ar-SA"/>
        </w:rPr>
        <w:t>R. v. Abbey</w:t>
      </w:r>
      <w:r>
        <w:rPr>
          <w:rFonts w:ascii="arial" w:eastAsia="arial" w:hAnsi="arial" w:cs="arial"/>
          <w:color w:val="000000"/>
          <w:sz w:val="20"/>
          <w:lang w:val="en-US" w:eastAsia="en-US" w:bidi="ar-SA"/>
        </w:rPr>
        <w:t xml:space="preserve">, </w:t>
      </w:r>
      <w:hyperlink r:id="rId731" w:history="1">
        <w:r>
          <w:rPr>
            <w:rFonts w:ascii="arial" w:eastAsia="arial" w:hAnsi="arial" w:cs="arial"/>
            <w:i/>
            <w:color w:val="0077CC"/>
            <w:sz w:val="20"/>
            <w:u w:val="single"/>
            <w:shd w:val="clear" w:color="auto" w:fill="FFFFFF"/>
            <w:lang w:val="en-US" w:eastAsia="en-US" w:bidi="ar-SA"/>
          </w:rPr>
          <w:t>2009 ONCA 624</w:t>
        </w:r>
      </w:hyperlink>
      <w:r>
        <w:rPr>
          <w:rFonts w:ascii="arial" w:eastAsia="arial" w:hAnsi="arial" w:cs="arial"/>
          <w:color w:val="000000"/>
          <w:sz w:val="20"/>
          <w:lang w:val="en-US" w:eastAsia="en-US" w:bidi="ar-SA"/>
        </w:rPr>
        <w:t xml:space="preserve">, at paras. 76 and following). The evidence must be necessary to enable the trier of fact to appreciate the matters in issue by providing information outside of the experience and knowledge of the trier of fact, and must be assessed in light of its potential to distort the fact-finding process (see </w:t>
      </w:r>
      <w:r>
        <w:rPr>
          <w:rFonts w:ascii="arial" w:eastAsia="arial" w:hAnsi="arial" w:cs="arial"/>
          <w:b/>
          <w:i/>
          <w:color w:val="000000"/>
          <w:sz w:val="20"/>
          <w:lang w:val="en-US" w:eastAsia="en-US" w:bidi="ar-SA"/>
        </w:rPr>
        <w:t>Mohan</w:t>
      </w:r>
      <w:r>
        <w:rPr>
          <w:rFonts w:ascii="arial" w:eastAsia="arial" w:hAnsi="arial" w:cs="arial"/>
          <w:color w:val="000000"/>
          <w:sz w:val="20"/>
          <w:lang w:val="en-US" w:eastAsia="en-US" w:bidi="ar-SA"/>
        </w:rPr>
        <w:t>, at pp. 23-25). To satisfy the necessity criterion, the evidence must be more than merely helpful.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would not admit either report into evidence as opinion evidence. In my view, both reports fail to satisfy the necessity requirement.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his report, Mr. Singh notes the separate definitions of "plumbing system" and "sprinkler system" in the Building Code and states as a conclusion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PLUMBING SYSTEM is a totally different system than FIRE SUPPRESSION/FIRE SPRINKLER SYSTEM. The two systems are independent of one another. To reiterate, a "fire suppression sprinkler system" is NOT a part of a building's "plumbing"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Reduced to essentials (and I intend no disrespect to Mr. Singh in this regard), Mr. Singh's opinion appears to be that a plumbing system and a sprinkler system are different, separate and independent because the Building Code treats them that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However, I can read the definitions and other parts of the Building Code, and (with the assistance of counsel in argument) I can draw my own conclusions about what they mean in the context of the interpretation issues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Both Mr. Singh and Mr. Steer mention that the letter of assurance required under the Building Code for a building permit has separate line items for "plumbing" and "fire suppression systems." (I note that the </w:t>
      </w:r>
      <w:r>
        <w:rPr>
          <w:rFonts w:ascii="arial" w:eastAsia="arial" w:hAnsi="arial" w:cs="arial"/>
          <w:color w:val="000000"/>
          <w:sz w:val="20"/>
          <w:u w:val="single"/>
          <w:lang w:val="en-US" w:eastAsia="en-US" w:bidi="ar-SA"/>
        </w:rPr>
        <w:t>actual</w:t>
      </w:r>
      <w:r>
        <w:rPr>
          <w:rFonts w:ascii="arial" w:eastAsia="arial" w:hAnsi="arial" w:cs="arial"/>
          <w:color w:val="000000"/>
          <w:sz w:val="20"/>
          <w:lang w:val="en-US" w:eastAsia="en-US" w:bidi="ar-SA"/>
        </w:rPr>
        <w:t xml:space="preserve"> letter of assurance for the Beasley is not in evidence.) Mr. Steer (like Mr. Singh) mentions the different definitions in the Building Code for "plumbing system" and "sprinkler system," and mentions other parts of the Building Code where distinctions are made between the two systems. Mr. Steer also says that there are separate guidelines published by the Engineers and Geoscientists of B.C. for "Fire Protection Engineering Services" (including sprinkler design) and "Mechanical Engineering Services" (including plumbing). However, in the context of what I am called on to decide in this summary trial, I am not persuaded that an expert is needed to tell me how these documents should be interpreted or what conclusions should be drawn based on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Steer's report also contains what is essentially factual information about the building permit process, and what is involved with respect to different engineering disciplines. However, in his affidavit, Mr. Steer does not swear to the truth of facts stated in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Although I conclude that the reports of Mr. Singh and Mr. Steer are not admissible as expert reports for the purpose sought by counsel for Travelers, I would admit the reports for the limited purposes of: setting out the relevant definitions and other relevant parts from the Building Code; to illustrate the form of letter of assurance required under the Building Code; and to show that the Engineers and Geoscientists of B.C. publish the separate guidelines identified by Mr. Steer in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3. The legislative context for the Certificate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legislative context in which the Certificate was issued and operates is a critical feature of this action. Both the Strata Corporation and Travelers plead and rely on the following statutory and regulatory provisions concerning home warranty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Homeowner Protection Act</w:t>
      </w:r>
      <w:r>
        <w:rPr>
          <w:rFonts w:ascii="arial" w:eastAsia="arial" w:hAnsi="arial" w:cs="arial"/>
          <w:color w:val="000000"/>
          <w:sz w:val="20"/>
          <w:lang w:val="en-US" w:eastAsia="en-US" w:bidi="ar-SA"/>
        </w:rPr>
        <w:t xml:space="preserve"> was enacted in 1998. At approximately the same time, consequential amendments were made to the </w:t>
      </w:r>
      <w:r>
        <w:rPr>
          <w:rFonts w:ascii="arial" w:eastAsia="arial" w:hAnsi="arial" w:cs="arial"/>
          <w:b/>
          <w:i/>
          <w:color w:val="000000"/>
          <w:sz w:val="20"/>
          <w:lang w:val="en-US" w:eastAsia="en-US" w:bidi="ar-SA"/>
        </w:rPr>
        <w:t>Insurance Act</w:t>
      </w:r>
      <w:r>
        <w:rPr>
          <w:rFonts w:ascii="arial" w:eastAsia="arial" w:hAnsi="arial" w:cs="arial"/>
          <w:color w:val="000000"/>
          <w:sz w:val="20"/>
          <w:lang w:val="en-US" w:eastAsia="en-US" w:bidi="ar-SA"/>
        </w:rPr>
        <w:t xml:space="preserve">, </w:t>
      </w:r>
      <w:hyperlink r:id="rId732" w:history="1">
        <w:r>
          <w:rPr>
            <w:rFonts w:ascii="arial" w:eastAsia="arial" w:hAnsi="arial" w:cs="arial"/>
            <w:i/>
            <w:color w:val="0077CC"/>
            <w:sz w:val="20"/>
            <w:u w:val="single"/>
            <w:shd w:val="clear" w:color="auto" w:fill="FFFFFF"/>
            <w:lang w:val="en-US" w:eastAsia="en-US" w:bidi="ar-SA"/>
          </w:rPr>
          <w:t>R.S.B.C. 1996, c. 226</w:t>
        </w:r>
      </w:hyperlink>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Insurance Act (1996)</w:t>
      </w:r>
      <w:r>
        <w:rPr>
          <w:rFonts w:ascii="arial" w:eastAsia="arial" w:hAnsi="arial" w:cs="arial"/>
          <w:color w:val="000000"/>
          <w:sz w:val="20"/>
          <w:lang w:val="en-US" w:eastAsia="en-US" w:bidi="ar-SA"/>
        </w:rPr>
        <w:t xml:space="preserve">"), by adding s. 189.1 and adding subsections 3 and 4 to s. 192. Those provisions are now found in s. 141 and s. 149(3) and (4) of the </w:t>
      </w:r>
      <w:r>
        <w:rPr>
          <w:rFonts w:ascii="arial" w:eastAsia="arial" w:hAnsi="arial" w:cs="arial"/>
          <w:b/>
          <w:i/>
          <w:color w:val="000000"/>
          <w:sz w:val="20"/>
          <w:lang w:val="en-US" w:eastAsia="en-US" w:bidi="ar-SA"/>
        </w:rPr>
        <w:t>Insurance Act</w:t>
      </w:r>
      <w:r>
        <w:rPr>
          <w:rFonts w:ascii="arial" w:eastAsia="arial" w:hAnsi="arial" w:cs="arial"/>
          <w:color w:val="000000"/>
          <w:sz w:val="20"/>
          <w:lang w:val="en-US" w:eastAsia="en-US" w:bidi="ar-SA"/>
        </w:rPr>
        <w:t xml:space="preserve">. (In the discussion below, I will use the section numbers in the </w:t>
      </w:r>
      <w:r>
        <w:rPr>
          <w:rFonts w:ascii="arial" w:eastAsia="arial" w:hAnsi="arial" w:cs="arial"/>
          <w:b/>
          <w:i/>
          <w:color w:val="000000"/>
          <w:sz w:val="20"/>
          <w:lang w:val="en-US" w:eastAsia="en-US" w:bidi="ar-SA"/>
        </w:rPr>
        <w:t>Insurance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term "home warranty insurance" is stated in s. 1 of the </w:t>
      </w:r>
      <w:r>
        <w:rPr>
          <w:rFonts w:ascii="arial" w:eastAsia="arial" w:hAnsi="arial" w:cs="arial"/>
          <w:b/>
          <w:i/>
          <w:color w:val="000000"/>
          <w:sz w:val="20"/>
          <w:lang w:val="en-US" w:eastAsia="en-US" w:bidi="ar-SA"/>
        </w:rPr>
        <w:t>Homeowner Protection Act</w:t>
      </w:r>
      <w:r>
        <w:rPr>
          <w:rFonts w:ascii="arial" w:eastAsia="arial" w:hAnsi="arial" w:cs="arial"/>
          <w:color w:val="000000"/>
          <w:sz w:val="20"/>
          <w:lang w:val="en-US" w:eastAsia="en-US" w:bidi="ar-SA"/>
        </w:rPr>
        <w:t xml:space="preserve"> to have the same meaning as in s. 141(1) of the </w:t>
      </w:r>
      <w:r>
        <w:rPr>
          <w:rFonts w:ascii="arial" w:eastAsia="arial" w:hAnsi="arial" w:cs="arial"/>
          <w:b/>
          <w:i/>
          <w:color w:val="000000"/>
          <w:sz w:val="20"/>
          <w:lang w:val="en-US" w:eastAsia="en-US" w:bidi="ar-SA"/>
        </w:rPr>
        <w:t>Insurance Act</w:t>
      </w:r>
      <w:r>
        <w:rPr>
          <w:rFonts w:ascii="arial" w:eastAsia="arial" w:hAnsi="arial" w:cs="arial"/>
          <w:color w:val="000000"/>
          <w:sz w:val="20"/>
          <w:lang w:val="en-US" w:eastAsia="en-US" w:bidi="ar-SA"/>
        </w:rPr>
        <w:t>, where it is defined to mean: "a contract of insurance covering defects in the construction of a new home or renovation, and consequential losses or costs incurred by the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stated purposes of the </w:t>
      </w:r>
      <w:r>
        <w:rPr>
          <w:rFonts w:ascii="arial" w:eastAsia="arial" w:hAnsi="arial" w:cs="arial"/>
          <w:b/>
          <w:i/>
          <w:color w:val="000000"/>
          <w:sz w:val="20"/>
          <w:lang w:val="en-US" w:eastAsia="en-US" w:bidi="ar-SA"/>
        </w:rPr>
        <w:t>Homeowner Protection Act</w:t>
      </w:r>
      <w:r>
        <w:rPr>
          <w:rFonts w:ascii="arial" w:eastAsia="arial" w:hAnsi="arial" w:cs="arial"/>
          <w:color w:val="000000"/>
          <w:sz w:val="20"/>
          <w:lang w:val="en-US" w:eastAsia="en-US" w:bidi="ar-SA"/>
        </w:rPr>
        <w:t xml:space="preserve"> are set out in s. 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Purposes of the Act</w:t>
      </w:r>
    </w:p>
    <w:p>
      <w:pPr>
        <w:numPr>
          <w:numId w:val="4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purposes of this Act are</w:t>
      </w:r>
    </w:p>
    <w:p>
      <w:pPr>
        <w:numPr>
          <w:numId w:val="4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strengthen consumer protection for buyers of new homes,</w:t>
      </w:r>
    </w:p>
    <w:p>
      <w:pPr>
        <w:numPr>
          <w:numId w:val="5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improve the quality of residential construction, and</w:t>
      </w:r>
    </w:p>
    <w:p>
      <w:pPr>
        <w:numPr>
          <w:numId w:val="5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support research and education respecting residential construction in British Columbia.</w:t>
      </w:r>
    </w:p>
    <w:p>
      <w:pPr>
        <w:numPr>
          <w:numId w:val="5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further purpose of this Act is the administration of the reconstruction loan portfolio, as defined in section 24.1, in accordance with Part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Part 8 of the </w:t>
      </w:r>
      <w:r>
        <w:rPr>
          <w:rFonts w:ascii="arial" w:eastAsia="arial" w:hAnsi="arial" w:cs="arial"/>
          <w:b/>
          <w:i/>
          <w:color w:val="000000"/>
          <w:sz w:val="20"/>
          <w:lang w:val="en-US" w:eastAsia="en-US" w:bidi="ar-SA"/>
        </w:rPr>
        <w:t>Homeowner Protection Act</w:t>
      </w:r>
      <w:r>
        <w:rPr>
          <w:rFonts w:ascii="arial" w:eastAsia="arial" w:hAnsi="arial" w:cs="arial"/>
          <w:color w:val="000000"/>
          <w:sz w:val="20"/>
          <w:lang w:val="en-US" w:eastAsia="en-US" w:bidi="ar-SA"/>
        </w:rPr>
        <w:t>, titled "Consumer Protection for New Home Buyers," contains two sections (sections 22 and 23), and provides in relevant part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Mandatory home warranty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22 (1) A person must not build a new home unless the new home is registered for coverage by home warranty insurance provided by a warranty provider.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5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Home warranty insurance for a new home must provide coverage for</w:t>
      </w:r>
    </w:p>
    <w:p>
      <w:pPr>
        <w:numPr>
          <w:numId w:val="5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defects in materials and labour for a period of at least 2 years after the date on which the warranty begins,</w:t>
      </w:r>
    </w:p>
    <w:p>
      <w:pPr>
        <w:numPr>
          <w:numId w:val="5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defects in the building envelope, including defects resulting in water penetration, for a period of at least 5 years after the date on which the warranty begins, and</w:t>
      </w:r>
    </w:p>
    <w:p>
      <w:pPr>
        <w:numPr>
          <w:numId w:val="56"/>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structural defects for a period of at least 10 years after the date on which the warranty begins.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Statutory protection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23 (1) A residential builder or an owner builder and a vendor of a new home are both deemed to have agreed with the owner of the new home, to the extent of labour, materials and design supplied, used or arranged by the residential builder, owner builder or vendor, that the new home, except to the extent prescribed by regulation,</w:t>
      </w:r>
    </w:p>
    <w:p>
      <w:pPr>
        <w:numPr>
          <w:numId w:val="57"/>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is free from defects in materials and labour and will remain so for a period of at least 2 years after</w:t>
      </w:r>
    </w:p>
    <w:p>
      <w:pPr>
        <w:numPr>
          <w:numId w:val="5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date an occupancy permit with respect to the new home was first issued, or</w:t>
      </w:r>
    </w:p>
    <w:p>
      <w:pPr>
        <w:numPr>
          <w:numId w:val="59"/>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if no occupancy permit has been issued with respect to the new home, the date the new home was first occupied,</w:t>
      </w:r>
    </w:p>
    <w:p>
      <w:pPr>
        <w:numPr>
          <w:numId w:val="60"/>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is free from defects in the building envelope, including defects resulting in water penetration, and will remain so for a period of at least 5 years after</w:t>
      </w:r>
    </w:p>
    <w:p>
      <w:pPr>
        <w:numPr>
          <w:numId w:val="6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date an occupancy permit with respect to the new home was first issued, or</w:t>
      </w:r>
    </w:p>
    <w:p>
      <w:pPr>
        <w:numPr>
          <w:numId w:val="6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if no occupancy permit has been issued with respect to the new home, the date the new home was first occupied, and</w:t>
      </w:r>
    </w:p>
    <w:p>
      <w:pPr>
        <w:numPr>
          <w:numId w:val="6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is free from structural defects, and will remain so for a period of at least 10 years after</w:t>
      </w:r>
    </w:p>
    <w:p>
      <w:pPr>
        <w:numPr>
          <w:numId w:val="6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date an occupancy permit with respect to the new home was first issued, or</w:t>
      </w:r>
    </w:p>
    <w:p>
      <w:pPr>
        <w:numPr>
          <w:numId w:val="6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no occupancy permit has been issued with respect to the new home, the date the new home was first occupied.</w:t>
      </w:r>
    </w:p>
    <w:p>
      <w:pPr>
        <w:numPr>
          <w:numId w:val="6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Any term of an agreement that purports to waive, exclude, limit or qualify the protection under subsection (1) is of no effect.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7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Nothing in this section</w:t>
      </w:r>
    </w:p>
    <w:p>
      <w:pPr>
        <w:numPr>
          <w:numId w:val="7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excludes, qualifies or limits any other term, express or implied,</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relieves any person of liability to which they would otherwise be subject, or</w:t>
      </w:r>
    </w:p>
    <w:p>
      <w:pPr>
        <w:numPr>
          <w:numId w:val="7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subjects a municipality, regional district or treaty first nation to any greater liability than if this section were not in force.</w:t>
      </w:r>
    </w:p>
    <w:p>
      <w:pPr>
        <w:numPr>
          <w:numId w:val="8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section does not apply to a new home covered by home warranty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Homeowner Protection Act</w:t>
      </w:r>
      <w:r>
        <w:rPr>
          <w:rFonts w:ascii="arial" w:eastAsia="arial" w:hAnsi="arial" w:cs="arial"/>
          <w:color w:val="000000"/>
          <w:sz w:val="20"/>
          <w:lang w:val="en-US" w:eastAsia="en-US" w:bidi="ar-SA"/>
        </w:rPr>
        <w:t xml:space="preserve"> s. 32(1) provides that "The Lieutenant Governor in Council may make regulations referred to in section 41 of the </w:t>
      </w:r>
      <w:r>
        <w:rPr>
          <w:rFonts w:ascii="arial" w:eastAsia="arial" w:hAnsi="arial" w:cs="arial"/>
          <w:i/>
          <w:color w:val="000000"/>
          <w:sz w:val="20"/>
          <w:lang w:val="en-US" w:eastAsia="en-US" w:bidi="ar-SA"/>
        </w:rPr>
        <w:t>Interpretation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Section 41 of the </w:t>
      </w:r>
      <w:r>
        <w:rPr>
          <w:rFonts w:ascii="arial" w:eastAsia="arial" w:hAnsi="arial" w:cs="arial"/>
          <w:b/>
          <w:i/>
          <w:color w:val="000000"/>
          <w:sz w:val="20"/>
          <w:lang w:val="en-US" w:eastAsia="en-US" w:bidi="ar-SA"/>
        </w:rPr>
        <w:t>Interpretation Act</w:t>
      </w:r>
      <w:r>
        <w:rPr>
          <w:rFonts w:ascii="arial" w:eastAsia="arial" w:hAnsi="arial" w:cs="arial"/>
          <w:color w:val="000000"/>
          <w:sz w:val="20"/>
          <w:lang w:val="en-US" w:eastAsia="en-US" w:bidi="ar-SA"/>
        </w:rPr>
        <w:t xml:space="preserve"> in turn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Powers to make regulations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41 (1) If an enactment provides that the Lieutenant Governor in Council or any other person may make regulations, the enactment must be construed as empowering the Lieutenant Governor in Council or that other person, for the purpose of carrying out the enactment according to its intent, to</w:t>
      </w:r>
    </w:p>
    <w:p>
      <w:pPr>
        <w:numPr>
          <w:numId w:val="8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make regulations as are considered necessary and advisable, are ancillary to it, and are not inconsistent with it,</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 for administrative and procedural matters for which no express, or only partial, provision has been made,</w:t>
      </w:r>
    </w:p>
    <w:p>
      <w:pPr>
        <w:numPr>
          <w:numId w:val="8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limit the application of a regulation in time or place or both,</w:t>
      </w:r>
    </w:p>
    <w:p>
      <w:pPr>
        <w:numPr>
          <w:numId w:val="8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prescribe the amount of a fee authorized by the enactment,</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 for a regulation made by or with the approval of the Lieutenant Governor in Council, that its contravention constitutes an offence, and</w:t>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provide that a person who is guilty of an offence created under paragraph (e) is liable to a penalty not greater than the penalties provided in the </w:t>
      </w:r>
      <w:r>
        <w:rPr>
          <w:rFonts w:ascii="arial" w:eastAsia="arial" w:hAnsi="arial" w:cs="arial"/>
          <w:i/>
          <w:color w:val="000000"/>
          <w:sz w:val="20"/>
          <w:lang w:val="en-US" w:eastAsia="en-US" w:bidi="ar-SA"/>
        </w:rPr>
        <w:t>Offence Act</w:t>
      </w:r>
      <w:r>
        <w:rPr>
          <w:rFonts w:ascii="arial" w:eastAsia="arial" w:hAnsi="arial" w:cs="arial"/>
          <w:color w:val="000000"/>
          <w:sz w:val="20"/>
          <w:lang w:val="en-US" w:eastAsia="en-US" w:bidi="ar-SA"/>
        </w:rPr>
        <w:t>.</w:t>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regulation made under the authority of an enactment has the force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 consequential amendments made to the </w:t>
      </w:r>
      <w:r>
        <w:rPr>
          <w:rFonts w:ascii="arial" w:eastAsia="arial" w:hAnsi="arial" w:cs="arial"/>
          <w:b/>
          <w:i/>
          <w:color w:val="000000"/>
          <w:sz w:val="20"/>
          <w:lang w:val="en-US" w:eastAsia="en-US" w:bidi="ar-SA"/>
        </w:rPr>
        <w:t>Insurance Act</w:t>
      </w:r>
      <w:r>
        <w:rPr>
          <w:rFonts w:ascii="arial" w:eastAsia="arial" w:hAnsi="arial" w:cs="arial"/>
          <w:color w:val="000000"/>
          <w:sz w:val="20"/>
          <w:lang w:val="en-US" w:eastAsia="en-US" w:bidi="ar-SA"/>
        </w:rPr>
        <w:t xml:space="preserve"> when the </w:t>
      </w:r>
      <w:r>
        <w:rPr>
          <w:rFonts w:ascii="arial" w:eastAsia="arial" w:hAnsi="arial" w:cs="arial"/>
          <w:b/>
          <w:i/>
          <w:color w:val="000000"/>
          <w:sz w:val="20"/>
          <w:lang w:val="en-US" w:eastAsia="en-US" w:bidi="ar-SA"/>
        </w:rPr>
        <w:t>Homeowner Protection Act</w:t>
      </w:r>
      <w:r>
        <w:rPr>
          <w:rFonts w:ascii="arial" w:eastAsia="arial" w:hAnsi="arial" w:cs="arial"/>
          <w:color w:val="000000"/>
          <w:sz w:val="20"/>
          <w:lang w:val="en-US" w:eastAsia="en-US" w:bidi="ar-SA"/>
        </w:rPr>
        <w:t xml:space="preserve"> was enacted provide as follows [</w:t>
      </w:r>
      <w:r>
        <w:rPr>
          <w:rFonts w:ascii="arial" w:eastAsia="arial" w:hAnsi="arial" w:cs="arial"/>
          <w:b/>
          <w:color w:val="000000"/>
          <w:sz w:val="20"/>
          <w:lang w:val="en-US" w:eastAsia="en-US" w:bidi="ar-SA"/>
        </w:rPr>
        <w:t>bold</w:t>
      </w:r>
      <w:r>
        <w:rPr>
          <w:rFonts w:ascii="arial" w:eastAsia="arial" w:hAnsi="arial" w:cs="arial"/>
          <w:color w:val="000000"/>
          <w:sz w:val="20"/>
          <w:lang w:val="en-US" w:eastAsia="en-US" w:bidi="ar-SA"/>
        </w:rPr>
        <w:t xml:space="preserve"> in original]: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Home warranty insurance</w:t>
      </w:r>
    </w:p>
    <w:p>
      <w:pPr>
        <w:numPr>
          <w:numId w:val="8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section:</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"home warranty certificate"</w:t>
      </w:r>
      <w:r>
        <w:rPr>
          <w:rFonts w:ascii="arial" w:eastAsia="arial" w:hAnsi="arial" w:cs="arial"/>
          <w:color w:val="000000"/>
          <w:sz w:val="20"/>
          <w:lang w:val="en-US" w:eastAsia="en-US" w:bidi="ar-SA"/>
        </w:rPr>
        <w:t xml:space="preserve"> means a certificate, issued by an insurer providing home warranty insurance to an owner, that sets out the terms and conditions of the home warranty insurance;</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"home warranty insurance"</w:t>
      </w:r>
      <w:r>
        <w:rPr>
          <w:rFonts w:ascii="arial" w:eastAsia="arial" w:hAnsi="arial" w:cs="arial"/>
          <w:color w:val="000000"/>
          <w:sz w:val="20"/>
          <w:lang w:val="en-US" w:eastAsia="en-US" w:bidi="ar-SA"/>
        </w:rPr>
        <w:t xml:space="preserve"> means a contract of insurance covering defects in the construction of a new home or renovation, and consequential losses or costs incurred by the owner;</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"new home"</w:t>
      </w:r>
      <w:r>
        <w:rPr>
          <w:rFonts w:ascii="arial" w:eastAsia="arial" w:hAnsi="arial" w:cs="arial"/>
          <w:color w:val="000000"/>
          <w:sz w:val="20"/>
          <w:lang w:val="en-US" w:eastAsia="en-US" w:bidi="ar-SA"/>
        </w:rPr>
        <w:t xml:space="preserve"> has the same meaning as in section 1 of the </w:t>
      </w:r>
      <w:r>
        <w:rPr>
          <w:rFonts w:ascii="arial" w:eastAsia="arial" w:hAnsi="arial" w:cs="arial"/>
          <w:i/>
          <w:color w:val="000000"/>
          <w:sz w:val="20"/>
          <w:lang w:val="en-US" w:eastAsia="en-US" w:bidi="ar-SA"/>
        </w:rPr>
        <w:t>Homeowner Protection Act</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"owner"</w:t>
      </w:r>
      <w:r>
        <w:rPr>
          <w:rFonts w:ascii="arial" w:eastAsia="arial" w:hAnsi="arial" w:cs="arial"/>
          <w:color w:val="000000"/>
          <w:sz w:val="20"/>
          <w:lang w:val="en-US" w:eastAsia="en-US" w:bidi="ar-SA"/>
        </w:rPr>
        <w:t xml:space="preserve"> has the same meaning as in section 1 of the </w:t>
      </w:r>
      <w:r>
        <w:rPr>
          <w:rFonts w:ascii="arial" w:eastAsia="arial" w:hAnsi="arial" w:cs="arial"/>
          <w:i/>
          <w:color w:val="000000"/>
          <w:sz w:val="20"/>
          <w:lang w:val="en-US" w:eastAsia="en-US" w:bidi="ar-SA"/>
        </w:rPr>
        <w:t>Homeowner Protection Act</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"renovation"</w:t>
      </w:r>
      <w:r>
        <w:rPr>
          <w:rFonts w:ascii="arial" w:eastAsia="arial" w:hAnsi="arial" w:cs="arial"/>
          <w:color w:val="000000"/>
          <w:sz w:val="20"/>
          <w:lang w:val="en-US" w:eastAsia="en-US" w:bidi="ar-SA"/>
        </w:rPr>
        <w:t xml:space="preserve"> has the same meaning as in section 1 of the </w:t>
      </w:r>
      <w:r>
        <w:rPr>
          <w:rFonts w:ascii="arial" w:eastAsia="arial" w:hAnsi="arial" w:cs="arial"/>
          <w:i/>
          <w:color w:val="000000"/>
          <w:sz w:val="20"/>
          <w:lang w:val="en-US" w:eastAsia="en-US" w:bidi="ar-SA"/>
        </w:rPr>
        <w:t>Homeowner Protection Act</w:t>
      </w:r>
      <w:r>
        <w:rPr>
          <w:rFonts w:ascii="arial" w:eastAsia="arial" w:hAnsi="arial" w:cs="arial"/>
          <w:color w:val="000000"/>
          <w:sz w:val="20"/>
          <w:lang w:val="en-US" w:eastAsia="en-US" w:bidi="ar-SA"/>
        </w:rPr>
        <w:t>;</w:t>
      </w:r>
    </w:p>
    <w:p>
      <w:pPr>
        <w:numPr>
          <w:numId w:val="8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mandatory conditions for home warranty insurance are required by regulations made under this Act</w:t>
      </w:r>
    </w:p>
    <w:p>
      <w:pPr>
        <w:numPr>
          <w:numId w:val="9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mandatory conditions are deemed to be part of the home warranty insurance and must be printed in every home warranty certificate under the heading "Mandatory Conditions", and</w:t>
      </w:r>
    </w:p>
    <w:p>
      <w:pPr>
        <w:numPr>
          <w:numId w:val="9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no variation or omission of or addition to a mandatory condition is binding on the insured.</w:t>
      </w:r>
    </w:p>
    <w:p>
      <w:pPr>
        <w:numPr>
          <w:numId w:val="9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home warranty insurance must provide coverage at least equal to the minimum standards set out in the regulations and, if the home warranty insurance does not, in any of its provisions, provide coverage at least equal to the prescribed minimum coverage, the coverage provided in the relevant provisions of the contract is deemed to be replaced by the appropriate prescribed minimum coverage.</w:t>
      </w:r>
    </w:p>
    <w:p>
      <w:pPr>
        <w:numPr>
          <w:numId w:val="9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home warranty insurance must not contain</w:t>
      </w:r>
    </w:p>
    <w:p>
      <w:pPr>
        <w:numPr>
          <w:numId w:val="9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any term which purports to waive, exclude, limit or qualify the home warranty insurance except as may be permitted by regulation, or</w:t>
      </w:r>
    </w:p>
    <w:p>
      <w:pPr>
        <w:numPr>
          <w:numId w:val="98"/>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any exclusions from coverage except as permitted by regulation,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any such term or exclusion has no effect.</w:t>
      </w:r>
    </w:p>
    <w:p>
      <w:pPr>
        <w:numPr>
          <w:numId w:val="99"/>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must not waive or invalidate home warranty insurance except as may be permitted by the regulations, and any such waiver or invalidation has no effect.</w:t>
      </w:r>
    </w:p>
    <w:p>
      <w:pPr>
        <w:numPr>
          <w:numId w:val="10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home warranty insurance is enforceable even if there is no privity of contract between the owner and the insurer.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Power to make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84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149 . . .</w:t>
            </w:r>
          </w:p>
        </w:tc>
        <w:tc>
          <w:tcPr>
            <w:tcW w:w="829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01"/>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Without limiting subsection (1) ["The Lieutenant Governor in Council may make regulations referred to in section 41 of the </w:t>
      </w:r>
      <w:r>
        <w:rPr>
          <w:rFonts w:ascii="arial" w:eastAsia="arial" w:hAnsi="arial" w:cs="arial"/>
          <w:i/>
          <w:color w:val="000000"/>
          <w:sz w:val="20"/>
          <w:lang w:val="en-US" w:eastAsia="en-US" w:bidi="ar-SA"/>
        </w:rPr>
        <w:t>Interpretation Act</w:t>
      </w:r>
      <w:r>
        <w:rPr>
          <w:rFonts w:ascii="arial" w:eastAsia="arial" w:hAnsi="arial" w:cs="arial"/>
          <w:color w:val="000000"/>
          <w:sz w:val="20"/>
          <w:lang w:val="en-US" w:eastAsia="en-US" w:bidi="ar-SA"/>
        </w:rPr>
        <w:t xml:space="preserve">"], the Lieutenant Governor in Council may, on the recommendation of the minister responsible for the </w:t>
      </w:r>
      <w:r>
        <w:rPr>
          <w:rFonts w:ascii="arial" w:eastAsia="arial" w:hAnsi="arial" w:cs="arial"/>
          <w:i/>
          <w:color w:val="000000"/>
          <w:sz w:val="20"/>
          <w:lang w:val="en-US" w:eastAsia="en-US" w:bidi="ar-SA"/>
        </w:rPr>
        <w:t>Homeowner Protection Act</w:t>
      </w:r>
      <w:r>
        <w:rPr>
          <w:rFonts w:ascii="arial" w:eastAsia="arial" w:hAnsi="arial" w:cs="arial"/>
          <w:color w:val="000000"/>
          <w:sz w:val="20"/>
          <w:lang w:val="en-US" w:eastAsia="en-US" w:bidi="ar-SA"/>
        </w:rPr>
        <w:t>, make regulations as follows:</w:t>
      </w:r>
    </w:p>
    <w:p>
      <w:pPr>
        <w:numPr>
          <w:numId w:val="102"/>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prescribing mandatory conditions that must be contained in a home warranty insurance;</w:t>
      </w:r>
    </w:p>
    <w:p>
      <w:pPr>
        <w:numPr>
          <w:numId w:val="10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prescribing minimum standards for the coverage to be provided by home warranty insurance, including periods of coverage, the time at which coverage begins and coverage limits;</w:t>
      </w:r>
    </w:p>
    <w:p>
      <w:pPr>
        <w:numPr>
          <w:numId w:val="104"/>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prescribing permitted exclusions of coverage, waiver, limitations or qualifications under home warranty insurance;</w:t>
      </w:r>
    </w:p>
    <w:p>
      <w:pPr>
        <w:numPr>
          <w:numId w:val="105"/>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prescribing terms that must not be included in home warranty insurance;</w:t>
      </w:r>
    </w:p>
    <w:p>
      <w:pPr>
        <w:numPr>
          <w:numId w:val="106"/>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prescribing terms and conditions that apply to insurers with respect to home warranty insurance;</w:t>
      </w:r>
    </w:p>
    <w:p>
      <w:pPr>
        <w:numPr>
          <w:numId w:val="107"/>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prescribing classes of new homes, renovations and home warranty insurance, and categories of residential builders and residential renovators.</w:t>
      </w:r>
    </w:p>
    <w:p>
      <w:pPr>
        <w:numPr>
          <w:numId w:val="10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regulation made under subsection (3) may be made applicable generally or to specific persons, new homes, renovations or home warranty insurance or to a category of persons or class of new homes, renovations or home warranty insurance, and may provide differently for different persons, new homes, renovations or home warranty insurance or for different categories of persons or classes of new homes, renovations or home warranty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 pause here to note what I consider to be obvious, based on the statutory provisions set out above, namely: that the </w:t>
      </w:r>
      <w:r>
        <w:rPr>
          <w:rFonts w:ascii="arial" w:eastAsia="arial" w:hAnsi="arial" w:cs="arial"/>
          <w:b/>
          <w:i/>
          <w:color w:val="000000"/>
          <w:sz w:val="20"/>
          <w:lang w:val="en-US" w:eastAsia="en-US" w:bidi="ar-SA"/>
        </w:rPr>
        <w:t>Homeowner Protection Act</w:t>
      </w:r>
      <w:r>
        <w:rPr>
          <w:rFonts w:ascii="arial" w:eastAsia="arial" w:hAnsi="arial" w:cs="arial"/>
          <w:color w:val="000000"/>
          <w:sz w:val="20"/>
          <w:lang w:val="en-US" w:eastAsia="en-US" w:bidi="ar-SA"/>
        </w:rPr>
        <w:t xml:space="preserve"> and the consequential amendments to the </w:t>
      </w:r>
      <w:r>
        <w:rPr>
          <w:rFonts w:ascii="arial" w:eastAsia="arial" w:hAnsi="arial" w:cs="arial"/>
          <w:b/>
          <w:i/>
          <w:color w:val="000000"/>
          <w:sz w:val="20"/>
          <w:lang w:val="en-US" w:eastAsia="en-US" w:bidi="ar-SA"/>
        </w:rPr>
        <w:t>Insurance Act</w:t>
      </w:r>
      <w:r>
        <w:rPr>
          <w:rFonts w:ascii="arial" w:eastAsia="arial" w:hAnsi="arial" w:cs="arial"/>
          <w:color w:val="000000"/>
          <w:sz w:val="20"/>
          <w:lang w:val="en-US" w:eastAsia="en-US" w:bidi="ar-SA"/>
        </w:rPr>
        <w:t xml:space="preserve"> were enacted and intended by the Legislature to operate as part of a single statutory scheme respecting home warranty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Like the consequential amendments to the </w:t>
      </w:r>
      <w:r>
        <w:rPr>
          <w:rFonts w:ascii="arial" w:eastAsia="arial" w:hAnsi="arial" w:cs="arial"/>
          <w:b/>
          <w:i/>
          <w:color w:val="000000"/>
          <w:sz w:val="20"/>
          <w:lang w:val="en-US" w:eastAsia="en-US" w:bidi="ar-SA"/>
        </w:rPr>
        <w:t>Insurance Act</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HPA Regulation</w:t>
      </w:r>
      <w:r>
        <w:rPr>
          <w:rFonts w:ascii="arial" w:eastAsia="arial" w:hAnsi="arial" w:cs="arial"/>
          <w:color w:val="000000"/>
          <w:sz w:val="20"/>
          <w:lang w:val="en-US" w:eastAsia="en-US" w:bidi="ar-SA"/>
        </w:rPr>
        <w:t xml:space="preserve"> also came into effect in 1999. (Although the </w:t>
      </w:r>
      <w:r>
        <w:rPr>
          <w:rFonts w:ascii="arial" w:eastAsia="arial" w:hAnsi="arial" w:cs="arial"/>
          <w:b/>
          <w:i/>
          <w:color w:val="000000"/>
          <w:sz w:val="20"/>
          <w:lang w:val="en-US" w:eastAsia="en-US" w:bidi="ar-SA"/>
        </w:rPr>
        <w:t>HPA Regulation</w:t>
      </w:r>
      <w:r>
        <w:rPr>
          <w:rFonts w:ascii="arial" w:eastAsia="arial" w:hAnsi="arial" w:cs="arial"/>
          <w:color w:val="000000"/>
          <w:sz w:val="20"/>
          <w:lang w:val="en-US" w:eastAsia="en-US" w:bidi="ar-SA"/>
        </w:rPr>
        <w:t xml:space="preserve"> continues to use the section numbering from the </w:t>
      </w:r>
      <w:r>
        <w:rPr>
          <w:rFonts w:ascii="arial" w:eastAsia="arial" w:hAnsi="arial" w:cs="arial"/>
          <w:b/>
          <w:i/>
          <w:color w:val="000000"/>
          <w:sz w:val="20"/>
          <w:lang w:val="en-US" w:eastAsia="en-US" w:bidi="ar-SA"/>
        </w:rPr>
        <w:t>Insurance Act 1996</w:t>
      </w:r>
      <w:r>
        <w:rPr>
          <w:rFonts w:ascii="arial" w:eastAsia="arial" w:hAnsi="arial" w:cs="arial"/>
          <w:color w:val="000000"/>
          <w:sz w:val="20"/>
          <w:lang w:val="en-US" w:eastAsia="en-US" w:bidi="ar-SA"/>
        </w:rPr>
        <w:t xml:space="preserve">, I will use the current section numbering, as found in the </w:t>
      </w:r>
      <w:r>
        <w:rPr>
          <w:rFonts w:ascii="arial" w:eastAsia="arial" w:hAnsi="arial" w:cs="arial"/>
          <w:b/>
          <w:i/>
          <w:color w:val="000000"/>
          <w:sz w:val="20"/>
          <w:lang w:val="en-US" w:eastAsia="en-US" w:bidi="ar-SA"/>
        </w:rPr>
        <w:t>Insurance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Section 1(1) of the </w:t>
      </w:r>
      <w:r>
        <w:rPr>
          <w:rFonts w:ascii="arial" w:eastAsia="arial" w:hAnsi="arial" w:cs="arial"/>
          <w:b/>
          <w:i/>
          <w:color w:val="000000"/>
          <w:sz w:val="20"/>
          <w:lang w:val="en-US" w:eastAsia="en-US" w:bidi="ar-SA"/>
        </w:rPr>
        <w:t>HPA Regulation</w:t>
      </w:r>
      <w:r>
        <w:rPr>
          <w:rFonts w:ascii="arial" w:eastAsia="arial" w:hAnsi="arial" w:cs="arial"/>
          <w:color w:val="000000"/>
          <w:sz w:val="20"/>
          <w:lang w:val="en-US" w:eastAsia="en-US" w:bidi="ar-SA"/>
        </w:rPr>
        <w:t xml:space="preserve"> sets out a number of definitions.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The "Act" is defined to mean the </w:t>
      </w:r>
      <w:r>
        <w:rPr>
          <w:rFonts w:ascii="arial" w:eastAsia="arial" w:hAnsi="arial" w:cs="arial"/>
          <w:b/>
          <w:i/>
          <w:color w:val="000000"/>
          <w:sz w:val="20"/>
          <w:lang w:val="en-US" w:eastAsia="en-US" w:bidi="ar-SA"/>
        </w:rPr>
        <w:t>Homeowner Protection Act</w:t>
      </w:r>
      <w:r>
        <w:rPr>
          <w:rFonts w:ascii="arial" w:eastAsia="arial" w:hAnsi="arial" w:cs="arial"/>
          <w:color w:val="000000"/>
          <w:sz w:val="20"/>
          <w:lang w:val="en-US" w:eastAsia="en-US" w:bidi="ar-SA"/>
        </w:rPr>
        <w:t xml:space="preserve">, and pursuant to s. 1(1), the definitions apply to both the </w:t>
      </w:r>
      <w:r>
        <w:rPr>
          <w:rFonts w:ascii="arial" w:eastAsia="arial" w:hAnsi="arial" w:cs="arial"/>
          <w:b/>
          <w:i/>
          <w:color w:val="000000"/>
          <w:sz w:val="20"/>
          <w:lang w:val="en-US" w:eastAsia="en-US" w:bidi="ar-SA"/>
        </w:rPr>
        <w:t>Homeowner Protection Act</w:t>
      </w:r>
      <w:r>
        <w:rPr>
          <w:rFonts w:ascii="arial" w:eastAsia="arial" w:hAnsi="arial" w:cs="arial"/>
          <w:color w:val="000000"/>
          <w:sz w:val="20"/>
          <w:lang w:val="en-US" w:eastAsia="en-US" w:bidi="ar-SA"/>
        </w:rPr>
        <w:t xml:space="preserve"> and the </w:t>
      </w:r>
      <w:r>
        <w:rPr>
          <w:rFonts w:ascii="arial" w:eastAsia="arial" w:hAnsi="arial" w:cs="arial"/>
          <w:b/>
          <w:i/>
          <w:color w:val="000000"/>
          <w:sz w:val="20"/>
          <w:lang w:val="en-US" w:eastAsia="en-US" w:bidi="ar-SA"/>
        </w:rPr>
        <w:t>HPA Regulation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"Building code" means (as applicable):</w:t>
      </w:r>
      <w:r>
        <w:rPr>
          <w:rFonts w:ascii="arial" w:eastAsia="arial" w:hAnsi="arial" w:cs="arial"/>
          <w:sz w:val="20"/>
          <w:lang w:val="en-US" w:eastAsia="en-US" w:bidi="ar-SA"/>
        </w:rPr>
        <w:cr/>
      </w:r>
    </w:p>
    <w:p>
      <w:pPr>
        <w:numPr>
          <w:numId w:val="10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British Columbia Building Code established under the </w:t>
      </w:r>
      <w:r>
        <w:rPr>
          <w:rFonts w:ascii="arial" w:eastAsia="arial" w:hAnsi="arial" w:cs="arial"/>
          <w:i/>
          <w:color w:val="000000"/>
          <w:sz w:val="20"/>
          <w:lang w:val="en-US" w:eastAsia="en-US" w:bidi="ar-SA"/>
        </w:rPr>
        <w:t>Local Government Act</w:t>
      </w:r>
      <w:r>
        <w:rPr>
          <w:rFonts w:ascii="arial" w:eastAsia="arial" w:hAnsi="arial" w:cs="arial"/>
          <w:color w:val="000000"/>
          <w:sz w:val="20"/>
          <w:lang w:val="en-US" w:eastAsia="en-US" w:bidi="ar-SA"/>
        </w:rPr>
        <w:t>, or</w:t>
      </w:r>
    </w:p>
    <w:p>
      <w:pPr>
        <w:numPr>
          <w:numId w:val="1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Vancouver Building Bylaw established under the </w:t>
      </w:r>
      <w:r>
        <w:rPr>
          <w:rFonts w:ascii="arial" w:eastAsia="arial" w:hAnsi="arial" w:cs="arial"/>
          <w:i/>
          <w:color w:val="000000"/>
          <w:sz w:val="20"/>
          <w:lang w:val="en-US" w:eastAsia="en-US" w:bidi="ar-SA"/>
        </w:rPr>
        <w:t>Vancouver Charter</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force at the time that the building permit was issued for the new home or, in jurisdictions where a building permit is not required, in force when construction commences.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definition in the Certificate is substantially identical.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term "common property" is defined to have the same meaning as in the </w:t>
      </w:r>
      <w:r>
        <w:rPr>
          <w:rFonts w:ascii="arial" w:eastAsia="arial" w:hAnsi="arial" w:cs="arial"/>
          <w:b/>
          <w:i/>
          <w:color w:val="000000"/>
          <w:sz w:val="20"/>
          <w:lang w:val="en-US" w:eastAsia="en-US" w:bidi="ar-SA"/>
        </w:rPr>
        <w:t>Strata Property Act</w:t>
      </w:r>
      <w:r>
        <w:rPr>
          <w:rFonts w:ascii="arial" w:eastAsia="arial" w:hAnsi="arial" w:cs="arial"/>
          <w:color w:val="000000"/>
          <w:sz w:val="20"/>
          <w:lang w:val="en-US" w:eastAsia="en-US" w:bidi="ar-SA"/>
        </w:rPr>
        <w:t>, but does not include land. This is identical to the definition in the Certificate.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"Defect" means "any design or construction that is contrary to the building code or that requires repair or replacement due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 residential builder or person for whom the residential builder is responsible at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definition of "Defect" in the Certificate is substantially identical.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"Home warranty insurance" has the same meaning as in the </w:t>
      </w:r>
      <w:r>
        <w:rPr>
          <w:rFonts w:ascii="arial" w:eastAsia="arial" w:hAnsi="arial" w:cs="arial"/>
          <w:b/>
          <w:i/>
          <w:color w:val="000000"/>
          <w:sz w:val="20"/>
          <w:lang w:val="en-US" w:eastAsia="en-US" w:bidi="ar-SA"/>
        </w:rPr>
        <w:t>Insurance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Section 8 of the </w:t>
      </w:r>
      <w:r>
        <w:rPr>
          <w:rFonts w:ascii="arial" w:eastAsia="arial" w:hAnsi="arial" w:cs="arial"/>
          <w:b/>
          <w:i/>
          <w:color w:val="000000"/>
          <w:sz w:val="20"/>
          <w:lang w:val="en-US" w:eastAsia="en-US" w:bidi="ar-SA"/>
        </w:rPr>
        <w:t>HPA Regulation</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Minimum standards of coverage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 For the purposes of section [141(3)] of the </w:t>
      </w:r>
      <w:r>
        <w:rPr>
          <w:rFonts w:ascii="arial" w:eastAsia="arial" w:hAnsi="arial" w:cs="arial"/>
          <w:i/>
          <w:color w:val="000000"/>
          <w:sz w:val="20"/>
          <w:lang w:val="en-US" w:eastAsia="en-US" w:bidi="ar-SA"/>
        </w:rPr>
        <w:t>Insurance Act</w:t>
      </w:r>
      <w:r>
        <w:rPr>
          <w:rFonts w:ascii="arial" w:eastAsia="arial" w:hAnsi="arial" w:cs="arial"/>
          <w:color w:val="000000"/>
          <w:sz w:val="20"/>
          <w:lang w:val="en-US" w:eastAsia="en-US" w:bidi="ar-SA"/>
        </w:rPr>
        <w:t>, home warranty insurance must provide, as applicable, the minimum standards of coverage set out in Schedule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Schedule 3, the Minimum Standards, provides, in relevant part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 year materials and labour warranty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 (1) The minimum coverage for the 2 year materials and labour warranty is as follows:</w:t>
      </w:r>
    </w:p>
    <w:p>
      <w:pPr>
        <w:numPr>
          <w:numId w:val="1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first 12 months, for other than the common property, common facilities and other assets of a strata corporation,</w:t>
      </w:r>
    </w:p>
    <w:p>
      <w:pPr>
        <w:numPr>
          <w:numId w:val="1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coverage for any defect in materials and labour, and</w:t>
      </w:r>
    </w:p>
    <w:p>
      <w:pPr>
        <w:numPr>
          <w:numId w:val="1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subsection (2), coverage for a violation of the building code;</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first 15 months, for the common property, common facilities and other assets of a strata corporation,</w:t>
      </w:r>
    </w:p>
    <w:p>
      <w:pPr>
        <w:numPr>
          <w:numId w:val="1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coverage for any defect in materials and labour, and</w:t>
      </w:r>
    </w:p>
    <w:p>
      <w:pPr>
        <w:numPr>
          <w:numId w:val="1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subsection (2), coverage for a violation of the building code;</w:t>
      </w:r>
    </w:p>
    <w:p>
      <w:pPr>
        <w:numPr>
          <w:numId w:val="1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first 24 months,</w:t>
      </w:r>
    </w:p>
    <w:p>
      <w:pPr>
        <w:numPr>
          <w:numId w:val="1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coverage for any defect in materials and labour supplied for the electrical, plumbing, heating, ventilation and air conditioning delivery and distribution systems,</w:t>
      </w:r>
    </w:p>
    <w:p>
      <w:pPr>
        <w:numPr>
          <w:numId w:val="1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coverage for any defect in materials and labour supplied for the exterior cladding, caulking, windows and doors that may lead to detachment or material damage to the new home,</w:t>
      </w:r>
    </w:p>
    <w:p>
      <w:pPr>
        <w:numPr>
          <w:numId w:val="1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coverage for any defect in materials and labour which renders the new home unfit to live in, and</w:t>
      </w:r>
    </w:p>
    <w:p>
      <w:pPr>
        <w:numPr>
          <w:numId w:val="1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subsection (2), coverage for a violation of the building code.</w:t>
      </w:r>
    </w:p>
    <w:p>
      <w:pPr>
        <w:numPr>
          <w:numId w:val="1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Non-compliance with the building code is considered a defect covered by home warranty insurance if the non-compliance</w:t>
      </w:r>
    </w:p>
    <w:p>
      <w:pPr>
        <w:numPr>
          <w:numId w:val="1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constitutes an unreasonable health or safety risk, or</w:t>
      </w:r>
    </w:p>
    <w:p>
      <w:pPr>
        <w:numPr>
          <w:numId w:val="1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resulted in, or is likely to result in, material damage to the new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Sections 1(1) and 1(2) of the Minimum Standards correspond with Sections A.1.1 and A.1.2 in the Certificate. There are some differences. For example, s. A.1.1(c)(i) includes the "gas . . . Delivery and Distribution System"), while s. 1(1)(c)(i) of the Minimum Standards does not. Sections A.1.1 and A.1.2 use terms defined in the Certificate, which includes a definition of "Delivery and Distribution Systems." The Minimum Standards has no corresponding definition, although (as noted above) other terms (such as "defect") are defined in the </w:t>
      </w:r>
      <w:r>
        <w:rPr>
          <w:rFonts w:ascii="arial" w:eastAsia="arial" w:hAnsi="arial" w:cs="arial"/>
          <w:b/>
          <w:i/>
          <w:color w:val="000000"/>
          <w:sz w:val="20"/>
          <w:lang w:val="en-US" w:eastAsia="en-US" w:bidi="ar-SA"/>
        </w:rPr>
        <w:t>HPA Regulation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Sections 15 and 16 of the </w:t>
      </w:r>
      <w:r>
        <w:rPr>
          <w:rFonts w:ascii="arial" w:eastAsia="arial" w:hAnsi="arial" w:cs="arial"/>
          <w:b/>
          <w:i/>
          <w:color w:val="000000"/>
          <w:sz w:val="20"/>
          <w:lang w:val="en-US" w:eastAsia="en-US" w:bidi="ar-SA"/>
        </w:rPr>
        <w:t>HPA Regulation</w:t>
      </w:r>
      <w:r>
        <w:rPr>
          <w:rFonts w:ascii="arial" w:eastAsia="arial" w:hAnsi="arial" w:cs="arial"/>
          <w:color w:val="000000"/>
          <w:sz w:val="20"/>
          <w:lang w:val="en-US" w:eastAsia="en-US" w:bidi="ar-SA"/>
        </w:rPr>
        <w:t xml:space="preserve"> set out requirements relating to notice of expiry of warranty and of a claim,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Mandatory notice of expiry of warranty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15 (1) A warranty provider must, as soon as reasonably possible after the commencement date for the home warranty insurance, provide an owner with a schedule of the expiry dates for coverages under the home warranty insurance as applicable to the dwelling unit and, in the case of a dwelling unit which is part of a strata plan, the schedule must include the expiry dates of the coverages applicable to the common property.</w:t>
      </w:r>
    </w:p>
    <w:p>
      <w:pPr>
        <w:numPr>
          <w:numId w:val="1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schedule referred to in subsection (1) must set out all the required expiry dates on an adhesive label that is a minimum size of 150 mm by 150 mm and is suitable for affixing by the owner in a conspicuous location in the dwelling unit.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Notice of claim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16 (1) Within a reasonable time after the discovery of a defect and before the expiry of the applicable home warranty insurance coverage, an owner must give to the warranty provider and the residential builder written notice in reasonable detail that provides particulars of any specific defects covered by the home warranty insurance.</w:t>
      </w:r>
    </w:p>
    <w:p>
      <w:pPr>
        <w:numPr>
          <w:numId w:val="1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warranty provider may require the notice under subsection (1) to include</w:t>
      </w:r>
    </w:p>
    <w:p>
      <w:pPr>
        <w:numPr>
          <w:numId w:val="1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home warranty insurance number, and</w:t>
      </w:r>
    </w:p>
    <w:p>
      <w:pPr>
        <w:numPr>
          <w:numId w:val="1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copies of any relevant documentation and correspondence between the owner and the residential builder.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The cover page of the Certificate sets out the information required by s. 15(1) of the </w:t>
      </w:r>
      <w:r>
        <w:rPr>
          <w:rFonts w:ascii="arial" w:eastAsia="arial" w:hAnsi="arial" w:cs="arial"/>
          <w:b/>
          <w:i/>
          <w:color w:val="000000"/>
          <w:sz w:val="20"/>
          <w:lang w:val="en-US" w:eastAsia="en-US" w:bidi="ar-SA"/>
        </w:rPr>
        <w:t>HPA Regulation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Section 16(1) of the </w:t>
      </w:r>
      <w:r>
        <w:rPr>
          <w:rFonts w:ascii="arial" w:eastAsia="arial" w:hAnsi="arial" w:cs="arial"/>
          <w:b/>
          <w:i/>
          <w:color w:val="000000"/>
          <w:sz w:val="20"/>
          <w:lang w:val="en-US" w:eastAsia="en-US" w:bidi="ar-SA"/>
        </w:rPr>
        <w:t>HPA Regulation</w:t>
      </w:r>
      <w:r>
        <w:rPr>
          <w:rFonts w:ascii="arial" w:eastAsia="arial" w:hAnsi="arial" w:cs="arial"/>
          <w:color w:val="000000"/>
          <w:sz w:val="20"/>
          <w:lang w:val="en-US" w:eastAsia="en-US" w:bidi="ar-SA"/>
        </w:rPr>
        <w:t xml:space="preserve"> is substantially identical to s. F.1.1 of the Certificate.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4. Discussion and analysis</w:t>
      </w:r>
      <w:r>
        <w:rPr>
          <w:rFonts w:ascii="arial" w:eastAsia="arial" w:hAnsi="arial" w:cs="arial"/>
          <w:sz w:val="20"/>
          <w:lang w:val="en-US" w:eastAsia="en-US" w:bidi="ar-SA"/>
        </w:rPr>
        <w:cr/>
      </w:r>
    </w:p>
    <w:p>
      <w:pPr>
        <w:numPr>
          <w:numId w:val="14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Suitability for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Strata Corporation made only brief submissions concerning the suitability of this matter for summary trial. The Strata Corporation said that the major facts are not in dispute, and that the central questions are questions of law. The Strata Corporation said further that both it and Travelers agreed that the matter was suitable for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Travelers did not argue this matter was not suitable for summary trial. Rather, Travelers submitted that, since the Strata Corporation, by its notice of application, sought to have the whole action disposed of by summary trial, it should face dismissal because of its failure to tender evidence on matters that are at issue in the case, and not be permitted to adjourn those parts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Counsel for the Strata Corporation did not explain why the notice of application sought to have all of the relief requested in the NCC determined on a summary trial, when the evidence filed in support of the application did not support that and the Strata Corporation sought more limited relief at the hearing. However, it was clear from the submissions made by counsel for both the Strata Corporation and Travelers at the hearing of the summary trial that the central issue in the action is whether the coverage period for the Sprinkler System is 24 months, or 15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As will be seen from the discussion below, in my opinion, the only matters suitable for determination on a summary trial, based on the record presented, are: first, whether the Sprinkler System is part of the plumbing delivery and distribution system, in which case the coverage period is 24 months, or Common Property, in which case the coverage period is 15 months; and second, the Constitutional Question. I reject Travelers' submission that the action should be dismissed because the Strata Corporation did not tender evidence on all matters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Is the Sprinkler System part of the plumbing "delivery and distribution system," or simply "Common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There can be no dispute that the Sprinkler System falls within the definition of Common Property. The dispute between the Strata Corporation and Travelers concerns whether the Sprinkler System falls within the term "plumbing . . . delivery and distribution system," as that term is used in the Certificate and in the Minimum Standards. If it does, then the warranty coverage period is the longer period of 24 months. If it does not, the coverage period is 15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In this case, the terms granting coverage are required pursuant to statute. Therefore, the principles of statutory interpretation, and not contractual interpretation, will apply to the analysis of the Certificate. The </w:t>
      </w:r>
      <w:r>
        <w:rPr>
          <w:rFonts w:ascii="arial" w:eastAsia="arial" w:hAnsi="arial" w:cs="arial"/>
          <w:i/>
          <w:color w:val="000000"/>
          <w:sz w:val="20"/>
          <w:lang w:val="en-US" w:eastAsia="en-US" w:bidi="ar-SA"/>
        </w:rPr>
        <w:t>contra proferentem</w:t>
      </w:r>
      <w:r>
        <w:rPr>
          <w:rFonts w:ascii="arial" w:eastAsia="arial" w:hAnsi="arial" w:cs="arial"/>
          <w:color w:val="000000"/>
          <w:sz w:val="20"/>
          <w:lang w:val="en-US" w:eastAsia="en-US" w:bidi="ar-SA"/>
        </w:rPr>
        <w:t xml:space="preserve"> rule that applies to private insurance policies has no application to the terms of a statutory insurance contract. However, if there is doubt regarding the meaning of a statutory provision establishing and governing coverage, and there are multiple possible meanings that accord with the principles of statutory interpretation, the one more favourable to the insured should be applied. See </w:t>
      </w:r>
      <w:r>
        <w:rPr>
          <w:rFonts w:ascii="arial" w:eastAsia="arial" w:hAnsi="arial" w:cs="arial"/>
          <w:b/>
          <w:i/>
          <w:color w:val="000000"/>
          <w:sz w:val="20"/>
          <w:lang w:val="en-US" w:eastAsia="en-US" w:bidi="ar-SA"/>
        </w:rPr>
        <w:t>Ocean Park Ford Sales Ltd. v. Insurance Corporation of British Columbia</w:t>
      </w:r>
      <w:r>
        <w:rPr>
          <w:rFonts w:ascii="arial" w:eastAsia="arial" w:hAnsi="arial" w:cs="arial"/>
          <w:color w:val="000000"/>
          <w:sz w:val="20"/>
          <w:lang w:val="en-US" w:eastAsia="en-US" w:bidi="ar-SA"/>
        </w:rPr>
        <w:t xml:space="preserve">, </w:t>
      </w:r>
      <w:hyperlink r:id="rId733" w:history="1">
        <w:r>
          <w:rPr>
            <w:rFonts w:ascii="arial" w:eastAsia="arial" w:hAnsi="arial" w:cs="arial"/>
            <w:i/>
            <w:color w:val="0077CC"/>
            <w:sz w:val="20"/>
            <w:u w:val="single"/>
            <w:shd w:val="clear" w:color="auto" w:fill="FFFFFF"/>
            <w:lang w:val="en-US" w:eastAsia="en-US" w:bidi="ar-SA"/>
          </w:rPr>
          <w:t>2016 BCCA 337</w:t>
        </w:r>
      </w:hyperlink>
      <w:r>
        <w:rPr>
          <w:rFonts w:ascii="arial" w:eastAsia="arial" w:hAnsi="arial" w:cs="arial"/>
          <w:color w:val="000000"/>
          <w:sz w:val="20"/>
          <w:lang w:val="en-US" w:eastAsia="en-US" w:bidi="ar-SA"/>
        </w:rPr>
        <w:t>,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principles that apply to statutory interpretation are well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Bell ExpressVu Limited Partnership v. Rex</w:t>
      </w:r>
      <w:r>
        <w:rPr>
          <w:rFonts w:ascii="arial" w:eastAsia="arial" w:hAnsi="arial" w:cs="arial"/>
          <w:color w:val="000000"/>
          <w:sz w:val="20"/>
          <w:lang w:val="en-US" w:eastAsia="en-US" w:bidi="ar-SA"/>
        </w:rPr>
        <w:t xml:space="preserve">, </w:t>
      </w:r>
      <w:hyperlink r:id="rId734" w:history="1">
        <w:r>
          <w:rPr>
            <w:rFonts w:ascii="arial" w:eastAsia="arial" w:hAnsi="arial" w:cs="arial"/>
            <w:i/>
            <w:color w:val="0077CC"/>
            <w:sz w:val="20"/>
            <w:u w:val="single"/>
            <w:shd w:val="clear" w:color="auto" w:fill="FFFFFF"/>
            <w:lang w:val="en-US" w:eastAsia="en-US" w:bidi="ar-SA"/>
          </w:rPr>
          <w:t>2002 SCC 42</w:t>
        </w:r>
      </w:hyperlink>
      <w:r>
        <w:rPr>
          <w:rFonts w:ascii="arial" w:eastAsia="arial" w:hAnsi="arial" w:cs="arial"/>
          <w:color w:val="000000"/>
          <w:sz w:val="20"/>
          <w:lang w:val="en-US" w:eastAsia="en-US" w:bidi="ar-SA"/>
        </w:rPr>
        <w:t>, one of the leading cases, Iacobucci J. (for the court) wrote, at paras. 26-27: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 In Elmer Driedger's definitive formulation, found at p. 87 of his </w:t>
      </w:r>
      <w:r>
        <w:rPr>
          <w:rFonts w:ascii="arial" w:eastAsia="arial" w:hAnsi="arial" w:cs="arial"/>
          <w:i/>
          <w:color w:val="000000"/>
          <w:sz w:val="20"/>
          <w:lang w:val="en-US" w:eastAsia="en-US" w:bidi="ar-SA"/>
        </w:rPr>
        <w:t>Construction of Statutes</w:t>
      </w:r>
      <w:r>
        <w:rPr>
          <w:rFonts w:ascii="arial" w:eastAsia="arial" w:hAnsi="arial" w:cs="arial"/>
          <w:color w:val="000000"/>
          <w:sz w:val="20"/>
          <w:lang w:val="en-US" w:eastAsia="en-US" w:bidi="ar-SA"/>
        </w:rPr>
        <w:t xml:space="preserve"> (2nd ed. 1983):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Today there is only one principle or approach, namely, the words of an Act are to be read in their entire context and in their grammatical and ordinary sense harmoniously with the scheme of the Act, the object of the Act, and the intention of Parliament.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Driedger's modern approach has been repeatedly cited by this Court as the preferred approach to statutory interpretation across a wide range of interpretive settings: [citations omitted] I note as well that, in the federal legislative context, this Court's preferred approach is buttressed by s. 12 of the </w:t>
      </w:r>
      <w:r>
        <w:rPr>
          <w:rFonts w:ascii="arial" w:eastAsia="arial" w:hAnsi="arial" w:cs="arial"/>
          <w:i/>
          <w:color w:val="000000"/>
          <w:sz w:val="20"/>
          <w:lang w:val="en-US" w:eastAsia="en-US" w:bidi="ar-SA"/>
        </w:rPr>
        <w:t>Interpretation Act</w:t>
      </w:r>
      <w:r>
        <w:rPr>
          <w:rFonts w:ascii="arial" w:eastAsia="arial" w:hAnsi="arial" w:cs="arial"/>
          <w:color w:val="000000"/>
          <w:sz w:val="20"/>
          <w:lang w:val="en-US" w:eastAsia="en-US" w:bidi="ar-SA"/>
        </w:rPr>
        <w:t xml:space="preserve">, </w:t>
      </w:r>
      <w:hyperlink r:id="rId735" w:history="1">
        <w:r>
          <w:rPr>
            <w:rFonts w:ascii="arial" w:eastAsia="arial" w:hAnsi="arial" w:cs="arial"/>
            <w:i/>
            <w:color w:val="0077CC"/>
            <w:sz w:val="20"/>
            <w:u w:val="single"/>
            <w:shd w:val="clear" w:color="auto" w:fill="FFFFFF"/>
            <w:lang w:val="en-US" w:eastAsia="en-US" w:bidi="ar-SA"/>
          </w:rPr>
          <w:t>R.S.C. 1985, c. I-21</w:t>
        </w:r>
      </w:hyperlink>
      <w:r>
        <w:rPr>
          <w:rFonts w:ascii="arial" w:eastAsia="arial" w:hAnsi="arial" w:cs="arial"/>
          <w:color w:val="000000"/>
          <w:sz w:val="20"/>
          <w:lang w:val="en-US" w:eastAsia="en-US" w:bidi="ar-SA"/>
        </w:rPr>
        <w:t>, which provides that every enactment "is deemed remedial, and shall be given such fair, large and liberal construction and interpretation as best ensures the attainment of its objects".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The preferred approach recognizes the important role that context must inevitably play when a court construes the written words of a statute: as Professor John Willis incisively noted in his seminal article "Statute Interpretation in a Nutshell" (1938), 16 </w:t>
      </w:r>
      <w:r>
        <w:rPr>
          <w:rFonts w:ascii="arial" w:eastAsia="arial" w:hAnsi="arial" w:cs="arial"/>
          <w:i/>
          <w:color w:val="000000"/>
          <w:sz w:val="20"/>
          <w:lang w:val="en-US" w:eastAsia="en-US" w:bidi="ar-SA"/>
        </w:rPr>
        <w:t>Can. Bar Rev</w:t>
      </w:r>
      <w:r>
        <w:rPr>
          <w:rFonts w:ascii="arial" w:eastAsia="arial" w:hAnsi="arial" w:cs="arial"/>
          <w:color w:val="000000"/>
          <w:sz w:val="20"/>
          <w:lang w:val="en-US" w:eastAsia="en-US" w:bidi="ar-SA"/>
        </w:rPr>
        <w:t xml:space="preserve">. 1, at p. 6, "words, like people, take their colour from their surroundings". This being the case, where the provision under consideration is found in an Act that is itself a component of a larger statutory scheme, the surroundings that colour the words and the scheme of the Act are more expansive. In such an instance, the application of Driedger's principle gives rise to what was described in </w:t>
      </w:r>
      <w:r>
        <w:rPr>
          <w:rFonts w:ascii="arial" w:eastAsia="arial" w:hAnsi="arial" w:cs="arial"/>
          <w:i/>
          <w:color w:val="000000"/>
          <w:sz w:val="20"/>
          <w:lang w:val="en-US" w:eastAsia="en-US" w:bidi="ar-SA"/>
        </w:rPr>
        <w:t>R. v. Ulybel Enterprises Ltd.</w:t>
      </w:r>
      <w:r>
        <w:rPr>
          <w:rFonts w:ascii="arial" w:eastAsia="arial" w:hAnsi="arial" w:cs="arial"/>
          <w:color w:val="000000"/>
          <w:sz w:val="20"/>
          <w:lang w:val="en-US" w:eastAsia="en-US" w:bidi="ar-SA"/>
        </w:rPr>
        <w:t xml:space="preserve">, </w:t>
      </w:r>
      <w:hyperlink r:id="rId736" w:history="1">
        <w:r>
          <w:rPr>
            <w:rFonts w:ascii="arial" w:eastAsia="arial" w:hAnsi="arial" w:cs="arial"/>
            <w:i/>
            <w:color w:val="0077CC"/>
            <w:sz w:val="20"/>
            <w:u w:val="single"/>
            <w:shd w:val="clear" w:color="auto" w:fill="FFFFFF"/>
            <w:lang w:val="en-US" w:eastAsia="en-US" w:bidi="ar-SA"/>
          </w:rPr>
          <w:t>[2001] 2 S.C.R. 867</w:t>
        </w:r>
      </w:hyperlink>
      <w:r>
        <w:rPr>
          <w:rFonts w:ascii="arial" w:eastAsia="arial" w:hAnsi="arial" w:cs="arial"/>
          <w:color w:val="000000"/>
          <w:sz w:val="20"/>
          <w:lang w:val="en-US" w:eastAsia="en-US" w:bidi="ar-SA"/>
        </w:rPr>
        <w:t xml:space="preserve">, </w:t>
      </w:r>
      <w:hyperlink r:id="rId736" w:history="1">
        <w:r>
          <w:rPr>
            <w:rFonts w:ascii="arial" w:eastAsia="arial" w:hAnsi="arial" w:cs="arial"/>
            <w:i/>
            <w:color w:val="0077CC"/>
            <w:sz w:val="20"/>
            <w:u w:val="single"/>
            <w:shd w:val="clear" w:color="auto" w:fill="FFFFFF"/>
            <w:lang w:val="en-US" w:eastAsia="en-US" w:bidi="ar-SA"/>
          </w:rPr>
          <w:t>2001 SCC 56</w:t>
        </w:r>
      </w:hyperlink>
      <w:r>
        <w:rPr>
          <w:rFonts w:ascii="arial" w:eastAsia="arial" w:hAnsi="arial" w:cs="arial"/>
          <w:color w:val="000000"/>
          <w:sz w:val="20"/>
          <w:lang w:val="en-US" w:eastAsia="en-US" w:bidi="ar-SA"/>
        </w:rPr>
        <w:t>, at para. 52, as "the principle of interpretation that presumes a harmony, coherence, and consistency between statutes dealing with the same subject matter". [citations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Section 8 of the </w:t>
      </w:r>
      <w:r>
        <w:rPr>
          <w:rFonts w:ascii="arial" w:eastAsia="arial" w:hAnsi="arial" w:cs="arial"/>
          <w:b/>
          <w:i/>
          <w:color w:val="000000"/>
          <w:sz w:val="20"/>
          <w:lang w:val="en-US" w:eastAsia="en-US" w:bidi="ar-SA"/>
        </w:rPr>
        <w:t>Interpretation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238</w:t>
      </w:r>
      <w:r>
        <w:rPr>
          <w:rFonts w:ascii="arial" w:eastAsia="arial" w:hAnsi="arial" w:cs="arial"/>
          <w:color w:val="000000"/>
          <w:sz w:val="20"/>
          <w:lang w:val="en-US" w:eastAsia="en-US" w:bidi="ar-SA"/>
        </w:rPr>
        <w:t xml:space="preserve">, corresponds to s. 12 of the Federal </w:t>
      </w:r>
      <w:r>
        <w:rPr>
          <w:rFonts w:ascii="arial" w:eastAsia="arial" w:hAnsi="arial" w:cs="arial"/>
          <w:b/>
          <w:i/>
          <w:color w:val="000000"/>
          <w:sz w:val="20"/>
          <w:lang w:val="en-US" w:eastAsia="en-US" w:bidi="ar-SA"/>
        </w:rPr>
        <w:t>Interpretation Act</w:t>
      </w:r>
      <w:r>
        <w:rPr>
          <w:rFonts w:ascii="arial" w:eastAsia="arial" w:hAnsi="arial" w:cs="arial"/>
          <w:color w:val="000000"/>
          <w:sz w:val="20"/>
          <w:lang w:val="en-US" w:eastAsia="en-US" w:bidi="ar-SA"/>
        </w:rPr>
        <w:t>, and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Every enactment must be construed as being remedial, and must be given such fair, large and liberal construction and interpretation as best ensures the attainment of its objects.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In the absence of a statutory definition of a term, the starting point of the interpretive analysis is typically the dictionary definition of the statutory term: see </w:t>
      </w:r>
      <w:r>
        <w:rPr>
          <w:rFonts w:ascii="arial" w:eastAsia="arial" w:hAnsi="arial" w:cs="arial"/>
          <w:b/>
          <w:i/>
          <w:color w:val="000000"/>
          <w:sz w:val="20"/>
          <w:lang w:val="en-US" w:eastAsia="en-US" w:bidi="ar-SA"/>
        </w:rPr>
        <w:t>R. v. Skakun</w:t>
      </w:r>
      <w:r>
        <w:rPr>
          <w:rFonts w:ascii="arial" w:eastAsia="arial" w:hAnsi="arial" w:cs="arial"/>
          <w:color w:val="000000"/>
          <w:sz w:val="20"/>
          <w:lang w:val="en-US" w:eastAsia="en-US" w:bidi="ar-SA"/>
        </w:rPr>
        <w:t xml:space="preserve">, </w:t>
      </w:r>
      <w:hyperlink r:id="rId737" w:history="1">
        <w:r>
          <w:rPr>
            <w:rFonts w:ascii="arial" w:eastAsia="arial" w:hAnsi="arial" w:cs="arial"/>
            <w:i/>
            <w:color w:val="0077CC"/>
            <w:sz w:val="20"/>
            <w:u w:val="single"/>
            <w:shd w:val="clear" w:color="auto" w:fill="FFFFFF"/>
            <w:lang w:val="en-US" w:eastAsia="en-US" w:bidi="ar-SA"/>
          </w:rPr>
          <w:t>2014 BCCA 223</w:t>
        </w:r>
      </w:hyperlink>
      <w:r>
        <w:rPr>
          <w:rFonts w:ascii="arial" w:eastAsia="arial" w:hAnsi="arial" w:cs="arial"/>
          <w:color w:val="000000"/>
          <w:sz w:val="20"/>
          <w:lang w:val="en-US" w:eastAsia="en-US" w:bidi="ar-SA"/>
        </w:rPr>
        <w:t xml:space="preserve">, at para. 19 (citing </w:t>
      </w:r>
      <w:r>
        <w:rPr>
          <w:rFonts w:ascii="arial" w:eastAsia="arial" w:hAnsi="arial" w:cs="arial"/>
          <w:b/>
          <w:i/>
          <w:color w:val="000000"/>
          <w:sz w:val="20"/>
          <w:lang w:val="en-US" w:eastAsia="en-US" w:bidi="ar-SA"/>
        </w:rPr>
        <w:t>R. v. A.D.H.</w:t>
      </w:r>
      <w:r>
        <w:rPr>
          <w:rFonts w:ascii="arial" w:eastAsia="arial" w:hAnsi="arial" w:cs="arial"/>
          <w:color w:val="000000"/>
          <w:sz w:val="20"/>
          <w:lang w:val="en-US" w:eastAsia="en-US" w:bidi="ar-SA"/>
        </w:rPr>
        <w:t xml:space="preserve">, </w:t>
      </w:r>
      <w:hyperlink r:id="rId738" w:history="1">
        <w:r>
          <w:rPr>
            <w:rFonts w:ascii="arial" w:eastAsia="arial" w:hAnsi="arial" w:cs="arial"/>
            <w:i/>
            <w:color w:val="0077CC"/>
            <w:sz w:val="20"/>
            <w:u w:val="single"/>
            <w:shd w:val="clear" w:color="auto" w:fill="FFFFFF"/>
            <w:lang w:val="en-US" w:eastAsia="en-US" w:bidi="ar-SA"/>
          </w:rPr>
          <w:t>2013 SCC 28</w:t>
        </w:r>
      </w:hyperlink>
      <w:r>
        <w:rPr>
          <w:rFonts w:ascii="arial" w:eastAsia="arial" w:hAnsi="arial" w:cs="arial"/>
          <w:color w:val="000000"/>
          <w:sz w:val="20"/>
          <w:lang w:val="en-US" w:eastAsia="en-US" w:bidi="ar-SA"/>
        </w:rPr>
        <w:t xml:space="preserve">, at paras. 43-46; </w:t>
      </w:r>
      <w:r>
        <w:rPr>
          <w:rFonts w:ascii="arial" w:eastAsia="arial" w:hAnsi="arial" w:cs="arial"/>
          <w:b/>
          <w:i/>
          <w:color w:val="000000"/>
          <w:sz w:val="20"/>
          <w:lang w:val="en-US" w:eastAsia="en-US" w:bidi="ar-SA"/>
        </w:rPr>
        <w:t>R. v. Steele</w:t>
      </w:r>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2007 SCC 36</w:t>
        </w:r>
      </w:hyperlink>
      <w:r>
        <w:rPr>
          <w:rFonts w:ascii="arial" w:eastAsia="arial" w:hAnsi="arial" w:cs="arial"/>
          <w:color w:val="000000"/>
          <w:sz w:val="20"/>
          <w:lang w:val="en-US" w:eastAsia="en-US" w:bidi="ar-SA"/>
        </w:rPr>
        <w:t>, at para.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Strata Corporation says that the installation of a sprinkler system in a building such as the Beasley is a sub-specialty of plumbing. Therefore, properly interpreted, the Certificate, in s. A.1.1(c), provides warranty coverage for the Sprinkler System as part of the plumbing "Delivery and Distribution" system. The Strata Corporation says that this interpretation is also consistent with the Minimum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The Strata Corporation notes that the </w:t>
      </w:r>
      <w:r>
        <w:rPr>
          <w:rFonts w:ascii="arial" w:eastAsia="arial" w:hAnsi="arial" w:cs="arial"/>
          <w:b/>
          <w:i/>
          <w:color w:val="000000"/>
          <w:sz w:val="20"/>
          <w:lang w:val="en-US" w:eastAsia="en-US" w:bidi="ar-SA"/>
        </w:rPr>
        <w:t>Canadian Oxford Dictionary</w:t>
      </w:r>
      <w:r>
        <w:rPr>
          <w:rFonts w:ascii="arial" w:eastAsia="arial" w:hAnsi="arial" w:cs="arial"/>
          <w:color w:val="000000"/>
          <w:sz w:val="20"/>
          <w:lang w:val="en-US" w:eastAsia="en-US" w:bidi="ar-SA"/>
        </w:rPr>
        <w:t xml:space="preserve"> defines "plumbing" as:</w:t>
      </w:r>
      <w:r>
        <w:rPr>
          <w:rFonts w:ascii="arial" w:eastAsia="arial" w:hAnsi="arial" w:cs="arial"/>
          <w:sz w:val="20"/>
          <w:lang w:val="en-US" w:eastAsia="en-US" w:bidi="ar-SA"/>
        </w:rPr>
        <w:cr/>
      </w:r>
    </w:p>
    <w:p>
      <w:pPr>
        <w:numPr>
          <w:numId w:val="1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system or apparatus of water pipes etc. in a building. 2. </w:t>
      </w:r>
      <w:r>
        <w:rPr>
          <w:rFonts w:ascii="arial" w:eastAsia="arial" w:hAnsi="arial" w:cs="arial"/>
          <w:i/>
          <w:color w:val="000000"/>
          <w:sz w:val="20"/>
          <w:lang w:val="en-US" w:eastAsia="en-US" w:bidi="ar-SA"/>
        </w:rPr>
        <w:t>informal</w:t>
      </w:r>
      <w:r>
        <w:rPr>
          <w:rFonts w:ascii="arial" w:eastAsia="arial" w:hAnsi="arial" w:cs="arial"/>
          <w:color w:val="000000"/>
          <w:sz w:val="20"/>
          <w:lang w:val="en-US" w:eastAsia="en-US" w:bidi="ar-SA"/>
        </w:rPr>
        <w:t xml:space="preserve"> a. the excretory system. b. </w:t>
      </w:r>
      <w:r>
        <w:rPr>
          <w:rFonts w:ascii="arial" w:eastAsia="arial" w:hAnsi="arial" w:cs="arial"/>
          <w:i/>
          <w:color w:val="000000"/>
          <w:sz w:val="20"/>
          <w:lang w:val="en-US" w:eastAsia="en-US" w:bidi="ar-SA"/>
        </w:rPr>
        <w:t>jocular</w:t>
      </w:r>
      <w:r>
        <w:rPr>
          <w:rFonts w:ascii="arial" w:eastAsia="arial" w:hAnsi="arial" w:cs="arial"/>
          <w:color w:val="000000"/>
          <w:sz w:val="20"/>
          <w:lang w:val="en-US" w:eastAsia="en-US" w:bidi="ar-SA"/>
        </w:rPr>
        <w:t xml:space="preserve"> the reproductive system. 3. the work of a plumber.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Strata Corporation says that, based on the evidence of Ms. Chow, the Sprinkler System is configured to distribute water throughout the Beasley in the event of a fire. As such, on a plain and ordinary reading, the Sprinkler System would fall within the first definition of "plumbing," since it acts as a delivery and distribution system of water throughout a building. Thus, in the submission of the Strata Corporation, the Sprinkler System qualifies as a plumbing "delivery and distribution system," and falls within the 24-month coverage period under both s. A.1.1(c)(i) of the Certificate and s. 1(1)(c)(i) of the Minimum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On the other hand, Travelers says that, properly interpreted, the term "plumbing" does not include fire sprinkler or fire suppression systems, and therefore does not include the Sprinkler System. Travelers says that the Strata Corporation's interpretation of "plumbing" turns entirely on a dictionary definition, without further consideration of the term in its entire context and without applying the other elements of the modern approach to statutory interpretation.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Travelers says that, when the proper approach to statutory interpretation is followed, and the term "plumbing" is construed within the broader statutory scheme of the </w:t>
      </w:r>
      <w:r>
        <w:rPr>
          <w:rFonts w:ascii="arial" w:eastAsia="arial" w:hAnsi="arial" w:cs="arial"/>
          <w:b/>
          <w:i/>
          <w:color w:val="000000"/>
          <w:sz w:val="20"/>
          <w:lang w:val="en-US" w:eastAsia="en-US" w:bidi="ar-SA"/>
        </w:rPr>
        <w:t>Homeowner Protection Act</w:t>
      </w:r>
      <w:r>
        <w:rPr>
          <w:rFonts w:ascii="arial" w:eastAsia="arial" w:hAnsi="arial" w:cs="arial"/>
          <w:color w:val="000000"/>
          <w:sz w:val="20"/>
          <w:lang w:val="en-US" w:eastAsia="en-US" w:bidi="ar-SA"/>
        </w:rPr>
        <w:t xml:space="preserve"> (and not merely by looking at a dictionary definition), the more logical and natural conclusion is that the Legislature did not intend the term "plumbing" to include a sprinkler system. Rather, the Legislature intended the sprinkler system to be part of the Common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Travelers says that, based on Ms. Chow's evidence, the Sprinkler System is much more than a system of pipes used to carry water. It includes shutoff valves, flow switches and automatic sprinkler heads. Therefore, on the evidence, the Sprinkler System is much more than just a "system . . . of water pipes." Travelers says that the Strata Corporation's interpretation of "plumbing" does not address these other components of the Sprinkler System, and leads to one of two problematic outcomes:</w:t>
      </w:r>
      <w:r>
        <w:rPr>
          <w:rFonts w:ascii="arial" w:eastAsia="arial" w:hAnsi="arial" w:cs="arial"/>
          <w:sz w:val="20"/>
          <w:lang w:val="en-US" w:eastAsia="en-US" w:bidi="ar-SA"/>
        </w:rPr>
        <w:cr/>
      </w:r>
    </w:p>
    <w:p>
      <w:pPr>
        <w:numPr>
          <w:numId w:val="1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components and sub-systems of the Sprinkler System completely unrelated to the water-carrying sprinkler pipes must be grouped in with the plumbing system; or</w:t>
      </w:r>
    </w:p>
    <w:p>
      <w:pPr>
        <w:numPr>
          <w:numId w:val="1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different parts of the Sprinkler System must be grouped into different areas of coverage, some under "plumbing," some under Common Property or other things.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Travelers says the Legislature cannot have intended to break up parts of a whole system, and then have different types of coverage for various parts. Instead, in the case of the Sprinkler System, it is far more logical to say that the system as a whole is covered as "Common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Travelers notes in addition (and based on the admissible parts of Mr. Singh's and Mr. Steer's reports) that: the Building Code contains distinct definitions and provisions for "plumbing systems" on the one hand and "sprinkler systems" on the other; the form of letter of assurance has separate line items for plumbing and fire suppression systems; and the summary of design and field review requirements also separates plumbing from fire suppression systems. In Travelers' submission, this demonstrates that the Building Code makes clear, meaningful and important distinctions between the two systems. Therefore, Travelers argues, the term "plumbing" in the Certificate and in s. 1(1)(c)(i) of the Minimum Standards should be read and interpreted in a manner consistent with the treatment of these two systems in the Building Code, and, in that light, it is clear that "plumbing" was not intended by the Legislature to include the Sprinkler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I acknowledge that the Building Code draws distinctions between "plumbing" and a "fire suppression system" such as the Sprinkler System. However, the term that I am being required to interpret in the Minimum Standards (and in the corresponding section of the Certificate) is "plumbing </w:t>
      </w:r>
      <w:r>
        <w:rPr>
          <w:rFonts w:ascii="arial" w:eastAsia="arial" w:hAnsi="arial" w:cs="arial"/>
          <w:color w:val="000000"/>
          <w:sz w:val="20"/>
          <w:u w:val="single"/>
          <w:lang w:val="en-US" w:eastAsia="en-US" w:bidi="ar-SA"/>
        </w:rPr>
        <w:t>delivery and distribution</w:t>
      </w:r>
      <w:r>
        <w:rPr>
          <w:rFonts w:ascii="arial" w:eastAsia="arial" w:hAnsi="arial" w:cs="arial"/>
          <w:color w:val="000000"/>
          <w:sz w:val="20"/>
          <w:lang w:val="en-US" w:eastAsia="en-US" w:bidi="ar-SA"/>
        </w:rPr>
        <w:t xml:space="preserve"> system," based on Ms. Chow's evidence (which is unchallenged) describing the Sprinkler System. When I apply the principles of statutory interpretation discussed above, I conclude that the Sprinkler System falls within the term "plumbing delivery and distribution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The phrase "the electrical, plumbing, heating, ventilation and air conditioning delivery and distribution systems" in s. 1(1)(c)(i) of the Minimum Standards connotes, in each case, delivery and distribution of </w:t>
      </w:r>
      <w:r>
        <w:rPr>
          <w:rFonts w:ascii="arial" w:eastAsia="arial" w:hAnsi="arial" w:cs="arial"/>
          <w:color w:val="000000"/>
          <w:sz w:val="20"/>
          <w:u w:val="single"/>
          <w:lang w:val="en-US" w:eastAsia="en-US" w:bidi="ar-SA"/>
        </w:rPr>
        <w:t>something</w:t>
      </w:r>
      <w:r>
        <w:rPr>
          <w:rFonts w:ascii="arial" w:eastAsia="arial" w:hAnsi="arial" w:cs="arial"/>
          <w:color w:val="000000"/>
          <w:sz w:val="20"/>
          <w:lang w:val="en-US" w:eastAsia="en-US" w:bidi="ar-SA"/>
        </w:rPr>
        <w:t>. In the case of the "electrical delivery and distribution system," it is electricity or electrical power. In the case of the "heating delivery and distribution system," it is heat. In my opinion, in the case of the "plumbing delivery and distribution system," it is water. This is both the obvious conclusion and a conclusion consistent with the common dictionary definition of "plumbing," referred to above. It is consistent with how a plumbing system is (in part) defined in the Building Code, namely, as a water distribution system. In addition, it is also consistent with the definition of "Delivery and Distribution Systems" in the Certificate, which I reproduce for convenience: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"Delivery and Distribution Systems" means the mechanical</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and electrical systems for delivery and distribution of</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electricity, </w:t>
      </w:r>
      <w:r>
        <w:rPr>
          <w:rFonts w:ascii="arial" w:eastAsia="arial" w:hAnsi="arial" w:cs="arial"/>
          <w:color w:val="000000"/>
          <w:sz w:val="20"/>
          <w:u w:val="single"/>
          <w:lang w:val="en-US" w:eastAsia="en-US" w:bidi="ar-SA"/>
        </w:rPr>
        <w:t>water</w:t>
      </w:r>
      <w:r>
        <w:rPr>
          <w:rFonts w:ascii="arial" w:eastAsia="arial" w:hAnsi="arial" w:cs="arial"/>
          <w:color w:val="000000"/>
          <w:sz w:val="20"/>
          <w:lang w:val="en-US" w:eastAsia="en-US" w:bidi="ar-SA"/>
        </w:rPr>
        <w:t>, waste, heat and air within and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throughout a New Home . . .. [</w:t>
      </w:r>
      <w:r>
        <w:rPr>
          <w:rFonts w:ascii="arial" w:eastAsia="arial" w:hAnsi="arial" w:cs="arial"/>
          <w:color w:val="000000"/>
          <w:sz w:val="20"/>
          <w:u w:val="single"/>
          <w:lang w:val="en-US" w:eastAsia="en-US" w:bidi="ar-SA"/>
        </w:rPr>
        <w:t>underlining</w:t>
      </w:r>
      <w:r>
        <w:rPr>
          <w:rFonts w:ascii="arial" w:eastAsia="arial" w:hAnsi="arial" w:cs="arial"/>
          <w:color w:val="000000"/>
          <w:sz w:val="20"/>
          <w:lang w:val="en-US" w:eastAsia="en-US" w:bidi="ar-SA"/>
        </w:rPr>
        <w:t xml:space="preserve">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This interpretation is also the one more favourable to the 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Based on Ms. Chow's evidence, I find that the essence of the Sprinkler System is the delivery and distribution of water through pipes located in the Beasley. That, in my opinion, is sufficient to bring the Sprinkler System within the term "plumbing delivery and distribution system," as that term is used in both the Minimum Standards and the Certificate. In my view, it is immaterial that, with the Sprinkler System, the purpose of the delivery and distribution of water is fire suppression. There is nothing in the Minimum Standards that suggests the purpose of delivery or distribution of any items mentioned in s. 1(1)(c)(i) is a relevant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It follows, in my opinion, that the warranty coverage for any defect in materials and labour supplied for the Sprinkler System falls under the 24 month warranty described in s. 1(1)(c)(i) of the Minimum Standards and in s. A.1.1(c)(i) of the Certificate. As such, the expiry date for a warranty claim is October 19,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 find therefore that, by its letter dated June 20, 2013, the Strata Corporation gave notice of a claim in respect of the Sprinkler System before the Expiry Date (as defined) of the applicable warranty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I make no findings concerning the sufficiency of the notice given by the Strata Corporation by its June 20, 2013 letter. I also make no findings about whether notice was given within a reasonable time after discovery of a defect. I am unable to make any findings concerning whether the Strata Corporation has complied with its notice obligations under the Certificate and the </w:t>
      </w:r>
      <w:r>
        <w:rPr>
          <w:rFonts w:ascii="arial" w:eastAsia="arial" w:hAnsi="arial" w:cs="arial"/>
          <w:b/>
          <w:i/>
          <w:color w:val="000000"/>
          <w:sz w:val="20"/>
          <w:lang w:val="en-US" w:eastAsia="en-US" w:bidi="ar-SA"/>
        </w:rPr>
        <w:t>HPA Regulation</w:t>
      </w:r>
      <w:r>
        <w:rPr>
          <w:rFonts w:ascii="arial" w:eastAsia="arial" w:hAnsi="arial" w:cs="arial"/>
          <w:color w:val="000000"/>
          <w:sz w:val="20"/>
          <w:lang w:val="en-US" w:eastAsia="en-US" w:bidi="ar-SA"/>
        </w:rPr>
        <w:t xml:space="preserve">. These are matters on which I had no submissions from the Strata Council and only brief submissions from Travelers. Rather, the focus of the arguments at the summary trial concerned whether the plumbing "delivery and distribution system" included the Sprinkler System, and if it did not, what consequences (relief from forfeiture? a declaration that the Minimum Standards were </w:t>
      </w:r>
      <w:r>
        <w:rPr>
          <w:rFonts w:ascii="arial" w:eastAsia="arial" w:hAnsi="arial" w:cs="arial"/>
          <w:i/>
          <w:color w:val="000000"/>
          <w:sz w:val="20"/>
          <w:lang w:val="en-US" w:eastAsia="en-US" w:bidi="ar-SA"/>
        </w:rPr>
        <w:t>ultra vires</w:t>
      </w:r>
      <w:r>
        <w:rPr>
          <w:rFonts w:ascii="arial" w:eastAsia="arial" w:hAnsi="arial" w:cs="arial"/>
          <w:color w:val="000000"/>
          <w:sz w:val="20"/>
          <w:lang w:val="en-US" w:eastAsia="en-US" w:bidi="ar-SA"/>
        </w:rPr>
        <w:t>?) should follow. In those circumstances, in my view, it would be unjust to decide issues concerning the sufficiency of the notice, whether it was given within a reasonable time and whether it otherwise satisfied the terms of the Certificate and the Minimum Standards, on the summary trial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In addition, I make no findings concerning whether any defect in materials or labour (either as defined in the Certificate or as described in the Minimum Standards) in fact exists. On the basis of the evidentiary record presented, I am unable to make any findings in that respect.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Travelers' position at the hearing of the summary trial was that, to the extent the Strata Corporation failed to meet its evidentiary burden with respect to the issues in the action generally, the action should be dismissed. I have not been persuaded that would be a just result. Rather, in my opinion, having determined the principal issue concerning the coverage period in the Strata Corporation's favour, it would be unjust to dismiss the action, and I decline to do so.</w:t>
      </w:r>
      <w:r>
        <w:rPr>
          <w:rFonts w:ascii="arial" w:eastAsia="arial" w:hAnsi="arial" w:cs="arial"/>
          <w:sz w:val="20"/>
          <w:lang w:val="en-US" w:eastAsia="en-US" w:bidi="ar-SA"/>
        </w:rPr>
        <w:cr/>
      </w:r>
    </w:p>
    <w:p>
      <w:pPr>
        <w:numPr>
          <w:numId w:val="146"/>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Relief from forfeiture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Given my conclusion that the warranty coverage for any defect in materials and labour supplied for the Sprinkler System falls under the 24 month warranty, it is unnecessary for me to decide whether relief from forfeiture should be granted to the Strata Corporation. In that light, I will not be discussing the submissions made on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 The Constitutional Question: are the Minimum Standards</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ultra vires?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In the light of my conclusion concerning the coverage period, it could be said that it is also unnecessary for me to decide the Constitutional Question, although it was fully argued. However, in the NCC, the declaration of </w:t>
      </w:r>
      <w:r>
        <w:rPr>
          <w:rFonts w:ascii="arial" w:eastAsia="arial" w:hAnsi="arial" w:cs="arial"/>
          <w:i/>
          <w:color w:val="000000"/>
          <w:sz w:val="20"/>
          <w:lang w:val="en-US" w:eastAsia="en-US" w:bidi="ar-SA"/>
        </w:rPr>
        <w:t>ultra vires</w:t>
      </w:r>
      <w:r>
        <w:rPr>
          <w:rFonts w:ascii="arial" w:eastAsia="arial" w:hAnsi="arial" w:cs="arial"/>
          <w:color w:val="000000"/>
          <w:sz w:val="20"/>
          <w:lang w:val="en-US" w:eastAsia="en-US" w:bidi="ar-SA"/>
        </w:rPr>
        <w:t xml:space="preserve"> was not sought in the alternative. Therefore, I will deal with the Constitutional Question on the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The leading decision on the validity of regulations is </w:t>
      </w:r>
      <w:r>
        <w:rPr>
          <w:rFonts w:ascii="arial" w:eastAsia="arial" w:hAnsi="arial" w:cs="arial"/>
          <w:b/>
          <w:i/>
          <w:color w:val="000000"/>
          <w:sz w:val="20"/>
          <w:lang w:val="en-US" w:eastAsia="en-US" w:bidi="ar-SA"/>
        </w:rPr>
        <w:t>Katz Group Canada Inc. v. Ontario (Health and Long?Term Care)</w:t>
      </w:r>
      <w:r>
        <w:rPr>
          <w:rFonts w:ascii="arial" w:eastAsia="arial" w:hAnsi="arial" w:cs="arial"/>
          <w:color w:val="000000"/>
          <w:sz w:val="20"/>
          <w:lang w:val="en-US" w:eastAsia="en-US" w:bidi="ar-SA"/>
        </w:rPr>
        <w:t xml:space="preserve">, </w:t>
      </w:r>
      <w:hyperlink r:id="rId740" w:history="1">
        <w:r>
          <w:rPr>
            <w:rFonts w:ascii="arial" w:eastAsia="arial" w:hAnsi="arial" w:cs="arial"/>
            <w:i/>
            <w:color w:val="0077CC"/>
            <w:sz w:val="20"/>
            <w:u w:val="single"/>
            <w:shd w:val="clear" w:color="auto" w:fill="FFFFFF"/>
            <w:lang w:val="en-US" w:eastAsia="en-US" w:bidi="ar-SA"/>
          </w:rPr>
          <w:t>2013 SCC 64</w:t>
        </w:r>
      </w:hyperlink>
      <w:r>
        <w:rPr>
          <w:rFonts w:ascii="arial" w:eastAsia="arial" w:hAnsi="arial" w:cs="arial"/>
          <w:color w:val="000000"/>
          <w:sz w:val="20"/>
          <w:lang w:val="en-US" w:eastAsia="en-US" w:bidi="ar-SA"/>
        </w:rPr>
        <w:t xml:space="preserve">. A successful challenge to the </w:t>
      </w:r>
      <w:r>
        <w:rPr>
          <w:rFonts w:ascii="arial" w:eastAsia="arial" w:hAnsi="arial" w:cs="arial"/>
          <w:i/>
          <w:color w:val="000000"/>
          <w:sz w:val="20"/>
          <w:lang w:val="en-US" w:eastAsia="en-US" w:bidi="ar-SA"/>
        </w:rPr>
        <w:t>vires</w:t>
      </w:r>
      <w:r>
        <w:rPr>
          <w:rFonts w:ascii="arial" w:eastAsia="arial" w:hAnsi="arial" w:cs="arial"/>
          <w:color w:val="000000"/>
          <w:sz w:val="20"/>
          <w:lang w:val="en-US" w:eastAsia="en-US" w:bidi="ar-SA"/>
        </w:rPr>
        <w:t xml:space="preserve"> of regulations requires that they be shown to be inconsistent with the objective of the enabling statute or the scope of the statutory mandate. Regulations benefit from a presumption of validity. This presumption has two aspects: it places the burden on challengers to demonstrate the invalidity of regulations, rather than on regulatory bodies to justify them; and it favours an interpretative approach that reconciles the regulation with its enabling statute so that, where possible, the regulation is construed in a manner which renders it </w:t>
      </w:r>
      <w:r>
        <w:rPr>
          <w:rFonts w:ascii="arial" w:eastAsia="arial" w:hAnsi="arial" w:cs="arial"/>
          <w:i/>
          <w:color w:val="000000"/>
          <w:sz w:val="20"/>
          <w:lang w:val="en-US" w:eastAsia="en-US" w:bidi="ar-SA"/>
        </w:rPr>
        <w:t>intra vires</w:t>
      </w:r>
      <w:r>
        <w:rPr>
          <w:rFonts w:ascii="arial" w:eastAsia="arial" w:hAnsi="arial" w:cs="arial"/>
          <w:color w:val="000000"/>
          <w:sz w:val="20"/>
          <w:lang w:val="en-US" w:eastAsia="en-US" w:bidi="ar-SA"/>
        </w:rPr>
        <w:t xml:space="preserve">. Both the challenged regulation and the enabling statute should be interpreted using a broad and purposive approach consistent with the modern approach to statutory interpretation generally. See </w:t>
      </w:r>
      <w:r>
        <w:rPr>
          <w:rFonts w:ascii="arial" w:eastAsia="arial" w:hAnsi="arial" w:cs="arial"/>
          <w:b/>
          <w:i/>
          <w:color w:val="000000"/>
          <w:sz w:val="20"/>
          <w:lang w:val="en-US" w:eastAsia="en-US" w:bidi="ar-SA"/>
        </w:rPr>
        <w:t>Katz</w:t>
      </w:r>
      <w:r>
        <w:rPr>
          <w:rFonts w:ascii="arial" w:eastAsia="arial" w:hAnsi="arial" w:cs="arial"/>
          <w:color w:val="000000"/>
          <w:sz w:val="20"/>
          <w:lang w:val="en-US" w:eastAsia="en-US" w:bidi="ar-SA"/>
        </w:rPr>
        <w:t>, at paras. 24-26.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The Strata Corporation's position that the Minimum Standards are </w:t>
      </w:r>
      <w:r>
        <w:rPr>
          <w:rFonts w:ascii="arial" w:eastAsia="arial" w:hAnsi="arial" w:cs="arial"/>
          <w:i/>
          <w:color w:val="000000"/>
          <w:sz w:val="20"/>
          <w:lang w:val="en-US" w:eastAsia="en-US" w:bidi="ar-SA"/>
        </w:rPr>
        <w:t>ultra vires</w:t>
      </w:r>
      <w:r>
        <w:rPr>
          <w:rFonts w:ascii="arial" w:eastAsia="arial" w:hAnsi="arial" w:cs="arial"/>
          <w:color w:val="000000"/>
          <w:sz w:val="20"/>
          <w:lang w:val="en-US" w:eastAsia="en-US" w:bidi="ar-SA"/>
        </w:rPr>
        <w:t xml:space="preserve"> is premised on s. 22(2)(a) of the </w:t>
      </w:r>
      <w:r>
        <w:rPr>
          <w:rFonts w:ascii="arial" w:eastAsia="arial" w:hAnsi="arial" w:cs="arial"/>
          <w:b/>
          <w:i/>
          <w:color w:val="000000"/>
          <w:sz w:val="20"/>
          <w:lang w:val="en-US" w:eastAsia="en-US" w:bidi="ar-SA"/>
        </w:rPr>
        <w:t>Homeowner Protection Act</w:t>
      </w:r>
      <w:r>
        <w:rPr>
          <w:rFonts w:ascii="arial" w:eastAsia="arial" w:hAnsi="arial" w:cs="arial"/>
          <w:color w:val="000000"/>
          <w:sz w:val="20"/>
          <w:lang w:val="en-US" w:eastAsia="en-US" w:bidi="ar-SA"/>
        </w:rPr>
        <w:t xml:space="preserve"> setting out the terms of the mandatory home warranty coverage. For convenience, I will again set out the relevant part of s. 22(2), including the title to s. 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Mandatory home warranty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22(2) Home warranty insurance for a new home must provide coverage for</w:t>
      </w:r>
    </w:p>
    <w:p>
      <w:pPr>
        <w:numPr>
          <w:numId w:val="1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defects in materials and labour for a period of at least 2 years after the date on which the warranty begins,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The Strata Corporation says (citing s. 9 of the </w:t>
      </w:r>
      <w:r>
        <w:rPr>
          <w:rFonts w:ascii="arial" w:eastAsia="arial" w:hAnsi="arial" w:cs="arial"/>
          <w:b/>
          <w:i/>
          <w:color w:val="000000"/>
          <w:sz w:val="20"/>
          <w:lang w:val="en-US" w:eastAsia="en-US" w:bidi="ar-SA"/>
        </w:rPr>
        <w:t>Interpretation Act</w:t>
      </w:r>
      <w:r>
        <w:rPr>
          <w:rFonts w:ascii="arial" w:eastAsia="arial" w:hAnsi="arial" w:cs="arial"/>
          <w:color w:val="000000"/>
          <w:sz w:val="20"/>
          <w:lang w:val="en-US" w:eastAsia="en-US" w:bidi="ar-SA"/>
        </w:rPr>
        <w:t xml:space="preserve">) that the title is intended to assist in explaining the meaning and the object of the provision. The Strata Corporation says that the coverage for defects in materials and labour mandated by s. 22(2)(a) of the </w:t>
      </w:r>
      <w:r>
        <w:rPr>
          <w:rFonts w:ascii="arial" w:eastAsia="arial" w:hAnsi="arial" w:cs="arial"/>
          <w:b/>
          <w:i/>
          <w:color w:val="000000"/>
          <w:sz w:val="20"/>
          <w:lang w:val="en-US" w:eastAsia="en-US" w:bidi="ar-SA"/>
        </w:rPr>
        <w:t>Homeowner Protection Act</w:t>
      </w:r>
      <w:r>
        <w:rPr>
          <w:rFonts w:ascii="arial" w:eastAsia="arial" w:hAnsi="arial" w:cs="arial"/>
          <w:color w:val="000000"/>
          <w:sz w:val="20"/>
          <w:lang w:val="en-US" w:eastAsia="en-US" w:bidi="ar-SA"/>
        </w:rPr>
        <w:t xml:space="preserve"> is unqualified respecting the type of defect falling within its ambit, and must be available for at least two years. It says that it must be assumed that the Legislature intentionally used the words "mandatory" in the title and "at least" in s. 22(2)(a).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The Strata Corporation also points to s. 2 of the </w:t>
      </w:r>
      <w:r>
        <w:rPr>
          <w:rFonts w:ascii="arial" w:eastAsia="arial" w:hAnsi="arial" w:cs="arial"/>
          <w:b/>
          <w:i/>
          <w:color w:val="000000"/>
          <w:sz w:val="20"/>
          <w:lang w:val="en-US" w:eastAsia="en-US" w:bidi="ar-SA"/>
        </w:rPr>
        <w:t>Homeowner Protection Act</w:t>
      </w:r>
      <w:r>
        <w:rPr>
          <w:rFonts w:ascii="arial" w:eastAsia="arial" w:hAnsi="arial" w:cs="arial"/>
          <w:color w:val="000000"/>
          <w:sz w:val="20"/>
          <w:lang w:val="en-US" w:eastAsia="en-US" w:bidi="ar-SA"/>
        </w:rPr>
        <w:t xml:space="preserve">, which states one of the purposes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to be "to strengthen consumer protection for buyers of new homes." The Strata Corporation submits (citing </w:t>
      </w:r>
      <w:r>
        <w:rPr>
          <w:rFonts w:ascii="arial" w:eastAsia="arial" w:hAnsi="arial" w:cs="arial"/>
          <w:b/>
          <w:i/>
          <w:color w:val="000000"/>
          <w:sz w:val="20"/>
          <w:lang w:val="en-US" w:eastAsia="en-US" w:bidi="ar-SA"/>
        </w:rPr>
        <w:t>Seidel v. Telus Communications Inc.</w:t>
      </w:r>
      <w:r>
        <w:rPr>
          <w:rFonts w:ascii="arial" w:eastAsia="arial" w:hAnsi="arial" w:cs="arial"/>
          <w:color w:val="000000"/>
          <w:sz w:val="20"/>
          <w:lang w:val="en-US" w:eastAsia="en-US" w:bidi="ar-SA"/>
        </w:rPr>
        <w:t xml:space="preserve">, </w:t>
      </w:r>
      <w:hyperlink r:id="rId741" w:history="1">
        <w:r>
          <w:rPr>
            <w:rFonts w:ascii="arial" w:eastAsia="arial" w:hAnsi="arial" w:cs="arial"/>
            <w:i/>
            <w:color w:val="0077CC"/>
            <w:sz w:val="20"/>
            <w:u w:val="single"/>
            <w:shd w:val="clear" w:color="auto" w:fill="FFFFFF"/>
            <w:lang w:val="en-US" w:eastAsia="en-US" w:bidi="ar-SA"/>
          </w:rPr>
          <w:t>2011 SCC 15</w:t>
        </w:r>
      </w:hyperlink>
      <w:r>
        <w:rPr>
          <w:rFonts w:ascii="arial" w:eastAsia="arial" w:hAnsi="arial" w:cs="arial"/>
          <w:color w:val="000000"/>
          <w:sz w:val="20"/>
          <w:lang w:val="en-US" w:eastAsia="en-US" w:bidi="ar-SA"/>
        </w:rPr>
        <w:t xml:space="preserve">, at para. 37) that, as consumer protection legislation, the </w:t>
      </w:r>
      <w:r>
        <w:rPr>
          <w:rFonts w:ascii="arial" w:eastAsia="arial" w:hAnsi="arial" w:cs="arial"/>
          <w:b/>
          <w:i/>
          <w:color w:val="000000"/>
          <w:sz w:val="20"/>
          <w:lang w:val="en-US" w:eastAsia="en-US" w:bidi="ar-SA"/>
        </w:rPr>
        <w:t>Homeowner Protection Act</w:t>
      </w:r>
      <w:r>
        <w:rPr>
          <w:rFonts w:ascii="arial" w:eastAsia="arial" w:hAnsi="arial" w:cs="arial"/>
          <w:color w:val="000000"/>
          <w:sz w:val="20"/>
          <w:lang w:val="en-US" w:eastAsia="en-US" w:bidi="ar-SA"/>
        </w:rPr>
        <w:t xml:space="preserve">, and specifically s. 22(2), must be interpreted generously in favour of consumers. The Strata Corporation notes as well that s. 22 is in Part 8 of the </w:t>
      </w:r>
      <w:r>
        <w:rPr>
          <w:rFonts w:ascii="arial" w:eastAsia="arial" w:hAnsi="arial" w:cs="arial"/>
          <w:b/>
          <w:i/>
          <w:color w:val="000000"/>
          <w:sz w:val="20"/>
          <w:lang w:val="en-US" w:eastAsia="en-US" w:bidi="ar-SA"/>
        </w:rPr>
        <w:t>Homeowner Protection Act</w:t>
      </w:r>
      <w:r>
        <w:rPr>
          <w:rFonts w:ascii="arial" w:eastAsia="arial" w:hAnsi="arial" w:cs="arial"/>
          <w:color w:val="000000"/>
          <w:sz w:val="20"/>
          <w:lang w:val="en-US" w:eastAsia="en-US" w:bidi="ar-SA"/>
        </w:rPr>
        <w:t>, which is titled "Consumer Protection for New Home Buyers."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Of course, consumer protection is not the only purpose of the </w:t>
      </w:r>
      <w:r>
        <w:rPr>
          <w:rFonts w:ascii="arial" w:eastAsia="arial" w:hAnsi="arial" w:cs="arial"/>
          <w:b/>
          <w:i/>
          <w:color w:val="000000"/>
          <w:sz w:val="20"/>
          <w:lang w:val="en-US" w:eastAsia="en-US" w:bidi="ar-SA"/>
        </w:rPr>
        <w:t>Homeowner Protection Act</w:t>
      </w:r>
      <w:r>
        <w:rPr>
          <w:rFonts w:ascii="arial" w:eastAsia="arial" w:hAnsi="arial" w:cs="arial"/>
          <w:color w:val="000000"/>
          <w:sz w:val="20"/>
          <w:lang w:val="en-US" w:eastAsia="en-US" w:bidi="ar-SA"/>
        </w:rPr>
        <w:t>, as s. 2 makes 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The Strata Corporation says that s. 1(1) of the Minimum Standards, which stipulates coverage periods of 12, 15 and 24 months depending on the type of defect, cannot be reconciled with the mandatory coverage ("of at least 2 years") described in s. 22(2)(a) of the </w:t>
      </w:r>
      <w:r>
        <w:rPr>
          <w:rFonts w:ascii="arial" w:eastAsia="arial" w:hAnsi="arial" w:cs="arial"/>
          <w:b/>
          <w:i/>
          <w:color w:val="000000"/>
          <w:sz w:val="20"/>
          <w:lang w:val="en-US" w:eastAsia="en-US" w:bidi="ar-SA"/>
        </w:rPr>
        <w:t>Homeowner Protection Act</w:t>
      </w:r>
      <w:r>
        <w:rPr>
          <w:rFonts w:ascii="arial" w:eastAsia="arial" w:hAnsi="arial" w:cs="arial"/>
          <w:color w:val="000000"/>
          <w:sz w:val="20"/>
          <w:lang w:val="en-US" w:eastAsia="en-US" w:bidi="ar-SA"/>
        </w:rPr>
        <w:t xml:space="preserve">. The Strata Corporation says that it is well established that regulations may neither exceed nor be inconsistent with the statutory provisions under which they are made. If they do or are, then the regulations constitute attempts to legislate by adding to or amending the statute, and will be held to be </w:t>
      </w:r>
      <w:r>
        <w:rPr>
          <w:rFonts w:ascii="arial" w:eastAsia="arial" w:hAnsi="arial" w:cs="arial"/>
          <w:i/>
          <w:color w:val="000000"/>
          <w:sz w:val="20"/>
          <w:lang w:val="en-US" w:eastAsia="en-US" w:bidi="ar-SA"/>
        </w:rPr>
        <w:t>ultra vires</w:t>
      </w:r>
      <w:r>
        <w:rPr>
          <w:rFonts w:ascii="arial" w:eastAsia="arial" w:hAnsi="arial" w:cs="arial"/>
          <w:color w:val="000000"/>
          <w:sz w:val="20"/>
          <w:lang w:val="en-US" w:eastAsia="en-US" w:bidi="ar-SA"/>
        </w:rPr>
        <w:t xml:space="preserve">. The Strata Corporation cites </w:t>
      </w:r>
      <w:r>
        <w:rPr>
          <w:rFonts w:ascii="arial" w:eastAsia="arial" w:hAnsi="arial" w:cs="arial"/>
          <w:b/>
          <w:i/>
          <w:color w:val="000000"/>
          <w:sz w:val="20"/>
          <w:lang w:val="en-US" w:eastAsia="en-US" w:bidi="ar-SA"/>
        </w:rPr>
        <w:t>Bay Travel Centre Ltd. v. British Columbia (Registrar of Travel Services)</w:t>
      </w:r>
      <w:r>
        <w:rPr>
          <w:rFonts w:ascii="arial" w:eastAsia="arial" w:hAnsi="arial" w:cs="arial"/>
          <w:color w:val="000000"/>
          <w:sz w:val="20"/>
          <w:lang w:val="en-US" w:eastAsia="en-US" w:bidi="ar-SA"/>
        </w:rPr>
        <w:t xml:space="preserve"> </w:t>
      </w:r>
      <w:hyperlink r:id="rId742" w:history="1">
        <w:r>
          <w:rPr>
            <w:rFonts w:ascii="arial" w:eastAsia="arial" w:hAnsi="arial" w:cs="arial"/>
            <w:i/>
            <w:color w:val="0077CC"/>
            <w:sz w:val="20"/>
            <w:u w:val="single"/>
            <w:shd w:val="clear" w:color="auto" w:fill="FFFFFF"/>
            <w:lang w:val="en-US" w:eastAsia="en-US" w:bidi="ar-SA"/>
          </w:rPr>
          <w:t>(1981), 126 D.L.R. (3d) 685</w:t>
        </w:r>
      </w:hyperlink>
      <w:r>
        <w:rPr>
          <w:rFonts w:ascii="arial" w:eastAsia="arial" w:hAnsi="arial" w:cs="arial"/>
          <w:color w:val="000000"/>
          <w:sz w:val="20"/>
          <w:lang w:val="en-US" w:eastAsia="en-US" w:bidi="ar-SA"/>
        </w:rPr>
        <w:t xml:space="preserve"> (B.C. Co. Ct.), and </w:t>
      </w:r>
      <w:r>
        <w:rPr>
          <w:rFonts w:ascii="arial" w:eastAsia="arial" w:hAnsi="arial" w:cs="arial"/>
          <w:b/>
          <w:i/>
          <w:color w:val="000000"/>
          <w:sz w:val="20"/>
          <w:lang w:val="en-US" w:eastAsia="en-US" w:bidi="ar-SA"/>
        </w:rPr>
        <w:t>Yu et al. v. Attorney General of British Columbia</w:t>
      </w:r>
      <w:r>
        <w:rPr>
          <w:rFonts w:ascii="arial" w:eastAsia="arial" w:hAnsi="arial" w:cs="arial"/>
          <w:color w:val="000000"/>
          <w:sz w:val="20"/>
          <w:lang w:val="en-US" w:eastAsia="en-US" w:bidi="ar-SA"/>
        </w:rPr>
        <w:t xml:space="preserve">, </w:t>
      </w:r>
      <w:hyperlink r:id="rId743" w:history="1">
        <w:r>
          <w:rPr>
            <w:rFonts w:ascii="arial" w:eastAsia="arial" w:hAnsi="arial" w:cs="arial"/>
            <w:i/>
            <w:color w:val="0077CC"/>
            <w:sz w:val="20"/>
            <w:u w:val="single"/>
            <w:shd w:val="clear" w:color="auto" w:fill="FFFFFF"/>
            <w:lang w:val="en-US" w:eastAsia="en-US" w:bidi="ar-SA"/>
          </w:rPr>
          <w:t>2003 BCSC 1869</w:t>
        </w:r>
      </w:hyperlink>
      <w:r>
        <w:rPr>
          <w:rFonts w:ascii="arial" w:eastAsia="arial" w:hAnsi="arial" w:cs="arial"/>
          <w:color w:val="000000"/>
          <w:sz w:val="20"/>
          <w:lang w:val="en-US" w:eastAsia="en-US" w:bidi="ar-SA"/>
        </w:rPr>
        <w:t xml:space="preserve">, at para. 67 in support of its position. The Strata Corporation says that there is nothing in the power to make regulations under either s. 32 of the </w:t>
      </w:r>
      <w:r>
        <w:rPr>
          <w:rFonts w:ascii="arial" w:eastAsia="arial" w:hAnsi="arial" w:cs="arial"/>
          <w:b/>
          <w:i/>
          <w:color w:val="000000"/>
          <w:sz w:val="20"/>
          <w:lang w:val="en-US" w:eastAsia="en-US" w:bidi="ar-SA"/>
        </w:rPr>
        <w:t>Homeowner Protection Act</w:t>
      </w:r>
      <w:r>
        <w:rPr>
          <w:rFonts w:ascii="arial" w:eastAsia="arial" w:hAnsi="arial" w:cs="arial"/>
          <w:color w:val="000000"/>
          <w:sz w:val="20"/>
          <w:lang w:val="en-US" w:eastAsia="en-US" w:bidi="ar-SA"/>
        </w:rPr>
        <w:t xml:space="preserve"> or s. 149 of the </w:t>
      </w:r>
      <w:r>
        <w:rPr>
          <w:rFonts w:ascii="arial" w:eastAsia="arial" w:hAnsi="arial" w:cs="arial"/>
          <w:b/>
          <w:i/>
          <w:color w:val="000000"/>
          <w:sz w:val="20"/>
          <w:lang w:val="en-US" w:eastAsia="en-US" w:bidi="ar-SA"/>
        </w:rPr>
        <w:t>Insurance Act</w:t>
      </w:r>
      <w:r>
        <w:rPr>
          <w:rFonts w:ascii="arial" w:eastAsia="arial" w:hAnsi="arial" w:cs="arial"/>
          <w:color w:val="000000"/>
          <w:sz w:val="20"/>
          <w:lang w:val="en-US" w:eastAsia="en-US" w:bidi="ar-SA"/>
        </w:rPr>
        <w:t xml:space="preserve"> that gives the Lieutenant Governor in Council the power to make regulations to limit or qualify what the Strata Corporation says is the minimum, mandatory coverage of "at least 2 years" provided for in s. 22(2)(a) of the </w:t>
      </w:r>
      <w:r>
        <w:rPr>
          <w:rFonts w:ascii="arial" w:eastAsia="arial" w:hAnsi="arial" w:cs="arial"/>
          <w:b/>
          <w:i/>
          <w:color w:val="000000"/>
          <w:sz w:val="20"/>
          <w:lang w:val="en-US" w:eastAsia="en-US" w:bidi="ar-SA"/>
        </w:rPr>
        <w:t>Homeowner Protection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However, in my opinion, the fatal flaw in the Strata Corporation's argument is that it fails to apply the modern approach to statutory interpretation. Specifically, it fails to do what the Supreme Court of Canada said in </w:t>
      </w:r>
      <w:r>
        <w:rPr>
          <w:rFonts w:ascii="arial" w:eastAsia="arial" w:hAnsi="arial" w:cs="arial"/>
          <w:b/>
          <w:i/>
          <w:color w:val="000000"/>
          <w:sz w:val="20"/>
          <w:lang w:val="en-US" w:eastAsia="en-US" w:bidi="ar-SA"/>
        </w:rPr>
        <w:t>Bell</w:t>
      </w:r>
      <w:r>
        <w:rPr>
          <w:rFonts w:ascii="arial" w:eastAsia="arial" w:hAnsi="arial" w:cs="arial"/>
          <w:color w:val="000000"/>
          <w:sz w:val="20"/>
          <w:lang w:val="en-US" w:eastAsia="en-US" w:bidi="ar-SA"/>
        </w:rPr>
        <w:t xml:space="preserve"> (and elsewhere) must be done, namely, to interpret words of the statute in their context. I will repeat what Iacobucci J. said in </w:t>
      </w:r>
      <w:r>
        <w:rPr>
          <w:rFonts w:ascii="arial" w:eastAsia="arial" w:hAnsi="arial" w:cs="arial"/>
          <w:b/>
          <w:i/>
          <w:color w:val="000000"/>
          <w:sz w:val="20"/>
          <w:lang w:val="en-US" w:eastAsia="en-US" w:bidi="ar-SA"/>
        </w:rPr>
        <w:t>Bell</w:t>
      </w:r>
      <w:r>
        <w:rPr>
          <w:rFonts w:ascii="arial" w:eastAsia="arial" w:hAnsi="arial" w:cs="arial"/>
          <w:color w:val="000000"/>
          <w:sz w:val="20"/>
          <w:lang w:val="en-US" w:eastAsia="en-US" w:bidi="ar-SA"/>
        </w:rPr>
        <w:t>, at para. 27 [</w:t>
      </w:r>
      <w:r>
        <w:rPr>
          <w:rFonts w:ascii="arial" w:eastAsia="arial" w:hAnsi="arial" w:cs="arial"/>
          <w:color w:val="000000"/>
          <w:sz w:val="20"/>
          <w:u w:val="single"/>
          <w:lang w:val="en-US" w:eastAsia="en-US" w:bidi="ar-SA"/>
        </w:rPr>
        <w:t>underlining</w:t>
      </w:r>
      <w:r>
        <w:rPr>
          <w:rFonts w:ascii="arial" w:eastAsia="arial" w:hAnsi="arial" w:cs="arial"/>
          <w:color w:val="000000"/>
          <w:sz w:val="20"/>
          <w:lang w:val="en-US" w:eastAsia="en-US" w:bidi="ar-SA"/>
        </w:rPr>
        <w:t xml:space="preserve"> added]: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the provision under consideration is found in an Act </w:t>
      </w:r>
      <w:r>
        <w:rPr>
          <w:rFonts w:ascii="arial" w:eastAsia="arial" w:hAnsi="arial" w:cs="arial"/>
          <w:color w:val="000000"/>
          <w:sz w:val="20"/>
          <w:u w:val="single"/>
          <w:lang w:val="en-US" w:eastAsia="en-US" w:bidi="ar-SA"/>
        </w:rPr>
        <w:t>that is itself a component of a larger statutory scheme</w:t>
      </w:r>
      <w:r>
        <w:rPr>
          <w:rFonts w:ascii="arial" w:eastAsia="arial" w:hAnsi="arial" w:cs="arial"/>
          <w:color w:val="000000"/>
          <w:sz w:val="20"/>
          <w:lang w:val="en-US" w:eastAsia="en-US" w:bidi="ar-SA"/>
        </w:rPr>
        <w:t xml:space="preserve">, the surroundings that colour the words and the scheme of the Act are more expansive. In such an instance, the application of Driedger's principle gives rise to what was described in </w:t>
      </w:r>
      <w:r>
        <w:rPr>
          <w:rFonts w:ascii="arial" w:eastAsia="arial" w:hAnsi="arial" w:cs="arial"/>
          <w:i/>
          <w:color w:val="000000"/>
          <w:sz w:val="20"/>
          <w:lang w:val="en-US" w:eastAsia="en-US" w:bidi="ar-SA"/>
        </w:rPr>
        <w:t>R. v. Ulybel Enterprises Ltd.</w:t>
      </w:r>
      <w:r>
        <w:rPr>
          <w:rFonts w:ascii="arial" w:eastAsia="arial" w:hAnsi="arial" w:cs="arial"/>
          <w:color w:val="000000"/>
          <w:sz w:val="20"/>
          <w:lang w:val="en-US" w:eastAsia="en-US" w:bidi="ar-SA"/>
        </w:rPr>
        <w:t xml:space="preserve">, </w:t>
      </w:r>
      <w:hyperlink r:id="rId736" w:history="1">
        <w:r>
          <w:rPr>
            <w:rFonts w:ascii="arial" w:eastAsia="arial" w:hAnsi="arial" w:cs="arial"/>
            <w:i/>
            <w:color w:val="0077CC"/>
            <w:sz w:val="20"/>
            <w:u w:val="single"/>
            <w:shd w:val="clear" w:color="auto" w:fill="FFFFFF"/>
            <w:lang w:val="en-US" w:eastAsia="en-US" w:bidi="ar-SA"/>
          </w:rPr>
          <w:t>[2001] 2 S.C.R. 867</w:t>
        </w:r>
      </w:hyperlink>
      <w:r>
        <w:rPr>
          <w:rFonts w:ascii="arial" w:eastAsia="arial" w:hAnsi="arial" w:cs="arial"/>
          <w:color w:val="000000"/>
          <w:sz w:val="20"/>
          <w:lang w:val="en-US" w:eastAsia="en-US" w:bidi="ar-SA"/>
        </w:rPr>
        <w:t xml:space="preserve">, </w:t>
      </w:r>
      <w:hyperlink r:id="rId736" w:history="1">
        <w:r>
          <w:rPr>
            <w:rFonts w:ascii="arial" w:eastAsia="arial" w:hAnsi="arial" w:cs="arial"/>
            <w:i/>
            <w:color w:val="0077CC"/>
            <w:sz w:val="20"/>
            <w:u w:val="single"/>
            <w:shd w:val="clear" w:color="auto" w:fill="FFFFFF"/>
            <w:lang w:val="en-US" w:eastAsia="en-US" w:bidi="ar-SA"/>
          </w:rPr>
          <w:t>2001 SCC 56</w:t>
        </w:r>
      </w:hyperlink>
      <w:r>
        <w:rPr>
          <w:rFonts w:ascii="arial" w:eastAsia="arial" w:hAnsi="arial" w:cs="arial"/>
          <w:color w:val="000000"/>
          <w:sz w:val="20"/>
          <w:lang w:val="en-US" w:eastAsia="en-US" w:bidi="ar-SA"/>
        </w:rPr>
        <w:t>, at para. 52 as "</w:t>
      </w:r>
      <w:r>
        <w:rPr>
          <w:rFonts w:ascii="arial" w:eastAsia="arial" w:hAnsi="arial" w:cs="arial"/>
          <w:color w:val="000000"/>
          <w:sz w:val="20"/>
          <w:u w:val="single"/>
          <w:lang w:val="en-US" w:eastAsia="en-US" w:bidi="ar-SA"/>
        </w:rPr>
        <w:t>the principle of interpretation that presumes a harmony, coherence, and consistency between statutes dealing with the same subject matter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As I noted above, the </w:t>
      </w:r>
      <w:r>
        <w:rPr>
          <w:rFonts w:ascii="arial" w:eastAsia="arial" w:hAnsi="arial" w:cs="arial"/>
          <w:b/>
          <w:i/>
          <w:color w:val="000000"/>
          <w:sz w:val="20"/>
          <w:lang w:val="en-US" w:eastAsia="en-US" w:bidi="ar-SA"/>
        </w:rPr>
        <w:t>Homeowner Protection Act</w:t>
      </w:r>
      <w:r>
        <w:rPr>
          <w:rFonts w:ascii="arial" w:eastAsia="arial" w:hAnsi="arial" w:cs="arial"/>
          <w:color w:val="000000"/>
          <w:sz w:val="20"/>
          <w:lang w:val="en-US" w:eastAsia="en-US" w:bidi="ar-SA"/>
        </w:rPr>
        <w:t xml:space="preserve"> (including s. 22(2)(a)) was enacted at approximately the same time as the consequential amendments that are now found in the </w:t>
      </w:r>
      <w:r>
        <w:rPr>
          <w:rFonts w:ascii="arial" w:eastAsia="arial" w:hAnsi="arial" w:cs="arial"/>
          <w:b/>
          <w:i/>
          <w:color w:val="000000"/>
          <w:sz w:val="20"/>
          <w:lang w:val="en-US" w:eastAsia="en-US" w:bidi="ar-SA"/>
        </w:rPr>
        <w:t>Insurance Act</w:t>
      </w:r>
      <w:r>
        <w:rPr>
          <w:rFonts w:ascii="arial" w:eastAsia="arial" w:hAnsi="arial" w:cs="arial"/>
          <w:color w:val="000000"/>
          <w:sz w:val="20"/>
          <w:lang w:val="en-US" w:eastAsia="en-US" w:bidi="ar-SA"/>
        </w:rPr>
        <w:t xml:space="preserve"> s. 141 and s. 149. It was therefore enacted as part of a single statutory scheme respecting home warranty insurance, which, therefore, is to be interpreted harmoniously.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I agree with the Attorney General that the logic of the Strata Corporation's argument is not merely that s. 1(1) of the Minimum Standards is contrary to s. 22(2)(a) of the </w:t>
      </w:r>
      <w:r>
        <w:rPr>
          <w:rFonts w:ascii="arial" w:eastAsia="arial" w:hAnsi="arial" w:cs="arial"/>
          <w:b/>
          <w:i/>
          <w:color w:val="000000"/>
          <w:sz w:val="20"/>
          <w:lang w:val="en-US" w:eastAsia="en-US" w:bidi="ar-SA"/>
        </w:rPr>
        <w:t>Homeowner Protection Act</w:t>
      </w:r>
      <w:r>
        <w:rPr>
          <w:rFonts w:ascii="arial" w:eastAsia="arial" w:hAnsi="arial" w:cs="arial"/>
          <w:color w:val="000000"/>
          <w:sz w:val="20"/>
          <w:lang w:val="en-US" w:eastAsia="en-US" w:bidi="ar-SA"/>
        </w:rPr>
        <w:t xml:space="preserve">, but that </w:t>
      </w:r>
      <w:r>
        <w:rPr>
          <w:rFonts w:ascii="arial" w:eastAsia="arial" w:hAnsi="arial" w:cs="arial"/>
          <w:color w:val="000000"/>
          <w:sz w:val="20"/>
          <w:u w:val="single"/>
          <w:lang w:val="en-US" w:eastAsia="en-US" w:bidi="ar-SA"/>
        </w:rPr>
        <w:t>any</w:t>
      </w:r>
      <w:r>
        <w:rPr>
          <w:rFonts w:ascii="arial" w:eastAsia="arial" w:hAnsi="arial" w:cs="arial"/>
          <w:color w:val="000000"/>
          <w:sz w:val="20"/>
          <w:lang w:val="en-US" w:eastAsia="en-US" w:bidi="ar-SA"/>
        </w:rPr>
        <w:t xml:space="preserve"> exclusions of coverage, waiver, limitations of coverage or qualifications under home warranty insurance during the first two years must be inconsistent with s. 22(2)(a). Therefore, the Strata Corporation asserts a fundamental conflict between sections 141 and 149 of the </w:t>
      </w:r>
      <w:r>
        <w:rPr>
          <w:rFonts w:ascii="arial" w:eastAsia="arial" w:hAnsi="arial" w:cs="arial"/>
          <w:b/>
          <w:i/>
          <w:color w:val="000000"/>
          <w:sz w:val="20"/>
          <w:lang w:val="en-US" w:eastAsia="en-US" w:bidi="ar-SA"/>
        </w:rPr>
        <w:t>Insurance Act</w:t>
      </w:r>
      <w:r>
        <w:rPr>
          <w:rFonts w:ascii="arial" w:eastAsia="arial" w:hAnsi="arial" w:cs="arial"/>
          <w:color w:val="000000"/>
          <w:sz w:val="20"/>
          <w:lang w:val="en-US" w:eastAsia="en-US" w:bidi="ar-SA"/>
        </w:rPr>
        <w:t xml:space="preserve">, and s. 22(2)(a) of the </w:t>
      </w:r>
      <w:r>
        <w:rPr>
          <w:rFonts w:ascii="arial" w:eastAsia="arial" w:hAnsi="arial" w:cs="arial"/>
          <w:b/>
          <w:i/>
          <w:color w:val="000000"/>
          <w:sz w:val="20"/>
          <w:lang w:val="en-US" w:eastAsia="en-US" w:bidi="ar-SA"/>
        </w:rPr>
        <w:t>Homeowner Protection Act</w:t>
      </w:r>
      <w:r>
        <w:rPr>
          <w:rFonts w:ascii="arial" w:eastAsia="arial" w:hAnsi="arial" w:cs="arial"/>
          <w:color w:val="000000"/>
          <w:sz w:val="20"/>
          <w:lang w:val="en-US" w:eastAsia="en-US" w:bidi="ar-SA"/>
        </w:rPr>
        <w:t xml:space="preserve">. I agree with both the Attorney General and Travelers that this cannot be right. If, as the Strata Corporation asserts, minimum mandatory standards have </w:t>
      </w:r>
      <w:r>
        <w:rPr>
          <w:rFonts w:ascii="arial" w:eastAsia="arial" w:hAnsi="arial" w:cs="arial"/>
          <w:color w:val="000000"/>
          <w:sz w:val="20"/>
          <w:u w:val="single"/>
          <w:lang w:val="en-US" w:eastAsia="en-US" w:bidi="ar-SA"/>
        </w:rPr>
        <w:t>already</w:t>
      </w:r>
      <w:r>
        <w:rPr>
          <w:rFonts w:ascii="arial" w:eastAsia="arial" w:hAnsi="arial" w:cs="arial"/>
          <w:color w:val="000000"/>
          <w:sz w:val="20"/>
          <w:lang w:val="en-US" w:eastAsia="en-US" w:bidi="ar-SA"/>
        </w:rPr>
        <w:t xml:space="preserve"> been set in s. 22(2) of the </w:t>
      </w:r>
      <w:r>
        <w:rPr>
          <w:rFonts w:ascii="arial" w:eastAsia="arial" w:hAnsi="arial" w:cs="arial"/>
          <w:b/>
          <w:i/>
          <w:color w:val="000000"/>
          <w:sz w:val="20"/>
          <w:lang w:val="en-US" w:eastAsia="en-US" w:bidi="ar-SA"/>
        </w:rPr>
        <w:t>Homeowner Protection Act</w:t>
      </w:r>
      <w:r>
        <w:rPr>
          <w:rFonts w:ascii="arial" w:eastAsia="arial" w:hAnsi="arial" w:cs="arial"/>
          <w:color w:val="000000"/>
          <w:sz w:val="20"/>
          <w:lang w:val="en-US" w:eastAsia="en-US" w:bidi="ar-SA"/>
        </w:rPr>
        <w:t xml:space="preserve">, sections 141(3) and 149(3)(b) of the </w:t>
      </w:r>
      <w:r>
        <w:rPr>
          <w:rFonts w:ascii="arial" w:eastAsia="arial" w:hAnsi="arial" w:cs="arial"/>
          <w:b/>
          <w:i/>
          <w:color w:val="000000"/>
          <w:sz w:val="20"/>
          <w:lang w:val="en-US" w:eastAsia="en-US" w:bidi="ar-SA"/>
        </w:rPr>
        <w:t>Insurance Act</w:t>
      </w:r>
      <w:r>
        <w:rPr>
          <w:rFonts w:ascii="arial" w:eastAsia="arial" w:hAnsi="arial" w:cs="arial"/>
          <w:color w:val="000000"/>
          <w:sz w:val="20"/>
          <w:lang w:val="en-US" w:eastAsia="en-US" w:bidi="ar-SA"/>
        </w:rPr>
        <w:t xml:space="preserve"> appear to be altogether superfluous. But this cannot be right either. In my view, there is no way to reconcile s. 141(3) of the </w:t>
      </w:r>
      <w:r>
        <w:rPr>
          <w:rFonts w:ascii="arial" w:eastAsia="arial" w:hAnsi="arial" w:cs="arial"/>
          <w:b/>
          <w:i/>
          <w:color w:val="000000"/>
          <w:sz w:val="20"/>
          <w:lang w:val="en-US" w:eastAsia="en-US" w:bidi="ar-SA"/>
        </w:rPr>
        <w:t>Insurance Act</w:t>
      </w:r>
      <w:r>
        <w:rPr>
          <w:rFonts w:ascii="arial" w:eastAsia="arial" w:hAnsi="arial" w:cs="arial"/>
          <w:color w:val="000000"/>
          <w:sz w:val="20"/>
          <w:lang w:val="en-US" w:eastAsia="en-US" w:bidi="ar-SA"/>
        </w:rPr>
        <w:t xml:space="preserve"> with the interpretation of s. 22(2) of the </w:t>
      </w:r>
      <w:r>
        <w:rPr>
          <w:rFonts w:ascii="arial" w:eastAsia="arial" w:hAnsi="arial" w:cs="arial"/>
          <w:b/>
          <w:i/>
          <w:color w:val="000000"/>
          <w:sz w:val="20"/>
          <w:lang w:val="en-US" w:eastAsia="en-US" w:bidi="ar-SA"/>
        </w:rPr>
        <w:t>Homeowner Protection Act</w:t>
      </w:r>
      <w:r>
        <w:rPr>
          <w:rFonts w:ascii="arial" w:eastAsia="arial" w:hAnsi="arial" w:cs="arial"/>
          <w:color w:val="000000"/>
          <w:sz w:val="20"/>
          <w:lang w:val="en-US" w:eastAsia="en-US" w:bidi="ar-SA"/>
        </w:rPr>
        <w:t xml:space="preserve"> advanced by the Strata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When the modern approach to statutory interpretation is applied, s. 22(2) of the </w:t>
      </w:r>
      <w:r>
        <w:rPr>
          <w:rFonts w:ascii="arial" w:eastAsia="arial" w:hAnsi="arial" w:cs="arial"/>
          <w:b/>
          <w:i/>
          <w:color w:val="000000"/>
          <w:sz w:val="20"/>
          <w:lang w:val="en-US" w:eastAsia="en-US" w:bidi="ar-SA"/>
        </w:rPr>
        <w:t>Homeowner Protection Act</w:t>
      </w:r>
      <w:r>
        <w:rPr>
          <w:rFonts w:ascii="arial" w:eastAsia="arial" w:hAnsi="arial" w:cs="arial"/>
          <w:color w:val="000000"/>
          <w:sz w:val="20"/>
          <w:lang w:val="en-US" w:eastAsia="en-US" w:bidi="ar-SA"/>
        </w:rPr>
        <w:t xml:space="preserve"> cannot be read on its own and the relevant provisions of the </w:t>
      </w:r>
      <w:r>
        <w:rPr>
          <w:rFonts w:ascii="arial" w:eastAsia="arial" w:hAnsi="arial" w:cs="arial"/>
          <w:b/>
          <w:i/>
          <w:color w:val="000000"/>
          <w:sz w:val="20"/>
          <w:lang w:val="en-US" w:eastAsia="en-US" w:bidi="ar-SA"/>
        </w:rPr>
        <w:t>Insurance Act</w:t>
      </w:r>
      <w:r>
        <w:rPr>
          <w:rFonts w:ascii="arial" w:eastAsia="arial" w:hAnsi="arial" w:cs="arial"/>
          <w:color w:val="000000"/>
          <w:sz w:val="20"/>
          <w:lang w:val="en-US" w:eastAsia="en-US" w:bidi="ar-SA"/>
        </w:rPr>
        <w:t xml:space="preserve"> ignored. Rather, s. 22(2) of the </w:t>
      </w:r>
      <w:r>
        <w:rPr>
          <w:rFonts w:ascii="arial" w:eastAsia="arial" w:hAnsi="arial" w:cs="arial"/>
          <w:b/>
          <w:i/>
          <w:color w:val="000000"/>
          <w:sz w:val="20"/>
          <w:lang w:val="en-US" w:eastAsia="en-US" w:bidi="ar-SA"/>
        </w:rPr>
        <w:t>Homeowner Protection Act</w:t>
      </w:r>
      <w:r>
        <w:rPr>
          <w:rFonts w:ascii="arial" w:eastAsia="arial" w:hAnsi="arial" w:cs="arial"/>
          <w:color w:val="000000"/>
          <w:sz w:val="20"/>
          <w:lang w:val="en-US" w:eastAsia="en-US" w:bidi="ar-SA"/>
        </w:rPr>
        <w:t xml:space="preserve"> must be read together with, and in the context of, the other statutory provisions enacted at the same time dealing with the same topic. These are found in the </w:t>
      </w:r>
      <w:r>
        <w:rPr>
          <w:rFonts w:ascii="arial" w:eastAsia="arial" w:hAnsi="arial" w:cs="arial"/>
          <w:b/>
          <w:i/>
          <w:color w:val="000000"/>
          <w:sz w:val="20"/>
          <w:lang w:val="en-US" w:eastAsia="en-US" w:bidi="ar-SA"/>
        </w:rPr>
        <w:t>Insurance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I agree with the Attorney General that the interpretation of s. 22(2)(a) of the </w:t>
      </w:r>
      <w:r>
        <w:rPr>
          <w:rFonts w:ascii="arial" w:eastAsia="arial" w:hAnsi="arial" w:cs="arial"/>
          <w:b/>
          <w:i/>
          <w:color w:val="000000"/>
          <w:sz w:val="20"/>
          <w:lang w:val="en-US" w:eastAsia="en-US" w:bidi="ar-SA"/>
        </w:rPr>
        <w:t>Homeowner Protection Act</w:t>
      </w:r>
      <w:r>
        <w:rPr>
          <w:rFonts w:ascii="arial" w:eastAsia="arial" w:hAnsi="arial" w:cs="arial"/>
          <w:color w:val="000000"/>
          <w:sz w:val="20"/>
          <w:lang w:val="en-US" w:eastAsia="en-US" w:bidi="ar-SA"/>
        </w:rPr>
        <w:t xml:space="preserve"> advanced by the Strata Corporation contradicts the statutory context of the provision, which was enacted by the very same legislature that gave the Lieutenant Governor in Council the power, through the </w:t>
      </w:r>
      <w:r>
        <w:rPr>
          <w:rFonts w:ascii="arial" w:eastAsia="arial" w:hAnsi="arial" w:cs="arial"/>
          <w:b/>
          <w:i/>
          <w:color w:val="000000"/>
          <w:sz w:val="20"/>
          <w:lang w:val="en-US" w:eastAsia="en-US" w:bidi="ar-SA"/>
        </w:rPr>
        <w:t>Insurance Act</w:t>
      </w:r>
      <w:r>
        <w:rPr>
          <w:rFonts w:ascii="arial" w:eastAsia="arial" w:hAnsi="arial" w:cs="arial"/>
          <w:color w:val="000000"/>
          <w:sz w:val="20"/>
          <w:lang w:val="en-US" w:eastAsia="en-US" w:bidi="ar-SA"/>
        </w:rPr>
        <w:t xml:space="preserve">, to set the minimum content standards (in the Minimum Standards) for home warranty coverage and to permit exclusions and qualifications. In my view, an interpretation of s. 22(2)(a) of the </w:t>
      </w:r>
      <w:r>
        <w:rPr>
          <w:rFonts w:ascii="arial" w:eastAsia="arial" w:hAnsi="arial" w:cs="arial"/>
          <w:b/>
          <w:i/>
          <w:color w:val="000000"/>
          <w:sz w:val="20"/>
          <w:lang w:val="en-US" w:eastAsia="en-US" w:bidi="ar-SA"/>
        </w:rPr>
        <w:t>Homeowner Protection Act</w:t>
      </w:r>
      <w:r>
        <w:rPr>
          <w:rFonts w:ascii="arial" w:eastAsia="arial" w:hAnsi="arial" w:cs="arial"/>
          <w:color w:val="000000"/>
          <w:sz w:val="20"/>
          <w:lang w:val="en-US" w:eastAsia="en-US" w:bidi="ar-SA"/>
        </w:rPr>
        <w:t xml:space="preserve"> that fails to take into account this context, as the Strata Corporation's interpretation does, must be rejected.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Accordingly, in my opinion, the Minimum Standards, properly construed, and applying the modern approach to statutory interpretation, do not "purport to amend" s. 22(2) of the </w:t>
      </w:r>
      <w:r>
        <w:rPr>
          <w:rFonts w:ascii="arial" w:eastAsia="arial" w:hAnsi="arial" w:cs="arial"/>
          <w:b/>
          <w:i/>
          <w:color w:val="000000"/>
          <w:sz w:val="20"/>
          <w:lang w:val="en-US" w:eastAsia="en-US" w:bidi="ar-SA"/>
        </w:rPr>
        <w:t>Homeowner Protection Act</w:t>
      </w:r>
      <w:r>
        <w:rPr>
          <w:rFonts w:ascii="arial" w:eastAsia="arial" w:hAnsi="arial" w:cs="arial"/>
          <w:color w:val="000000"/>
          <w:sz w:val="20"/>
          <w:lang w:val="en-US" w:eastAsia="en-US" w:bidi="ar-SA"/>
        </w:rPr>
        <w:t xml:space="preserve">. There is no inconsistency between the Minimum Standards and the relevant statutes, and the Minimum Standards are not </w:t>
      </w:r>
      <w:r>
        <w:rPr>
          <w:rFonts w:ascii="arial" w:eastAsia="arial" w:hAnsi="arial" w:cs="arial"/>
          <w:i/>
          <w:color w:val="000000"/>
          <w:sz w:val="20"/>
          <w:lang w:val="en-US" w:eastAsia="en-US" w:bidi="ar-SA"/>
        </w:rPr>
        <w:t>ultra vires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5. Summary and 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In summary:</w:t>
      </w:r>
      <w:r>
        <w:rPr>
          <w:rFonts w:ascii="arial" w:eastAsia="arial" w:hAnsi="arial" w:cs="arial"/>
          <w:sz w:val="20"/>
          <w:lang w:val="en-US" w:eastAsia="en-US" w:bidi="ar-SA"/>
        </w:rPr>
        <w:cr/>
      </w:r>
    </w:p>
    <w:p>
      <w:pPr>
        <w:numPr>
          <w:numId w:val="1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grant a declaration that the Strata Corporation's claim concerning the Sprinkler System falls within the 2 year materials and labour warranty for defects in the plumbing delivery and distribution system. In the light of that declaration, it is unnecessary for me to address the Strata Corporation's alternative claim for relief from forfeiture;</w:t>
      </w:r>
    </w:p>
    <w:p>
      <w:pPr>
        <w:numPr>
          <w:numId w:val="1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 respect to the Constitutional Question, my answer is that the Minimum Standards of Coverage set out in Schedule 3 of the </w:t>
      </w:r>
      <w:r>
        <w:rPr>
          <w:rFonts w:ascii="arial" w:eastAsia="arial" w:hAnsi="arial" w:cs="arial"/>
          <w:b/>
          <w:i/>
          <w:color w:val="000000"/>
          <w:sz w:val="20"/>
          <w:lang w:val="en-US" w:eastAsia="en-US" w:bidi="ar-SA"/>
        </w:rPr>
        <w:t>HPA Regulation</w:t>
      </w:r>
      <w:r>
        <w:rPr>
          <w:rFonts w:ascii="arial" w:eastAsia="arial" w:hAnsi="arial" w:cs="arial"/>
          <w:color w:val="000000"/>
          <w:sz w:val="20"/>
          <w:lang w:val="en-US" w:eastAsia="en-US" w:bidi="ar-SA"/>
        </w:rPr>
        <w:t xml:space="preserve"> do not purport to amend s. 22(2) of the </w:t>
      </w:r>
      <w:r>
        <w:rPr>
          <w:rFonts w:ascii="arial" w:eastAsia="arial" w:hAnsi="arial" w:cs="arial"/>
          <w:b/>
          <w:i/>
          <w:color w:val="000000"/>
          <w:sz w:val="20"/>
          <w:lang w:val="en-US" w:eastAsia="en-US" w:bidi="ar-SA"/>
        </w:rPr>
        <w:t>Homeowner Protection Act</w:t>
      </w:r>
      <w:r>
        <w:rPr>
          <w:rFonts w:ascii="arial" w:eastAsia="arial" w:hAnsi="arial" w:cs="arial"/>
          <w:color w:val="000000"/>
          <w:sz w:val="20"/>
          <w:lang w:val="en-US" w:eastAsia="en-US" w:bidi="ar-SA"/>
        </w:rPr>
        <w:t xml:space="preserve">, and the Minimum Standards are not </w:t>
      </w:r>
      <w:r>
        <w:rPr>
          <w:rFonts w:ascii="arial" w:eastAsia="arial" w:hAnsi="arial" w:cs="arial"/>
          <w:i/>
          <w:color w:val="000000"/>
          <w:sz w:val="20"/>
          <w:lang w:val="en-US" w:eastAsia="en-US" w:bidi="ar-SA"/>
        </w:rPr>
        <w:t>ultra vires</w:t>
      </w:r>
      <w:r>
        <w:rPr>
          <w:rFonts w:ascii="arial" w:eastAsia="arial" w:hAnsi="arial" w:cs="arial"/>
          <w:color w:val="000000"/>
          <w:sz w:val="20"/>
          <w:lang w:val="en-US" w:eastAsia="en-US" w:bidi="ar-SA"/>
        </w:rPr>
        <w:t>;</w:t>
      </w:r>
    </w:p>
    <w:p>
      <w:pPr>
        <w:numPr>
          <w:numId w:val="1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balance of the Strata Corporation's summary trial application is dismissed, as I am unable to find the facts necessary to decide the issues based on the evidentiary record, and, in my opinion, it would be unjust to decide those issues on this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In view of the divided success, and unless the parties wish to make submissions concerning costs, I make no order with respect to costs of this summary trial. If the parties wish to make submissions concerning costs, counsel must contact Scheduling within 30 days of these Reasons to arrange for a hearing date convenient to the parties and their counsel, and to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E.J. ADAIR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5" style="position:absolute;z-index:2517954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44"/>
          <w:headerReference w:type="default" r:id="rId745"/>
          <w:footerReference w:type="even" r:id="rId746"/>
          <w:footerReference w:type="default" r:id="rId747"/>
          <w:headerReference w:type="first" r:id="rId748"/>
          <w:footerReference w:type="first" r:id="rId74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50" w:history="1">
        <w:r>
          <w:rPr>
            <w:rFonts w:ascii="arial" w:eastAsia="arial" w:hAnsi="arial" w:cs="arial"/>
            <w:b/>
            <w:bCs/>
            <w:i/>
            <w:color w:val="0077CC"/>
            <w:kern w:val="32"/>
            <w:sz w:val="28"/>
            <w:szCs w:val="32"/>
            <w:u w:val="single"/>
            <w:shd w:val="clear" w:color="auto" w:fill="FFFFFF"/>
            <w:lang w:val="en-US" w:eastAsia="en-US" w:bidi="ar-SA"/>
          </w:rPr>
          <w:t>Swiss Reinsurance Co. v. Camarin Ltd., [2013] B.C.J. No. 1295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G.D. Burnyeat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15,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18,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S023476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1295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751" w:history="1">
        <w:r>
          <w:rPr>
            <w:rFonts w:ascii="arial" w:eastAsia="arial" w:hAnsi="arial" w:cs="arial"/>
            <w:i/>
            <w:color w:val="0077CC"/>
            <w:sz w:val="20"/>
            <w:u w:val="single"/>
            <w:shd w:val="clear" w:color="auto" w:fill="FFFFFF"/>
            <w:lang w:val="en-US" w:eastAsia="en-US" w:bidi="ar-SA"/>
          </w:rPr>
          <w:t>2013 BCSC 1066</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751" w:history="1">
        <w:r>
          <w:rPr>
            <w:rFonts w:ascii="arial" w:eastAsia="arial" w:hAnsi="arial" w:cs="arial"/>
            <w:i/>
            <w:color w:val="0077CC"/>
            <w:sz w:val="20"/>
            <w:u w:val="single"/>
            <w:shd w:val="clear" w:color="auto" w:fill="FFFFFF"/>
            <w:lang w:val="en-US" w:eastAsia="en-US" w:bidi="ar-SA"/>
          </w:rPr>
          <w:t>229 A.C.W.S. (3d) 359</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751" w:history="1">
        <w:r>
          <w:rPr>
            <w:rFonts w:ascii="arial" w:eastAsia="arial" w:hAnsi="arial" w:cs="arial"/>
            <w:i/>
            <w:color w:val="0077CC"/>
            <w:sz w:val="20"/>
            <w:u w:val="single"/>
            <w:shd w:val="clear" w:color="auto" w:fill="FFFFFF"/>
            <w:lang w:val="en-US" w:eastAsia="en-US" w:bidi="ar-SA"/>
          </w:rPr>
          <w:t>23 C.C.L.I. (5th) 266</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751" w:history="1">
        <w:r>
          <w:rPr>
            <w:rFonts w:ascii="arial" w:eastAsia="arial" w:hAnsi="arial" w:cs="arial"/>
            <w:i/>
            <w:color w:val="0077CC"/>
            <w:sz w:val="20"/>
            <w:u w:val="single"/>
            <w:shd w:val="clear" w:color="auto" w:fill="FFFFFF"/>
            <w:lang w:val="en-US" w:eastAsia="en-US" w:bidi="ar-SA"/>
          </w:rPr>
          <w:t>[2013] I.L.R. I-5453</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751" w:history="1">
        <w:r>
          <w:rPr>
            <w:rFonts w:ascii="arial" w:eastAsia="arial" w:hAnsi="arial" w:cs="arial"/>
            <w:i/>
            <w:color w:val="0077CC"/>
            <w:sz w:val="20"/>
            <w:u w:val="single"/>
            <w:shd w:val="clear" w:color="auto" w:fill="FFFFFF"/>
            <w:lang w:val="en-US" w:eastAsia="en-US" w:bidi="ar-SA"/>
          </w:rPr>
          <w:t>2013 CarswellBC 1812</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Swiss Reinsurance Company, Plaintiff, and Camarin Limited and Weyerhaeuser Company Limited, (formerly operating as MacMillan Bloedel Limited), Defendants, and AON Reed Stenhouse Inc., AON Limited, AON Global Risk Consultants Limited, and Alexander Howden Limited,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(79 paras.)</w:t>
      </w:r>
    </w:p>
    <w:p>
      <w:pPr>
        <w:jc w:val="both"/>
        <w:rPr>
          <w:rFonts w:ascii="arial" w:eastAsia="arial" w:hAnsi="arial" w:cs="arial"/>
          <w:sz w:val="20"/>
          <w:lang w:val="en-US" w:eastAsia="en-US" w:bidi="ar-SA"/>
        </w:rPr>
      </w:pPr>
      <w:bookmarkStart w:id="176" w:name="Counsel_34"/>
      <w:bookmarkEnd w:id="17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6" style="position:absolute;z-index:2516940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 Kuroyama.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Camarin Limited: M.P. Theroux and L. Gill.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Parties: S.A. Dawson and G.K. Macintosh Q.C.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7" w:name="Judgment_34"/>
      <w:bookmarkEnd w:id="177"/>
      <w:r>
        <w:pict>
          <v:line id="_x0000_s1157" style="position:absolute;z-index:25174528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from Chambers</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78" w:name="G.D. BURNYEAT J."/>
            <w:bookmarkEnd w:id="178"/>
            <w:r>
              <w:rPr>
                <w:rFonts w:ascii="arial" w:eastAsia="arial" w:hAnsi="arial" w:cs="arial"/>
                <w:b/>
                <w:color w:val="000000"/>
                <w:sz w:val="30"/>
                <w:lang w:val="en-US" w:eastAsia="en-US" w:bidi="ar-SA"/>
              </w:rPr>
              <w:t>G.D. BURNYEAT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application deals with the questions of what costs should be available to the parties, of whether an award of Special Costs is warranted, and of whether the prejudgment interest on the judgment obtained against Swiss Reinsurance Company ("Swiss Re") should be calculated using simple interest or compound interest. These issues arise out of Reasons for Judgment, </w:t>
      </w:r>
      <w:hyperlink r:id="rId752" w:history="1">
        <w:r>
          <w:rPr>
            <w:rFonts w:ascii="arial" w:eastAsia="arial" w:hAnsi="arial" w:cs="arial"/>
            <w:i/>
            <w:color w:val="0077CC"/>
            <w:sz w:val="20"/>
            <w:u w:val="single"/>
            <w:shd w:val="clear" w:color="auto" w:fill="FFFFFF"/>
            <w:lang w:val="en-US" w:eastAsia="en-US" w:bidi="ar-SA"/>
          </w:rPr>
          <w:t>2012 BCSC 1006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Camarin Limited ("Camarin") seeks Special Costs against Swiss Re for all steps taken by it from the commencement of the proceeding until the date when Swiss Re is said to have resiled from its allegation of "fraud" against Camarin upon the March 6, 2008 filing of the Second Further Amended Statement of Claim by Swiss Re; party and party costs for all steps taken between March 7 and March 17, 2008, and double costs for all steps taken after March 19, 2008. Camarin also seeks an order that it be entitled to monthly compound interest on the damages assessed against Swiss Re with that interest being payable from and after November 18,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Swiss Re submits that Special Costs and double costs should not be available to Camarin, that Camarin should be limited to Party and Party (Scale C) costs, and that Camarin should only be entitled to simple interest on the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Camarin also seeks costs on a Party and Party (Scale C) basis against the Third Parties, AON Reed Stenhouse Inc., AON Limited, AON Global Risk Consultants Limited and Alexander Howden Limited (collectively "AON") and seeks an order that it is entitled to damages from AON for the additional or incremental litigation costs incurred by Camarin in pursuing its claim against Swiss 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AON submits that there should be an order that Camarin pay the costs of AON relating to the Third Party Claim or, in the alternative, an order that each party should pay its own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Swiss Re is a reinsurance company. MacMillan Bloedel Limited ("MBL"), which amalgamated with Weyerhaeuser Company Limited ("WCL") in 1999 had a casualty insurance program in place. The underlying policies were casualty policies covering resulting damage from products manufactured by MBL and its related entities.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Camarin was incorporated by MBL and was used by MBL as a reinsurer of part of its casualty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AON and its predecessors and worldwide affiliates acted as insurance brokers for MBL and its affiliates and subsidiaries, including Camarin.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MBL structured an insurance program whereby MBL received liability coverage from AIG. Camarin provided reinsurance coverage to AIG for a portion of that insurance. In turn, Swiss Re reinsured Camarin. Coverage relating to any warranties that have been provided relating to MBL products was not covered by this insurance and reinsurance.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insurance coverage in place can be summarized as follows:</w:t>
      </w:r>
      <w:r>
        <w:rPr>
          <w:rFonts w:ascii="arial" w:eastAsia="arial" w:hAnsi="arial" w:cs="arial"/>
          <w:sz w:val="20"/>
          <w:lang w:val="en-US" w:eastAsia="en-US" w:bidi="ar-SA"/>
        </w:rPr>
        <w:cr/>
      </w:r>
    </w:p>
    <w:p>
      <w:pPr>
        <w:numPr>
          <w:numId w:val="1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AIG primary liability policies provided $2,000,000 coverage in 1993 ($1,000,000 reinsured by Camarin) and $5,000,000 thereafter ("AIG Primary Policies").</w:t>
      </w:r>
    </w:p>
    <w:p>
      <w:pPr>
        <w:numPr>
          <w:numId w:val="1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Above the AIG Primary Policies was the "umbrella layer" of excess liability policies. AIG excess liability policies provided coverage in excess of $5,000,000 with a $23,000,000 limit in 1992 and 1993 and a $20,000,000 limit in 1995-1998 ("AIG Excess Policies"). Of the excess amounts: 50% was reinsured by Camarin; and 100% of that was then reinsured by Swiss Re in 1993 and 1995-1998.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1992 Swiss Reinsurance Policy contained a "Follow the Settlements Clause" which would require Swiss Re to be bound by any settlements reached by Camarin arising out of litigation relating to the underlying policies. Notwithstanding that AON was instructed by MBL and Camarin to renew the 1993 Swiss Re Policy "as is" including the "Follow the Settlements Clause", AON failed to include the "Follow the Settlements Clause" in the Swiss Re Policies issued for 1993 and the subsequent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American Cemwood ("Cemwood") of Oregon manufactured concrete/fibre roofing tiles and was acquired by a subsidiary of MBL in 1993. After the acquisition of Cemwood by MBL, numerous internal documents of MBL and Cemwood dated between 1993 and 1997 discussed problems that were being experienced with the roofing tiles manufactured by Cemwood ("Cemwood Tiles"). The problems associated with the Cemwood Tiles ranged from minor breakage and cracking to major product degradation. There were also "quality control and product quality problems" associated with the manufacture of the Cemwood Tiles. Expert opinion concluded that unexpected chemical leaching from the tiles and faulty manufacture caused damage to felt underlayment and, in turn, the material that was below the underlayment.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Anistics Ltd. ("Anistics") is a subsidiary of AON. MBL retained Anistics to produce a September 6, 1996 report on the potential liabilities associated with the warranties that had been provided relating to the Cemwood Tiles ("Anistics Report"). The Anistics Report disclosed numerous warranty claims and estimated that these claims might exceed $25,000,000.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an attempt to obtain coverage for warranty liability associated with the Cemwood Tiles, AON forwarded the Anistics Report to various insurers including Swiss Re. Swiss Re reviewed and considered the Anistics Report but declined to provide coverage for warranty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From July 1994 to December 1997, a number of lawsuits were commenced throughout the United States for damages arising from the installation and resulting failure of the Cemwood Tiles. On July 21, 1998, a class action was commenced against MBL and Cemwood by a number of homeowners for the sale of defective Cemwood Tiles ("Richison Class Action"). Swiss Re was put on notice regarding the Richison Class Action in September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1999, MBL and Cemwood commenced a coverage action in California claiming indemnity under the AIG Primary Policies and AIG Excess Policies ("California Coverage Action"). AIG filed a coverage action in British Columbia, naming MBL and Cemwood as defendants and claiming that it was not liable to indemnify MBL and Cemwood for claims arising from the Cemwood Tiles and that the Swiss Re Policies were void ("B.C. Coverage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May 2000, the judge in the Richison Class Action approved a "Phase 1 Settlement" whereby the class plaintiffs agreed to release MBL in consideration for the payment of $65,000,000 (U.S. funds) and a guarantee of an additional $40,000,000 (U.S. funds) if the class did not recover that amount from the insurers. Under the settlement, MBL was entitled to share in any insurance recovery in excess of $40,000,000 (U.S. funds). Approximately $60,000,000 (U.S. funds) of the Phase 1 Settlement was paid under the AIG Excess Policies. After the settlement, the Richison Class Action continued against Cemwood.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the Summer of 2003, the parties in the Richison Class Action reached a final settlement of all claims. Under the terms of that settlement:</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AIG agreed to pay $70,000,000 (U.S. funds) to the class plaintiffs with that amount allocated evenly among the 1993-1998 policy years. Approximately $60,000,000 (U.S. funds) of that amount was paid under the AIG Excess Policies with the balance paid under the AIG Primary Policies. Another excess insurer, XL Insurance (Bermuda) Limited ("XL Insurance"), paid the plaintiff class $13,000,000 to settle any claims that could be asserted by Cemwood with respect to the tiles.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MBL settled the California and British Columbia Coverage Actions with both AIG and XL Insurance. Under that settlement, AIG agreed to pay a total of $70,000,000 (U.S. funds). The other excess insurer agreed to pay $7,000,000, plus two further payments of $3,000,000 each. The plaintiff class agreed to pay Weyerhaeuser U.S.A. a total of $28,000,000 (U.S. funds) to repay the advances that had been made under the guarantee.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June 20, 2002, Swiss Re filed a Statement of Claim against Camarin and WCL seeking a declaration that the Swiss Re Policies were void and seeking damages against Camarin and WCL. The basis for the Claim of Swiss Re was that Camarin and WCL made misrepresentations to Swiss Re regarding the potential exposure relating to the failure of the Cemwood Tiles when the Swiss Re Policies were placed. One of the misrepresentations alleged by Swiss Re was that Camarin failed to provide the Anistics Report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By its November 14, 2003 Statement of Defence, Camarin denied that it failed to disclose any facts or material risks to Swiss Re or that it misrepresented any facts material to those risks.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Camarin counterclaimed against Swiss Re claiming that the Swiss Re Policies were valid and enforceable and seeking a declaration that Swiss Re was obligated to indemnify Camarin for all amounts that Camarin was liable to pay in respect of its liability under reinsurance policies.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its December 29, 2003 Defence to the Counterclaim of Camarin, Swiss Re repeated the allegation that, as a result of Camarin's alleged breaches and misrepresentations, the Swiss Re Policies were void and that Camarin was estopped from making any claim under the Swiss Re Policies.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June 11, 2004, Swiss Re filed an Amended Statement of Claim. The allegations that Camarin knowingly, recklessly or negligently made statements it knew to be false or without belief in their truth were repeated. Swiss Re added further allegations respecting the alleged misrepresentations by Camarin and WCL, including that they knew and intended or, alternatively, should have known that the representations would mislead Swiss 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November 5, 2004, Camarin issued a Third Party Notice to AON claiming that, if Swiss Re was successful in its claim against Camarin in whole or in part, then Camarin should be entitled to damages, contribution and indemnity from AON due to the breaches of duty in tort or to the breaches of contract of AON. Further, Camarin pleaded that it was entitled to damages for the breaches of duty of AON in failing to include the "Follow the Settlements Clause" in the Policies.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March 8, 2008, Swiss Re filed a Second Further Amended Statement of Claim that removed all of its prior allegations that the defendants had "knowingly" made the alleged misrepresentations. Instead, Swiss Re claimed that the misrepresentations were innocent or negligent. Swiss Re maintained its allegation that it was not provided with information about the problems associated with the Cemwood Tiles, including the Anistics Report. It is up to March 8, 2008 that Camarin seeks Special Costs against Swiss Re as it is only at this point that Camarin submits that the allegations of fraudulent misrepresentations were abandoned by Swiss 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March 19, 2008, Camarin served an Offer to Settle ("Offer") on Swiss Re. The Offer was to settle the entirety of the Counterclaim and the Claim of Swiss Re. The Offer stated in its entirety: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 Camarin Limited ("Camarin") offers to settle the entirety of its counterclaim against Swiss Re and the entirety of Swiss Re's claim against Camarin on the following terms:</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payment by Swiss Re to Camarin of $19.9 million; and</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in accordance with Rule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Swiss Re did not accept the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Trial of the Action occupied 29 days and was heard between March and July 2008. On July 15, 2008, the claims of Swiss Re against WCL were dismissed by a consent dismissal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the Reasons for Judgment, the Claim of Swiss Re for rescission of the Swiss Re Policies was dismissed. There was a finding that Camarin did not make any material misrepresentations and did not fail to disclose any material information to Swiss Re. There was a finding that AIG acted reasonably in settling the Richison Class Action and the Coverage Actions. The evidence was that the liability for the Cemwood Tiles in the Richison Class Action at trial would have far exceeded the amount of the Settlement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Counterclaim of Camarin for indemnification under the Swiss Re Policies was allowed. Swiss Re was ordered to indemnify Camarin for $25,092,872.81 (U.S. funds) , being the total indemnity that Camarin is obliged to pay AIG under its reinsured policies issued to AIG.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 AND CASE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Should Camarin be entitled to Special Costs?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the Amended Statement of Claim, Swiss Re claimed against Camarin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defendants, either directly or through Aon, made the above misrepresentations to the plaintiff knowingly, recklessly or negligently when they knew the statements to be false or, alternatively, they made the statements without belief in their truth and without caring whether they were true in order to obtain the benefits of the Reinsurance Policies.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defendants and/or their agents materially misrepresented the nature of the claims advanced and the potential exposure relating to the Cemwood Tiles. More particularly, the defendants knowingly misled Swiss Re into believing that it had no exposure relating to the Cemwood Tiles and they misrepresented the exposure to Swiss Re and also failed to disclose the exposure to Swiss 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Camarin and MacMillan Bloedel knew and intended or alternatively, should have known that the above representations would mislead Swiss Re with respect to its exposure under the Reinsurance Policies, and that Swiss Re would rely on the representations in deciding to renew and issue the Reinsurance Policies.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claiming Special Costs from June 20, 2002 when the Statement of Claim was filed until the date of what Camarin refers to as the "allegation of fraud" was removed by filing the Second Further Amended Statement of Claim on March 6, 2008, Camarin submits that the Court has the inherent jurisdiction to award Special Costs under Rule 14-1: </w:t>
      </w:r>
      <w:r>
        <w:rPr>
          <w:rFonts w:ascii="arial" w:eastAsia="arial" w:hAnsi="arial" w:cs="arial"/>
          <w:i/>
          <w:color w:val="000000"/>
          <w:sz w:val="20"/>
          <w:lang w:val="en-US" w:eastAsia="en-US" w:bidi="ar-SA"/>
        </w:rPr>
        <w:t>MacLeod v. Harrington (Public Trustee of)</w:t>
      </w:r>
      <w:r>
        <w:rPr>
          <w:rFonts w:ascii="arial" w:eastAsia="arial" w:hAnsi="arial" w:cs="arial"/>
          <w:color w:val="000000"/>
          <w:sz w:val="20"/>
          <w:lang w:val="en-US" w:eastAsia="en-US" w:bidi="ar-SA"/>
        </w:rPr>
        <w:t xml:space="preserve"> </w:t>
      </w:r>
      <w:hyperlink r:id="rId753" w:history="1">
        <w:r>
          <w:rPr>
            <w:rFonts w:ascii="arial" w:eastAsia="arial" w:hAnsi="arial" w:cs="arial"/>
            <w:i/>
            <w:color w:val="0077CC"/>
            <w:sz w:val="20"/>
            <w:u w:val="single"/>
            <w:shd w:val="clear" w:color="auto" w:fill="FFFFFF"/>
            <w:lang w:val="en-US" w:eastAsia="en-US" w:bidi="ar-SA"/>
          </w:rPr>
          <w:t>(1995), 14 B.C.L.R. (3d) 201</w:t>
        </w:r>
      </w:hyperlink>
      <w:r>
        <w:rPr>
          <w:rFonts w:ascii="arial" w:eastAsia="arial" w:hAnsi="arial" w:cs="arial"/>
          <w:color w:val="000000"/>
          <w:sz w:val="20"/>
          <w:lang w:val="en-US" w:eastAsia="en-US" w:bidi="ar-SA"/>
        </w:rPr>
        <w:t xml:space="preserve"> (C.A.) at para. 215 and that Special Costs may be awarded where a litigant has made allegations of fraud that go unproven or are improper: </w:t>
      </w:r>
      <w:r>
        <w:rPr>
          <w:rFonts w:ascii="arial" w:eastAsia="arial" w:hAnsi="arial" w:cs="arial"/>
          <w:i/>
          <w:color w:val="000000"/>
          <w:sz w:val="20"/>
          <w:lang w:val="en-US" w:eastAsia="en-US" w:bidi="ar-SA"/>
        </w:rPr>
        <w:t>Group Eight Investments Ltd. v. Taddei</w:t>
      </w:r>
      <w:r>
        <w:rPr>
          <w:rFonts w:ascii="arial" w:eastAsia="arial" w:hAnsi="arial" w:cs="arial"/>
          <w:color w:val="000000"/>
          <w:sz w:val="20"/>
          <w:lang w:val="en-US" w:eastAsia="en-US" w:bidi="ar-SA"/>
        </w:rPr>
        <w:t xml:space="preserve"> (2007), 43 C.P.C. (6th) 187 at paras. 7 and 12; and </w:t>
      </w:r>
      <w:r>
        <w:rPr>
          <w:rFonts w:ascii="arial" w:eastAsia="arial" w:hAnsi="arial" w:cs="arial"/>
          <w:i/>
          <w:color w:val="000000"/>
          <w:sz w:val="20"/>
          <w:lang w:val="en-US" w:eastAsia="en-US" w:bidi="ar-SA"/>
        </w:rPr>
        <w:t>Garcia v. Crestbrook Forest Industries Ltd.</w:t>
      </w:r>
      <w:r>
        <w:rPr>
          <w:rFonts w:ascii="arial" w:eastAsia="arial" w:hAnsi="arial" w:cs="arial"/>
          <w:color w:val="000000"/>
          <w:sz w:val="20"/>
          <w:lang w:val="en-US" w:eastAsia="en-US" w:bidi="ar-SA"/>
        </w:rPr>
        <w:t xml:space="preserve"> </w:t>
      </w:r>
      <w:hyperlink r:id="rId754" w:history="1">
        <w:r>
          <w:rPr>
            <w:rFonts w:ascii="arial" w:eastAsia="arial" w:hAnsi="arial" w:cs="arial"/>
            <w:i/>
            <w:color w:val="0077CC"/>
            <w:sz w:val="20"/>
            <w:u w:val="single"/>
            <w:shd w:val="clear" w:color="auto" w:fill="FFFFFF"/>
            <w:lang w:val="en-US" w:eastAsia="en-US" w:bidi="ar-SA"/>
          </w:rPr>
          <w:t>(1994), 9 B.C.L.R. (3d) 242</w:t>
        </w:r>
      </w:hyperlink>
      <w:r>
        <w:rPr>
          <w:rFonts w:ascii="arial" w:eastAsia="arial" w:hAnsi="arial" w:cs="arial"/>
          <w:color w:val="000000"/>
          <w:sz w:val="20"/>
          <w:lang w:val="en-US" w:eastAsia="en-US" w:bidi="ar-SA"/>
        </w:rPr>
        <w:t xml:space="preserve"> (C.A.) at para.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Camarin submits that, where the totality of the circumstances reveals that allegations of fraud have been made frivolously, without foundation, or in circumstances where the alleging party had access to information sufficient to conclude that the defendant was merely negligent or had committed no wrongdoing at all, the allegations themselves are to be seen as reprehensible conduct warranting an order for Special Costs: </w:t>
      </w:r>
      <w:r>
        <w:rPr>
          <w:rFonts w:ascii="arial" w:eastAsia="arial" w:hAnsi="arial" w:cs="arial"/>
          <w:i/>
          <w:color w:val="000000"/>
          <w:sz w:val="20"/>
          <w:lang w:val="en-US" w:eastAsia="en-US" w:bidi="ar-SA"/>
        </w:rPr>
        <w:t>International Hi-Tech Industries Inc. v. FANUC Robotics Canada Ltd.</w:t>
      </w:r>
      <w:r>
        <w:rPr>
          <w:rFonts w:ascii="arial" w:eastAsia="arial" w:hAnsi="arial" w:cs="arial"/>
          <w:color w:val="000000"/>
          <w:sz w:val="20"/>
          <w:lang w:val="en-US" w:eastAsia="en-US" w:bidi="ar-SA"/>
        </w:rPr>
        <w:t xml:space="preserve"> </w:t>
      </w:r>
      <w:hyperlink r:id="rId755" w:history="1">
        <w:r>
          <w:rPr>
            <w:rFonts w:ascii="arial" w:eastAsia="arial" w:hAnsi="arial" w:cs="arial"/>
            <w:i/>
            <w:color w:val="0077CC"/>
            <w:sz w:val="20"/>
            <w:u w:val="single"/>
            <w:shd w:val="clear" w:color="auto" w:fill="FFFFFF"/>
            <w:lang w:val="en-US" w:eastAsia="en-US" w:bidi="ar-SA"/>
          </w:rPr>
          <w:t>(2007), 49 C.P.C. (6th) 233</w:t>
        </w:r>
      </w:hyperlink>
      <w:r>
        <w:rPr>
          <w:rFonts w:ascii="arial" w:eastAsia="arial" w:hAnsi="arial" w:cs="arial"/>
          <w:color w:val="000000"/>
          <w:sz w:val="20"/>
          <w:lang w:val="en-US" w:eastAsia="en-US" w:bidi="ar-SA"/>
        </w:rPr>
        <w:t xml:space="preserve"> (B.C.S.C.) at para. 7; and </w:t>
      </w:r>
      <w:r>
        <w:rPr>
          <w:rFonts w:ascii="arial" w:eastAsia="arial" w:hAnsi="arial" w:cs="arial"/>
          <w:i/>
          <w:color w:val="000000"/>
          <w:sz w:val="20"/>
          <w:lang w:val="en-US" w:eastAsia="en-US" w:bidi="ar-SA"/>
        </w:rPr>
        <w:t>Taddei</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para.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Camarin also relies on the decision in </w:t>
      </w:r>
      <w:r>
        <w:rPr>
          <w:rFonts w:ascii="arial" w:eastAsia="arial" w:hAnsi="arial" w:cs="arial"/>
          <w:i/>
          <w:color w:val="000000"/>
          <w:sz w:val="20"/>
          <w:lang w:val="en-US" w:eastAsia="en-US" w:bidi="ar-SA"/>
        </w:rPr>
        <w:t>O'Connell Electric Ltd. v. British Columbia Hydro and Power Authority</w:t>
      </w:r>
      <w:r>
        <w:rPr>
          <w:rFonts w:ascii="arial" w:eastAsia="arial" w:hAnsi="arial" w:cs="arial"/>
          <w:color w:val="000000"/>
          <w:sz w:val="20"/>
          <w:lang w:val="en-US" w:eastAsia="en-US" w:bidi="ar-SA"/>
        </w:rPr>
        <w:t xml:space="preserve">, </w:t>
      </w:r>
      <w:hyperlink r:id="rId756" w:history="1">
        <w:r>
          <w:rPr>
            <w:rFonts w:ascii="arial" w:eastAsia="arial" w:hAnsi="arial" w:cs="arial"/>
            <w:i/>
            <w:color w:val="0077CC"/>
            <w:sz w:val="20"/>
            <w:u w:val="single"/>
            <w:shd w:val="clear" w:color="auto" w:fill="FFFFFF"/>
            <w:lang w:val="en-US" w:eastAsia="en-US" w:bidi="ar-SA"/>
          </w:rPr>
          <w:t>[2006] B.C.J. No. 2864</w:t>
        </w:r>
      </w:hyperlink>
      <w:r>
        <w:rPr>
          <w:rFonts w:ascii="arial" w:eastAsia="arial" w:hAnsi="arial" w:cs="arial"/>
          <w:color w:val="000000"/>
          <w:sz w:val="20"/>
          <w:lang w:val="en-US" w:eastAsia="en-US" w:bidi="ar-SA"/>
        </w:rPr>
        <w:t xml:space="preserve"> (S.C.) where Myers J. noted that: "Although fraud has not been pleaded as a cause of action, underlying all of the above causes of action are allegations of dishonest conduct and, indeed, the fabrication of false evidence. I therefore approach this matter as if fraud had been specifically pleaded." (at para 21). In concluding that there was no proper evidentiary basis for the causes of action in issue, Myers J. concluded: "Therefore the threshold issue for an order for special costs appears to me to be whether the plaintiff had a sufficient factual basis upon which to make the allegations of fraud, dishonesty or conspiracy." (at para 25). Here, Camarin submits that there was no evidence to support the allegations. There had been extensive document disclosure in examination for discovery and significant problems with the Cemwood Tiles had been brought directly to the attention of Swiss Re when the Anistics Report was provided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opposing the relief for Special Costs sought by Camarin, Swiss Re points out that the Amended Statement of Claim sought relief against Camarin for negligent or, in the alternative, reckless misrepresentation and did not use the terms "fraud" or "fraudulent" in relation to its claim against Camarin. Swiss Re submits that there was a reasonable basis for it to include a plea of "reckless" misrepresentation and not to further amend the Statement of Claim to withdraw such a plea only shortly before trial. In these regards, Swiss Re points to:</w:t>
      </w:r>
      <w:r>
        <w:rPr>
          <w:rFonts w:ascii="arial" w:eastAsia="arial" w:hAnsi="arial" w:cs="arial"/>
          <w:sz w:val="20"/>
          <w:lang w:val="en-US" w:eastAsia="en-US" w:bidi="ar-SA"/>
        </w:rPr>
        <w:cr/>
      </w:r>
    </w:p>
    <w:p>
      <w:pPr>
        <w:numPr>
          <w:numId w:val="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Between 1993 and 1997, there were numerous internal memos prepared by MBL describing problems with the Cemwood Tiles;</w:t>
      </w:r>
    </w:p>
    <w:p>
      <w:pPr>
        <w:numPr>
          <w:numId w:val="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Between 1994 and 1997, there were numerous actions commenced by homeowners relating to problems with the Cemwood Tiles. The complaints in the actions were not limited to damage to the Cemwood Tiles themselves, but also included claims such as "consequential damages", "deterioration and damage to interiors of building", damage to "ceiling, floor, carpet, furniture, stereo speakers, and art painting contained within the premises";</w:t>
      </w:r>
    </w:p>
    <w:p>
      <w:pPr>
        <w:numPr>
          <w:numId w:val="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the knowledge of Camarin of the problems and claims relating to the Cemwood Tiles was not within the knowledge of Swiss Re. Therefore, the assessment of whether any misrepresentations made by Camarin were reckless or merely negligent could only be made by the Swiss Re solicitors after completing documentary and oral discoveries of Camarin and AON were acting as the insurance agents for Camarin and MBL; and</w:t>
      </w:r>
    </w:p>
    <w:p>
      <w:pPr>
        <w:numPr>
          <w:numId w:val="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Given the significant amount of damages at stake in this action, it was reasonable for the solicitors for Swiss Re to err on the side of caution in withdrawing any potential claims against Camarin.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Swiss Re also points to the fact that the discoveries of representatives of MBL and AON were not completed until January 4 and January 24, 2008. The Second Further Amended Statement of Claim which withdrew the claim of "reckless misrepresentation" occurred within about a month after the completion of the discoveries and three weeks before the Trial was scheduled to commence.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Special Costs may be ordered against a party who does not prove allegations of fraud or dishonesty where the party ought to have concluded from available information that a defendant had merely been negligent: </w:t>
      </w:r>
      <w:r>
        <w:rPr>
          <w:rFonts w:ascii="arial" w:eastAsia="arial" w:hAnsi="arial" w:cs="arial"/>
          <w:i/>
          <w:color w:val="000000"/>
          <w:sz w:val="20"/>
          <w:lang w:val="en-US" w:eastAsia="en-US" w:bidi="ar-SA"/>
        </w:rPr>
        <w:t>Hamilton v. Open Window Bakery Ltd.</w:t>
      </w:r>
      <w:r>
        <w:rPr>
          <w:rFonts w:ascii="arial" w:eastAsia="arial" w:hAnsi="arial" w:cs="arial"/>
          <w:color w:val="000000"/>
          <w:sz w:val="20"/>
          <w:lang w:val="en-US" w:eastAsia="en-US" w:bidi="ar-SA"/>
        </w:rPr>
        <w:t xml:space="preserve">, </w:t>
      </w:r>
      <w:hyperlink r:id="rId757" w:history="1">
        <w:r>
          <w:rPr>
            <w:rFonts w:ascii="arial" w:eastAsia="arial" w:hAnsi="arial" w:cs="arial"/>
            <w:i/>
            <w:color w:val="0077CC"/>
            <w:sz w:val="20"/>
            <w:u w:val="single"/>
            <w:shd w:val="clear" w:color="auto" w:fill="FFFFFF"/>
            <w:lang w:val="en-US" w:eastAsia="en-US" w:bidi="ar-SA"/>
          </w:rPr>
          <w:t>[2004] 1 S.C.R. 303</w:t>
        </w:r>
      </w:hyperlink>
      <w:r>
        <w:rPr>
          <w:rFonts w:ascii="arial" w:eastAsia="arial" w:hAnsi="arial" w:cs="arial"/>
          <w:color w:val="000000"/>
          <w:sz w:val="20"/>
          <w:lang w:val="en-US" w:eastAsia="en-US" w:bidi="ar-SA"/>
        </w:rPr>
        <w:t>, at paras. 25-26. Here, the "fraud allegation" was also not required as the rescission remedy sought by Swiss Re is available even in the absence of fraud. Simply pleading negligent or even innocent misrepresentation would have been sufficient to obtain the rescission that Swiss Re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Doyle Construction Co. v. Carling O'Keefe Breweries of Canada Ltd.</w:t>
      </w:r>
      <w:r>
        <w:rPr>
          <w:rFonts w:ascii="arial" w:eastAsia="arial" w:hAnsi="arial" w:cs="arial"/>
          <w:color w:val="000000"/>
          <w:sz w:val="20"/>
          <w:lang w:val="en-US" w:eastAsia="en-US" w:bidi="ar-SA"/>
        </w:rPr>
        <w:t xml:space="preserve"> </w:t>
      </w:r>
      <w:hyperlink r:id="rId758" w:history="1">
        <w:r>
          <w:rPr>
            <w:rFonts w:ascii="arial" w:eastAsia="arial" w:hAnsi="arial" w:cs="arial"/>
            <w:i/>
            <w:color w:val="0077CC"/>
            <w:sz w:val="20"/>
            <w:u w:val="single"/>
            <w:shd w:val="clear" w:color="auto" w:fill="FFFFFF"/>
            <w:lang w:val="en-US" w:eastAsia="en-US" w:bidi="ar-SA"/>
          </w:rPr>
          <w:t>(1988), 27 B.C.L.R. (2d) 81</w:t>
        </w:r>
      </w:hyperlink>
      <w:r>
        <w:rPr>
          <w:rFonts w:ascii="arial" w:eastAsia="arial" w:hAnsi="arial" w:cs="arial"/>
          <w:color w:val="000000"/>
          <w:sz w:val="20"/>
          <w:lang w:val="en-US" w:eastAsia="en-US" w:bidi="ar-SA"/>
        </w:rPr>
        <w:t xml:space="preserve"> (C.A.), Locke J.A. on behalf of the Court allowed the appeal by the plaintiff of an award of the solicitor and client costs where there had been a pleading of fraud and where the claim was later abandoned. Well before trial, an amendment was sought to delete a reference to fraudulent misrepresentation while continuing a plea of negligent misrepresentation. In concluding that in order for solicitor and client costs was not merited, Locke J.A. made these statements: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there is reasonable evidence on which to found a plea of fraud (as in this case) I do not think the court should second guess the judgment of the lawyer drawing the pleadings. In a difficult case some lawyers might decide to leave the plea in; others might withdraw it. Out of a sense of duty to their client, I would think that a good number would choose to retain it on the assumption that as there was some sound base which at the minute fell short of complete proof, other suspected evidence at the trial or successful cross-examination might complete the picture and enable to plea to succeed.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case there was some evidence upon which counsel could reasonably found a plea of fraud. It was later withdrawn in his view of the entire case. I do not think there is any basis for making an order other than the ordinary party and party costs which would follow the event. In my view counsel acted entirely correctly.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Fibercom Systems Inc. v. Rogers Cable Inc.</w:t>
      </w:r>
      <w:r>
        <w:rPr>
          <w:rFonts w:ascii="arial" w:eastAsia="arial" w:hAnsi="arial" w:cs="arial"/>
          <w:color w:val="000000"/>
          <w:sz w:val="20"/>
          <w:lang w:val="en-US" w:eastAsia="en-US" w:bidi="ar-SA"/>
        </w:rPr>
        <w:t xml:space="preserve">, </w:t>
      </w:r>
      <w:hyperlink r:id="rId759" w:history="1">
        <w:r>
          <w:rPr>
            <w:rFonts w:ascii="arial" w:eastAsia="arial" w:hAnsi="arial" w:cs="arial"/>
            <w:i/>
            <w:color w:val="0077CC"/>
            <w:sz w:val="20"/>
            <w:u w:val="single"/>
            <w:shd w:val="clear" w:color="auto" w:fill="FFFFFF"/>
            <w:lang w:val="en-US" w:eastAsia="en-US" w:bidi="ar-SA"/>
          </w:rPr>
          <w:t>[2005] B.C.J. No. 1011</w:t>
        </w:r>
      </w:hyperlink>
      <w:r>
        <w:rPr>
          <w:rFonts w:ascii="arial" w:eastAsia="arial" w:hAnsi="arial" w:cs="arial"/>
          <w:color w:val="000000"/>
          <w:sz w:val="20"/>
          <w:lang w:val="en-US" w:eastAsia="en-US" w:bidi="ar-SA"/>
        </w:rPr>
        <w:t xml:space="preserve"> (S.C.), E.R.A. Edwards J. dealt with an application for special costs on the basis that the plaintiffs persisted in alleging fraudulent misrepresentation. Edwards J. found "no objective basis" for the belief although the genuine belief of the defendants that there had been fraudulent misrepresentations as pleaded. In this regards, Edwards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Because of the potential for harm to the reputations of those accused of fraud, a plea of fraudulent misrepresentation should be advanced cautiously based on an objective assessment of the evidence and abandoned if evidence to support it is not disclosed during pre-trial discovery or fails to materialize at trial. (at para. 11)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incumbent on counsel acting for a party in an action where an allegation of fraud may be appropriate to assess and reassess the evidence as it develops and advise that party of the risk of pleading or pursuing an allegation of fraud which cannot be proved.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Failure to prove alleged fraud will result in an award of special costs only where it is clear that the allegation of fraud ought not to have been made or pursued through trial, for example, where the evidence of fraud is so weak as to be "obviously unfounded" or where the allegation is malicious, reckless or advanced for an improper purpose, such as settlement leverage.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paras. 16-17)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Paz v. Hardouin (c.o.b. Fiesta Travel)</w:t>
      </w:r>
      <w:r>
        <w:rPr>
          <w:rFonts w:ascii="arial" w:eastAsia="arial" w:hAnsi="arial" w:cs="arial"/>
          <w:color w:val="000000"/>
          <w:sz w:val="20"/>
          <w:lang w:val="en-US" w:eastAsia="en-US" w:bidi="ar-SA"/>
        </w:rPr>
        <w:t xml:space="preserve"> </w:t>
      </w:r>
      <w:hyperlink r:id="rId760" w:history="1">
        <w:r>
          <w:rPr>
            <w:rFonts w:ascii="arial" w:eastAsia="arial" w:hAnsi="arial" w:cs="arial"/>
            <w:i/>
            <w:color w:val="0077CC"/>
            <w:sz w:val="20"/>
            <w:u w:val="single"/>
            <w:shd w:val="clear" w:color="auto" w:fill="FFFFFF"/>
            <w:lang w:val="en-US" w:eastAsia="en-US" w:bidi="ar-SA"/>
          </w:rPr>
          <w:t>(1995), 25 B.C.L.R. (3d) 201</w:t>
        </w:r>
      </w:hyperlink>
      <w:r>
        <w:rPr>
          <w:rFonts w:ascii="arial" w:eastAsia="arial" w:hAnsi="arial" w:cs="arial"/>
          <w:color w:val="000000"/>
          <w:sz w:val="20"/>
          <w:lang w:val="en-US" w:eastAsia="en-US" w:bidi="ar-SA"/>
        </w:rPr>
        <w:t xml:space="preserve"> (C.A.), the trial judge had concluded that: "... there never was any evidence to support even reasonable suspicion of fraud on the part of the Canadian defendants". Despite that finding, Huddart J.A. in the majority stated that it was not an inflexible general rule that unfounded allegations of fraud constitute reprehensible conduct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xml:space="preserve"> (at para. 6). The decision not to award special cost was upheld and the appeal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cannot conclude that there was no evidence to support the allegation made by Swiss Re that Camarin made misrepresentations to it "knowingly, recklessly or negligently when they knew the statements to be false ...". I am satisfied that there was a reasonable basis for inclusion of that allegation as it was based on the numerous internal memoranda between 1993 and 1997 and the numerous actions commenced between 1994 and 1997. Camarin was bound by the knowledge of MBL and MBL was bound by the knowledge of its officers and employees and the officers and employees of its subsidiaries. I cannot conclude there was no evidence to support the allegation. I am satisfied that there was a sufficient factual basis upon which to make the allegation and that I cannot conclude that the allegation was "obviously unfounded".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Although fraud was not pleaded, the requisite elements of a claim in fraud were outlined in the Statement of Claim and, accordingly, I will assume that fraud was alleged. While I take into account that the rescission claim of Swiss Re did not require an allegation of fraud and that a pleading of negligent or even innocent misrepresentation would have been sufficient to obtain the relief of rescission that was sought by Swiss Re, I am nevertheless satisfied that I should not second guess the judgment of counsel regarding the inclusion of the allegation of fraud. At the same time, the allegation was removed quickly after the completion of discoveries which provided clarity to the question of whether the allegation of fraudulent misrepresentation could be maintained.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Taking into account all of the circumstances, I order that Camarin is not entitled to Special Costs but is entitled to Party and Party (Scale C) costs throughout. The question which then arises is whether Camarin should be entitled to double costs.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Should Camarin be entitled to Double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At the time the Offer was made, Rule 37(2) provided: "A party to a proceeding may deliver to any other party of record a written offer in Form 64 to settle one or more of the claims in the proceeding in the terms specified in the offer." Form 64 ("Offer to Settle")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 [party] offers to settle this proceeding ... on the following terms ... and costs in accordance with Rule 37(22) and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March 19, 2008 Offer was in accordance with Form 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Rule 9-1(5)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sets out a number of options that the Court may consider where an offer to settle has been made: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 proceeding in which an offer to settle has been made, the court may do one or more of the following:</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deprive a party of any or all of the costs, including any or all of the disbursements, to which the party would otherwise be entitled in respect of all or some of the steps taken in the proceeding after the date of delivery or service of the offer to settle;</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award double costs of all or some of the steps taken in the proceeding after the date of delivery or service of the offer to settle;</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award to a party, in respect of all or some of the steps taken in the proceeding after the date of delivery or service of the offer to settle, costs to which the party would have been entitled had the offer not been made;</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offer was made by a defendant and the judgment awarded to the plaintiff was no greater than the amount of the offer to settle, award to the defendant the defendant's costs in respect of all or some of the steps taken in the proceeding after the date of delivery or service of the offer to settle.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In considering what order to make under Rule 9-1(5), the Court may consider those matters which are set out in Rule 9-1(6)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making an order under subrule (5), the court may consider the following:</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offer to settle was one that ought reasonably to have been accepted, either on the date that the offer to settle was delivered or served or on any later date;</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relationship between the terms of settlement offered and the final judgment of the court;</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relative financial circumstances of the parties;</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factor the court considers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Camarin submits that the Offer ought to have been accepted by Swiss Re and submits that the factors which demonstrate the reasonableness of the Offer include that : (a) the Offer was made prior to the commencement of the Trial and Swiss Re was already in possession of sufficient information to judge the merits of its case against Camarin and the Counterclaim of Camarin; (b) the Offer represented a substantial discount ($5,000,000) from the total claim of Camarin; and (c) the amount of the Offer was a simple, monetary figure readily capable of evaluation and was not a claim for general damages which would be inherently difficult to quantify.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Camarin submits that Swiss Re could have evaluated its ultimate exposure in the Action and assessed the significant discount that was represented in the Offer and that the Offer provided a real incentive for Swiss Re to avoid a lengthy and expensive Trial. The Offer requested payment which could not be classified as a nominal discount and the Offer directly related to the amount claimed by Camarin in its Counterclaim in that it represented a 20 percent discount on the amount claimed by Camarin against Swiss Re by way of indemnification. Camarin took substantial steps in the Action after service of the Offer including examinations for discovery, the service of notices to admit, the Trial so that the Offer amounted to a meaningful compromise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In its submissions, Swiss Re points out that Rule 9-1(4)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provides only that the Court "may" consider an offer to settle when exercising discretion in relation to costs so that the Court is not required to consider the Offer in determining the question of costs. Similarly, the Court is not required to award double costs even if an offer to settle has been made. In this regard, Swiss Re relies on the decision in </w:t>
      </w:r>
      <w:r>
        <w:rPr>
          <w:rFonts w:ascii="arial" w:eastAsia="arial" w:hAnsi="arial" w:cs="arial"/>
          <w:i/>
          <w:color w:val="000000"/>
          <w:sz w:val="20"/>
          <w:lang w:val="en-US" w:eastAsia="en-US" w:bidi="ar-SA"/>
        </w:rPr>
        <w:t>Fan (Guardian ad litem of) v. Chana</w:t>
      </w:r>
      <w:r>
        <w:rPr>
          <w:rFonts w:ascii="arial" w:eastAsia="arial" w:hAnsi="arial" w:cs="arial"/>
          <w:color w:val="000000"/>
          <w:sz w:val="20"/>
          <w:lang w:val="en-US" w:eastAsia="en-US" w:bidi="ar-SA"/>
        </w:rPr>
        <w:t xml:space="preserve"> </w:t>
      </w:r>
      <w:hyperlink r:id="rId761" w:history="1">
        <w:r>
          <w:rPr>
            <w:rFonts w:ascii="arial" w:eastAsia="arial" w:hAnsi="arial" w:cs="arial"/>
            <w:i/>
            <w:color w:val="0077CC"/>
            <w:sz w:val="20"/>
            <w:u w:val="single"/>
            <w:shd w:val="clear" w:color="auto" w:fill="FFFFFF"/>
            <w:lang w:val="en-US" w:eastAsia="en-US" w:bidi="ar-SA"/>
          </w:rPr>
          <w:t>(2011), 26 B.C.L.R. (5th) 217</w:t>
        </w:r>
      </w:hyperlink>
      <w:r>
        <w:rPr>
          <w:rFonts w:ascii="arial" w:eastAsia="arial" w:hAnsi="arial" w:cs="arial"/>
          <w:color w:val="000000"/>
          <w:sz w:val="20"/>
          <w:lang w:val="en-US" w:eastAsia="en-US" w:bidi="ar-SA"/>
        </w:rPr>
        <w:t xml:space="preserve"> (C.A.), which set out the principles to be applied in considering whether a party acted unreasonably in not accepting an offer to settle: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Giles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Giles v. Westminster Savings Credit Union</w:t>
      </w:r>
      <w:r>
        <w:rPr>
          <w:rFonts w:ascii="arial" w:eastAsia="arial" w:hAnsi="arial" w:cs="arial"/>
          <w:color w:val="000000"/>
          <w:sz w:val="20"/>
          <w:lang w:val="en-US" w:eastAsia="en-US" w:bidi="ar-SA"/>
        </w:rPr>
        <w:t xml:space="preserve"> </w:t>
      </w:r>
      <w:hyperlink r:id="rId20" w:history="1">
        <w:r>
          <w:rPr>
            <w:rFonts w:ascii="arial" w:eastAsia="arial" w:hAnsi="arial" w:cs="arial"/>
            <w:i/>
            <w:color w:val="0077CC"/>
            <w:sz w:val="20"/>
            <w:u w:val="single"/>
            <w:shd w:val="clear" w:color="auto" w:fill="FFFFFF"/>
            <w:lang w:val="en-US" w:eastAsia="en-US" w:bidi="ar-SA"/>
          </w:rPr>
          <w:t>(2010), 5 B.C.L.R. (5th) 252</w:t>
        </w:r>
      </w:hyperlink>
      <w:r>
        <w:rPr>
          <w:rFonts w:ascii="arial" w:eastAsia="arial" w:hAnsi="arial" w:cs="arial"/>
          <w:color w:val="000000"/>
          <w:sz w:val="20"/>
          <w:lang w:val="en-US" w:eastAsia="en-US" w:bidi="ar-SA"/>
        </w:rPr>
        <w:t xml:space="preserve"> (C.A.)], the Court considered the discretion exercisable under Rule 37B to award double costs to a successful defendant after the plaintiff fails to accept an offer of settlement. Mr. Justice Frankel for the Court said (at para. 89):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am also of the view that when an offer made by a defendant for the purpose of achieving a pre-trial settlement is reasonably refused, the mere fact that the action is ultimately dismissed in its entirety is not a consideration with respect to double costs. To take the disposition of the action into account would result in the "hindsight analysis" that Mr. Justice Hinkson, as he then was, cautioned against in </w:t>
      </w:r>
      <w:r>
        <w:rPr>
          <w:rFonts w:ascii="arial" w:eastAsia="arial" w:hAnsi="arial" w:cs="arial"/>
          <w:i/>
          <w:color w:val="000000"/>
          <w:sz w:val="20"/>
          <w:lang w:val="en-US" w:eastAsia="en-US" w:bidi="ar-SA"/>
        </w:rPr>
        <w:t>Bailey v. Jang</w:t>
      </w:r>
      <w:r>
        <w:rPr>
          <w:rFonts w:ascii="arial" w:eastAsia="arial" w:hAnsi="arial" w:cs="arial"/>
          <w:color w:val="000000"/>
          <w:sz w:val="20"/>
          <w:lang w:val="en-US" w:eastAsia="en-US" w:bidi="ar-SA"/>
        </w:rPr>
        <w:t xml:space="preserve">, </w:t>
      </w:r>
      <w:hyperlink r:id="rId22" w:history="1">
        <w:r>
          <w:rPr>
            <w:rFonts w:ascii="arial" w:eastAsia="arial" w:hAnsi="arial" w:cs="arial"/>
            <w:i/>
            <w:color w:val="0077CC"/>
            <w:sz w:val="20"/>
            <w:u w:val="single"/>
            <w:shd w:val="clear" w:color="auto" w:fill="FFFFFF"/>
            <w:lang w:val="en-US" w:eastAsia="en-US" w:bidi="ar-SA"/>
          </w:rPr>
          <w:t>2008 BCSC 1372</w:t>
        </w:r>
      </w:hyperlink>
      <w:r>
        <w:rPr>
          <w:rFonts w:ascii="arial" w:eastAsia="arial" w:hAnsi="arial" w:cs="arial"/>
          <w:color w:val="000000"/>
          <w:sz w:val="20"/>
          <w:lang w:val="en-US" w:eastAsia="en-US" w:bidi="ar-SA"/>
        </w:rPr>
        <w:t xml:space="preserve">, </w:t>
      </w:r>
      <w:hyperlink r:id="rId22" w:history="1">
        <w:r>
          <w:rPr>
            <w:rFonts w:ascii="arial" w:eastAsia="arial" w:hAnsi="arial" w:cs="arial"/>
            <w:i/>
            <w:color w:val="0077CC"/>
            <w:sz w:val="20"/>
            <w:u w:val="single"/>
            <w:shd w:val="clear" w:color="auto" w:fill="FFFFFF"/>
            <w:lang w:val="en-US" w:eastAsia="en-US" w:bidi="ar-SA"/>
          </w:rPr>
          <w:t>90 B.C.L.R. (4th) 125</w:t>
        </w:r>
      </w:hyperlink>
      <w:r>
        <w:rPr>
          <w:rFonts w:ascii="arial" w:eastAsia="arial" w:hAnsi="arial" w:cs="arial"/>
          <w:color w:val="000000"/>
          <w:sz w:val="20"/>
          <w:lang w:val="en-US" w:eastAsia="en-US" w:bidi="ar-SA"/>
        </w:rPr>
        <w:t xml:space="preserve"> at para. 24. See also: </w:t>
      </w:r>
      <w:r>
        <w:rPr>
          <w:rFonts w:ascii="arial" w:eastAsia="arial" w:hAnsi="arial" w:cs="arial"/>
          <w:i/>
          <w:color w:val="000000"/>
          <w:sz w:val="20"/>
          <w:lang w:val="en-US" w:eastAsia="en-US" w:bidi="ar-SA"/>
        </w:rPr>
        <w:t>Dodge v. Shaw Cablesystems Ltd.</w:t>
      </w:r>
      <w:r>
        <w:rPr>
          <w:rFonts w:ascii="arial" w:eastAsia="arial" w:hAnsi="arial" w:cs="arial"/>
          <w:color w:val="000000"/>
          <w:sz w:val="20"/>
          <w:lang w:val="en-US" w:eastAsia="en-US" w:bidi="ar-SA"/>
        </w:rPr>
        <w:t xml:space="preserve">, </w:t>
      </w:r>
      <w:hyperlink r:id="rId180" w:history="1">
        <w:r>
          <w:rPr>
            <w:rFonts w:ascii="arial" w:eastAsia="arial" w:hAnsi="arial" w:cs="arial"/>
            <w:i/>
            <w:color w:val="0077CC"/>
            <w:sz w:val="20"/>
            <w:u w:val="single"/>
            <w:shd w:val="clear" w:color="auto" w:fill="FFFFFF"/>
            <w:lang w:val="en-US" w:eastAsia="en-US" w:bidi="ar-SA"/>
          </w:rPr>
          <w:t>2009 BCSC 1765</w:t>
        </w:r>
      </w:hyperlink>
      <w:r>
        <w:rPr>
          <w:rFonts w:ascii="arial" w:eastAsia="arial" w:hAnsi="arial" w:cs="arial"/>
          <w:color w:val="000000"/>
          <w:sz w:val="20"/>
          <w:lang w:val="en-US" w:eastAsia="en-US" w:bidi="ar-SA"/>
        </w:rPr>
        <w:t xml:space="preserve"> at para. 17.</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Dodge</w:t>
      </w:r>
      <w:r>
        <w:rPr>
          <w:rFonts w:ascii="arial" w:eastAsia="arial" w:hAnsi="arial" w:cs="arial"/>
          <w:color w:val="000000"/>
          <w:sz w:val="20"/>
          <w:lang w:val="en-US" w:eastAsia="en-US" w:bidi="ar-SA"/>
        </w:rPr>
        <w:t>, Mr. Justice Masuhara said (at para. 17):</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is not, however, for this Court to engage in a hindsight analysis and compare the final result with the amount offered in assessing the reasonableness of the plaintiff's decision to reject the offer: </w:t>
      </w:r>
      <w:r>
        <w:rPr>
          <w:rFonts w:ascii="arial" w:eastAsia="arial" w:hAnsi="arial" w:cs="arial"/>
          <w:i/>
          <w:color w:val="000000"/>
          <w:sz w:val="20"/>
          <w:lang w:val="en-US" w:eastAsia="en-US" w:bidi="ar-SA"/>
        </w:rPr>
        <w:t>Bailey</w:t>
      </w:r>
      <w:r>
        <w:rPr>
          <w:rFonts w:ascii="arial" w:eastAsia="arial" w:hAnsi="arial" w:cs="arial"/>
          <w:color w:val="000000"/>
          <w:sz w:val="20"/>
          <w:lang w:val="en-US" w:eastAsia="en-US" w:bidi="ar-SA"/>
        </w:rPr>
        <w:t xml:space="preserve"> at para. 24. While the plaintiff was not guaranteed success, given her loss, her testimony, and the testimony of the experts, coupled with the complex analysis required between her and her counsel to evaluate the offer, it cannot be said that it was unreasonable for the plaintiff not to have accepted the defendant's offer to settle, particularly not within two days.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paras. 54-55)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Swiss Re submits that it was not unreasonable for it to seek a legal resolution of honestly held views of its Claim and the Counterclaim rather than accept the Offer and, although ultimately unsuccessful at Trial, it could not be said that its Claim or its Defence to the Counterclaim was in any way frivolous or lacking a reasonable foundation in fact or law. In this regard, Swiss Re states that it had evidence that, between 1993 and 1997, MBL had discussed problems about the Cemwood Tiles in numerous internal memos. Swiss Re also had evidence that, between 1994 and 1997, numerous homeowners had commenced actions against American Cemwood claiming leakage, damage to the interior of homes, and other resulting damage arising from problems with the Cemwood Tiles, and that none of these actions or claims for resulting damage had been disclosed to Swiss Re at the time of renewal of the Swiss Re policies.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Swiss Re also submits that, at the time of the Offer, it had a reasonable basis to believe that its chances of success at Trial had been increased by the earlier dismissal by the Court of the summary judgment application of Camarin to rectify the Swiss Re policies to include a "Follow the Settlements" clause. As a result of the dismissal of this summary judgment application, Swiss Re submits that Camarin now had an additional "hurdle" to succeeding in its Counterclaim as it now had to satisfy the higher test to prove its loss in the absence of a "follow the settlements"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Swiss Re submits that this is not a situation where, even taking into account the reasonably held views as to the merits of its case, the Offer was clearly too good to refuse, such that it would have been unreasonable not to accept the Offer. Camarin's settlement offer was in excess of 79% of the full amount that Camarin was seeking. Swiss Re submits that it was not unreasonable for it not to accept an offer requiring a payment of such a significant percentage of the entire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Finally, Swiss Re states that it should be noted that Camarin did not make the Offer until March 19, 2008, only 7 days before the commencement of Trial. By then, Swiss Re had already completed extensive documentary and oral discoveries, had attended various pre-trial applications and a summary trial, and had obtained reports from various expert witnesses. It was not unreasonable for Swiss Re not to accept an offer to settle at this late stage in the litigation, particularly when the offer was for such a significant percentage of Camarin's entire claim. Swiss Re submits that it would not be appropriate to award double costs and that the appropriate award of costs with respect to the period after March 19, 2008 is Party and Party (Scale C)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In assessing the reasonableness of the decision to reject the Offer, I take into account a number of factors in dealing with the question of the reasonableness of the Offer; (a) the timing of the Offer; (b) whether the Offer had some relationship to the Claim or was instead a nuisance offer; (c) whether Swiss Re could easily have evaluated the Offer; and (d) whether the offeror provided some rationale for the offer: </w:t>
      </w:r>
      <w:r>
        <w:rPr>
          <w:rFonts w:ascii="arial" w:eastAsia="arial" w:hAnsi="arial" w:cs="arial"/>
          <w:i/>
          <w:color w:val="000000"/>
          <w:sz w:val="20"/>
          <w:lang w:val="en-US" w:eastAsia="en-US" w:bidi="ar-SA"/>
        </w:rPr>
        <w:t>Hartshorne v. Hartshorne</w:t>
      </w:r>
      <w:r>
        <w:rPr>
          <w:rFonts w:ascii="arial" w:eastAsia="arial" w:hAnsi="arial" w:cs="arial"/>
          <w:color w:val="000000"/>
          <w:sz w:val="20"/>
          <w:lang w:val="en-US" w:eastAsia="en-US" w:bidi="ar-SA"/>
        </w:rPr>
        <w:t xml:space="preserve"> </w:t>
      </w:r>
      <w:hyperlink r:id="rId762" w:history="1">
        <w:r>
          <w:rPr>
            <w:rFonts w:ascii="arial" w:eastAsia="arial" w:hAnsi="arial" w:cs="arial"/>
            <w:i/>
            <w:color w:val="0077CC"/>
            <w:sz w:val="20"/>
            <w:u w:val="single"/>
            <w:shd w:val="clear" w:color="auto" w:fill="FFFFFF"/>
            <w:lang w:val="en-US" w:eastAsia="en-US" w:bidi="ar-SA"/>
          </w:rPr>
          <w:t>(2011), 14 B.C.L.R. (5th) 33</w:t>
        </w:r>
      </w:hyperlink>
      <w:r>
        <w:rPr>
          <w:rFonts w:ascii="arial" w:eastAsia="arial" w:hAnsi="arial" w:cs="arial"/>
          <w:color w:val="000000"/>
          <w:sz w:val="20"/>
          <w:lang w:val="en-US" w:eastAsia="en-US" w:bidi="ar-SA"/>
        </w:rPr>
        <w:t xml:space="preserve"> (C.A.), at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An award of double costs is a punitive measure against a litigant for the failure of that litigant in all of the circumstances to have accepted an offer to settle that should have been accepted. Litigants should always be reminded that the rules relating to costs are in place to "encourage the early settlement of disputes by rewarded the party who makes a reasonable settlement offer and penalizing the party who declines to accept such an offer": </w:t>
      </w:r>
      <w:r>
        <w:rPr>
          <w:rFonts w:ascii="arial" w:eastAsia="arial" w:hAnsi="arial" w:cs="arial"/>
          <w:i/>
          <w:color w:val="000000"/>
          <w:sz w:val="20"/>
          <w:lang w:val="en-US" w:eastAsia="en-US" w:bidi="ar-SA"/>
        </w:rPr>
        <w:t>A.E. v. D.W.J.</w:t>
      </w:r>
      <w:r>
        <w:rPr>
          <w:rFonts w:ascii="arial" w:eastAsia="arial" w:hAnsi="arial" w:cs="arial"/>
          <w:color w:val="000000"/>
          <w:sz w:val="20"/>
          <w:lang w:val="en-US" w:eastAsia="en-US" w:bidi="ar-SA"/>
        </w:rPr>
        <w:t xml:space="preserve"> </w:t>
      </w:r>
      <w:hyperlink r:id="rId19" w:history="1">
        <w:r>
          <w:rPr>
            <w:rFonts w:ascii="arial" w:eastAsia="arial" w:hAnsi="arial" w:cs="arial"/>
            <w:i/>
            <w:color w:val="0077CC"/>
            <w:sz w:val="20"/>
            <w:u w:val="single"/>
            <w:shd w:val="clear" w:color="auto" w:fill="FFFFFF"/>
            <w:lang w:val="en-US" w:eastAsia="en-US" w:bidi="ar-SA"/>
          </w:rPr>
          <w:t>(2009), 91 B.C.L.R. (4th) 372</w:t>
        </w:r>
      </w:hyperlink>
      <w:r>
        <w:rPr>
          <w:rFonts w:ascii="arial" w:eastAsia="arial" w:hAnsi="arial" w:cs="arial"/>
          <w:color w:val="000000"/>
          <w:sz w:val="20"/>
          <w:lang w:val="en-US" w:eastAsia="en-US" w:bidi="ar-SA"/>
        </w:rPr>
        <w:t xml:space="preserve"> (S.C.), at para. 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Here, the Offer was made shortly prior to the commencement of the Trial so that Swiss Re was in possession of sufficient information to judge the merits of its claim in the merits of the Counterclaim. The Offer represented a substantial discount from the total claim of Cameron, being a reduction in the neighborhood of $5 million. The offer could not be classified as a "nominal discount". If accepted, the Offer was a comprehensive one that would have resolved and eliminated the need for the 2090 trial. The amount of the offer was a simple, monetary figure, readily capable of evaluation. There was no need to make any calculations regarding what was proposed.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conclude that this is an additional factor which I should consider. Camarin was in receivership and Swiss Re had unlimited resources. While the Defence and Counterclaim of Camarin may well have been funded by an entity with unlimited resources, I am satisfied that the relative financial circumstances of the parties favours an order being made that double costs should be available to Camarin.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ultimate discretion relating to whether an order for double costs must be exercised in a "... just, principled, and consistent way": </w:t>
      </w:r>
      <w:r>
        <w:rPr>
          <w:rFonts w:ascii="arial" w:eastAsia="arial" w:hAnsi="arial" w:cs="arial"/>
          <w:i/>
          <w:color w:val="000000"/>
          <w:sz w:val="20"/>
          <w:lang w:val="en-US" w:eastAsia="en-US" w:bidi="ar-SA"/>
        </w:rPr>
        <w:t>Giles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para. 88. Taking into account all of the factors which must be considered, I am satisfied that the Offer ought reasonably to have been accepted and that it was unreasonable for Swiss Re not to have accepted the Offer. As Swiss Re should have had enough time to consider the Offer to give counsel for Swiss Re sufficient time to obtain instructions from their principals, I order that double costs will be available to Camarin from and after the first date of Trial, March 6,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Should Camarin be entitled to costs against AON, should AON be entitled to its costs against Camarin, or should Camarin and AON bear their own costs of the Third Party Claim?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Third Party Claim of Camarin against AON set out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Camarin disputes the Plaintiff's claim on the ground set out in the Statement of Defence, and specifically denies that any grounds exist based on which the Plaintiff would be entitled to a declaration that any of the Swiss Re Policies is [sic] void. Camarin also claims that it is entitled to coverage under the Swiss Re Polices, as set out in Camarin's counterclaim. Camarin repeats, pleads and relies on the facts alleged in paragraphs 1-22 of its Statement of Defence and the facts alleged in Camarin's counterclaim.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however, the Plaintiff succeeds in its claim against Camarin, either in whole or in part, or succeeds in its defence of Camarin's counterclaim, either in whole or in part, then Camarin pleads it is entitled to damages and to contribution and indemnity from the Third Parties...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 Camarin pleads that, on a true construction of each of the Swiss Re Policies, the Plaintiff is obliged to follow the settlements of Camarin...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if on a true construction of any of the Swiss Re Policies, the plaintiff is found not to be obligated to follow the settlements of Camarin, Camarin pleads that:</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AON has breached its contractual and other obligations to Camarin...</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those breaches, Camarin has been deprived of substantially the whole benefit it was intended Camarin should have from the purchase of such Swiss Re Policy or Policies...; and</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those breaches, Camarin has suffered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Reasons for Judgment relating to AON concluded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find that AON breached the duty of care that it owed to Camarin when, through a clerical error, the Follow the Settlements Clause was not included in the Swiss Re policies for 1993 and following years. Camarin reasonably relied upon AON to provide the coverage it required on the terms requested and on what had been included in previous policies. AON knew that Camarin relied on it to place reinsurance with Swiss Re on particular terms. AON London did not act diligently or with reasonable skill and care when it failed to include the Follow the Settlements Clause in the 1993 and subsequent Swiss Re policies.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AON, Camarin would have obtained the coverage requested and Swiss Re would have been obliged to follow any settlements ultimately reached between AIG on behalf of MBL and/or American Cemwood with the parties who commenced actions against American Cemwood and MBL. The failure of AON resulted in the Swiss Re Policies being less than what Camarin was expecting and entitled to receive: (a) that the placement of reinsurance on behalf of Camarin was to ensure that the coverage flowed from AIG through Camarin to Swiss Re so that (b) if AIG paid out under the policies, Swiss Re would also pay out under the reinsurance. To the extent that Camarin is unable to prove its damages for the full quantum thereof, AON is liable to Camarin for Swiss Re's share of exposure under the settlement that was arranged.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I am ultimately found to be incorrect in coming to the conclusion that the rescission Claim of Swiss Re should be dismissed and the counterclaim of Camarin allowed, then I find that Camarin is entitled to judgment against AON for the balance claimed by Camarin against Swiss 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paras. 113-115)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By its very nature, the Third Party Claim depended on the success of Swiss Re. Swiss Re was not successful at Trial. The only finding made against AON depends on a successful appeal in due course by Swiss 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In response to the submissions of Camarin that it suffered damages in the form of increased costs of the proceedings and that the form of Order should be settled on the basis that AON should pay enough to keep Camarin whole irrespective of the outcome of the action of Swiss Re and the Counterclaim of Camarin, such a claim was not set out in the Third Party Claim of Camarin, was not proven by Camarin at Trial, and was not subject to any finding made by the Court. The declaratory relief proposed by Camarin is not specifically pleaded by Camarin and, what is claimed, is premised on Swiss Re being successful in the Action. The claim against AON was an alternative claim. The declaratory relief should not be granted as an alternative form of relief: </w:t>
      </w:r>
      <w:r>
        <w:rPr>
          <w:rFonts w:ascii="arial" w:eastAsia="arial" w:hAnsi="arial" w:cs="arial"/>
          <w:i/>
          <w:color w:val="000000"/>
          <w:sz w:val="20"/>
          <w:lang w:val="en-US" w:eastAsia="en-US" w:bidi="ar-SA"/>
        </w:rPr>
        <w:t>Yanke v. Salmon Arm (City)</w:t>
      </w:r>
      <w:r>
        <w:rPr>
          <w:rFonts w:ascii="arial" w:eastAsia="arial" w:hAnsi="arial" w:cs="arial"/>
          <w:color w:val="000000"/>
          <w:sz w:val="20"/>
          <w:lang w:val="en-US" w:eastAsia="en-US" w:bidi="ar-SA"/>
        </w:rPr>
        <w:t xml:space="preserve">, </w:t>
      </w:r>
      <w:hyperlink r:id="rId763" w:history="1">
        <w:r>
          <w:rPr>
            <w:rFonts w:ascii="arial" w:eastAsia="arial" w:hAnsi="arial" w:cs="arial"/>
            <w:i/>
            <w:color w:val="0077CC"/>
            <w:sz w:val="20"/>
            <w:u w:val="single"/>
            <w:shd w:val="clear" w:color="auto" w:fill="FFFFFF"/>
            <w:lang w:val="en-US" w:eastAsia="en-US" w:bidi="ar-SA"/>
          </w:rPr>
          <w:t>2011 BCCA 309</w:t>
        </w:r>
      </w:hyperlink>
      <w:r>
        <w:rPr>
          <w:rFonts w:ascii="arial" w:eastAsia="arial" w:hAnsi="arial" w:cs="arial"/>
          <w:color w:val="000000"/>
          <w:sz w:val="20"/>
          <w:lang w:val="en-US" w:eastAsia="en-US" w:bidi="ar-SA"/>
        </w:rPr>
        <w:t>, at para. 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There will be no award of costs in favour of Camarin against AON. AON will bear its own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Should there be compound interest on the judgment obtained against Swiss 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An agreement has been reached between Swiss Re and Camarin that the interest on the judgment of $25,092,872.81 (U.S. funds) is either $13,654,680.73 (U.S. funds) if interest is calculated on the basis of interest being compounded monthly or $10,928,948.32 (U.S. funds) if interest is calculated on a simple interest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Under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 the Court must not award interest "on interest": s. 2(c).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Camarin relies on the decision in </w:t>
      </w:r>
      <w:r>
        <w:rPr>
          <w:rFonts w:ascii="arial" w:eastAsia="arial" w:hAnsi="arial" w:cs="arial"/>
          <w:i/>
          <w:color w:val="000000"/>
          <w:sz w:val="20"/>
          <w:lang w:val="en-US" w:eastAsia="en-US" w:bidi="ar-SA"/>
        </w:rPr>
        <w:t>Air Canada v. Ontario (Liquor Control Board)</w:t>
      </w:r>
      <w:r>
        <w:rPr>
          <w:rFonts w:ascii="arial" w:eastAsia="arial" w:hAnsi="arial" w:cs="arial"/>
          <w:color w:val="000000"/>
          <w:sz w:val="20"/>
          <w:lang w:val="en-US" w:eastAsia="en-US" w:bidi="ar-SA"/>
        </w:rPr>
        <w:t xml:space="preserve">, </w:t>
      </w:r>
      <w:hyperlink r:id="rId764" w:history="1">
        <w:r>
          <w:rPr>
            <w:rFonts w:ascii="arial" w:eastAsia="arial" w:hAnsi="arial" w:cs="arial"/>
            <w:i/>
            <w:color w:val="0077CC"/>
            <w:sz w:val="20"/>
            <w:u w:val="single"/>
            <w:shd w:val="clear" w:color="auto" w:fill="FFFFFF"/>
            <w:lang w:val="en-US" w:eastAsia="en-US" w:bidi="ar-SA"/>
          </w:rPr>
          <w:t>[1997] 2 S.C.R. 581</w:t>
        </w:r>
      </w:hyperlink>
      <w:r>
        <w:rPr>
          <w:rFonts w:ascii="arial" w:eastAsia="arial" w:hAnsi="arial" w:cs="arial"/>
          <w:color w:val="000000"/>
          <w:sz w:val="20"/>
          <w:lang w:val="en-US" w:eastAsia="en-US" w:bidi="ar-SA"/>
        </w:rPr>
        <w:t>, where compound interest was recognized as available as compensation when a company had been deprived of the beneficial use of money: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propriety of compound interest is just as clear: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equity interest is awarded whenever a wrongdoer deprives a company of money which it needs for use in its business . . . . On general principles I think it should be presumed that the company (had it not been deprived of the money) would have made the most beneficial use open to it . . . . Alternatively, it should be presumed that the wrongdoer made the most beneficial use of it. But, whichever it is, in order to give adequate compensation, the money should be replaced at interest with yearly rests, i.e. compound interest.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Brock v. Cole</w:t>
      </w:r>
      <w:r>
        <w:rPr>
          <w:rFonts w:ascii="arial" w:eastAsia="arial" w:hAnsi="arial" w:cs="arial"/>
          <w:color w:val="000000"/>
          <w:sz w:val="20"/>
          <w:lang w:val="en-US" w:eastAsia="en-US" w:bidi="ar-SA"/>
        </w:rPr>
        <w:t xml:space="preserve"> </w:t>
      </w:r>
      <w:hyperlink r:id="rId765" w:history="1">
        <w:r>
          <w:rPr>
            <w:rFonts w:ascii="arial" w:eastAsia="arial" w:hAnsi="arial" w:cs="arial"/>
            <w:i/>
            <w:color w:val="0077CC"/>
            <w:sz w:val="20"/>
            <w:u w:val="single"/>
            <w:shd w:val="clear" w:color="auto" w:fill="FFFFFF"/>
            <w:lang w:val="en-US" w:eastAsia="en-US" w:bidi="ar-SA"/>
          </w:rPr>
          <w:t>(1983), 40 O.R. (2d) 97</w:t>
        </w:r>
      </w:hyperlink>
      <w:r>
        <w:rPr>
          <w:rFonts w:ascii="arial" w:eastAsia="arial" w:hAnsi="arial" w:cs="arial"/>
          <w:color w:val="000000"/>
          <w:sz w:val="20"/>
          <w:lang w:val="en-US" w:eastAsia="en-US" w:bidi="ar-SA"/>
        </w:rPr>
        <w:t xml:space="preserve"> (C.A.), at p. 103, citing </w:t>
      </w:r>
      <w:r>
        <w:rPr>
          <w:rFonts w:ascii="arial" w:eastAsia="arial" w:hAnsi="arial" w:cs="arial"/>
          <w:i/>
          <w:color w:val="000000"/>
          <w:sz w:val="20"/>
          <w:lang w:val="en-US" w:eastAsia="en-US" w:bidi="ar-SA"/>
        </w:rPr>
        <w:t>Wallersteiner v. Moir (No. 2)</w:t>
      </w:r>
      <w:r>
        <w:rPr>
          <w:rFonts w:ascii="arial" w:eastAsia="arial" w:hAnsi="arial" w:cs="arial"/>
          <w:color w:val="000000"/>
          <w:sz w:val="20"/>
          <w:lang w:val="en-US" w:eastAsia="en-US" w:bidi="ar-SA"/>
        </w:rPr>
        <w:t>, [1975] 1 All E.R. 849 (C.A.), at p. 856. The provincial liquor authorities deprived the airlines of money that they almost certainly could have used in the conduct of their business. The presumption is hardly unreasonable that if the airlines had had the money, they would have put it to good use. In short, what the airlines lost to the provincial authorities was not just money, but the future value of that money. Therefore, compound interest might have been appropriate.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Having said all that, however, I hesitate to interfere with the decision of the trial judge. The awarding of punitive damages and compound interest is discretionary. See </w:t>
      </w:r>
      <w:r>
        <w:rPr>
          <w:rFonts w:ascii="arial" w:eastAsia="arial" w:hAnsi="arial" w:cs="arial"/>
          <w:i/>
          <w:color w:val="000000"/>
          <w:sz w:val="20"/>
          <w:lang w:val="en-US" w:eastAsia="en-US" w:bidi="ar-SA"/>
        </w:rPr>
        <w:t>Vorvis v. Insurance Corporation of British Columbia</w:t>
      </w:r>
      <w:r>
        <w:rPr>
          <w:rFonts w:ascii="arial" w:eastAsia="arial" w:hAnsi="arial" w:cs="arial"/>
          <w:color w:val="000000"/>
          <w:sz w:val="20"/>
          <w:lang w:val="en-US" w:eastAsia="en-US" w:bidi="ar-SA"/>
        </w:rPr>
        <w:t xml:space="preserve">, </w:t>
      </w:r>
      <w:hyperlink r:id="rId766" w:history="1">
        <w:r>
          <w:rPr>
            <w:rFonts w:ascii="arial" w:eastAsia="arial" w:hAnsi="arial" w:cs="arial"/>
            <w:i/>
            <w:color w:val="0077CC"/>
            <w:sz w:val="20"/>
            <w:u w:val="single"/>
            <w:shd w:val="clear" w:color="auto" w:fill="FFFFFF"/>
            <w:lang w:val="en-US" w:eastAsia="en-US" w:bidi="ar-SA"/>
          </w:rPr>
          <w:t>[1989] 1 S.C.R. 1085</w:t>
        </w:r>
      </w:hyperlink>
      <w:r>
        <w:rPr>
          <w:rFonts w:ascii="arial" w:eastAsia="arial" w:hAnsi="arial" w:cs="arial"/>
          <w:color w:val="000000"/>
          <w:sz w:val="20"/>
          <w:lang w:val="en-US" w:eastAsia="en-US" w:bidi="ar-SA"/>
        </w:rPr>
        <w:t xml:space="preserve">, at pp. 1104-5; Courts of Justice Act, </w:t>
      </w:r>
      <w:hyperlink r:id="rId767" w:history="1">
        <w:r>
          <w:rPr>
            <w:rFonts w:ascii="arial" w:eastAsia="arial" w:hAnsi="arial" w:cs="arial"/>
            <w:i/>
            <w:color w:val="0077CC"/>
            <w:sz w:val="20"/>
            <w:u w:val="single"/>
            <w:shd w:val="clear" w:color="auto" w:fill="FFFFFF"/>
            <w:lang w:val="en-US" w:eastAsia="en-US" w:bidi="ar-SA"/>
          </w:rPr>
          <w:t>R.S.O. 1990, c. C.43, s. 130</w:t>
        </w:r>
      </w:hyperlink>
      <w:r>
        <w:rPr>
          <w:rFonts w:ascii="arial" w:eastAsia="arial" w:hAnsi="arial" w:cs="arial"/>
          <w:color w:val="000000"/>
          <w:sz w:val="20"/>
          <w:lang w:val="en-US" w:eastAsia="en-US" w:bidi="ar-SA"/>
        </w:rPr>
        <w:t xml:space="preserve">. It is a well-established principle that an appellate court should not lightly upset a trial judge's exercise of discretion. See </w:t>
      </w:r>
      <w:r>
        <w:rPr>
          <w:rFonts w:ascii="arial" w:eastAsia="arial" w:hAnsi="arial" w:cs="arial"/>
          <w:i/>
          <w:color w:val="000000"/>
          <w:sz w:val="20"/>
          <w:lang w:val="en-US" w:eastAsia="en-US" w:bidi="ar-SA"/>
        </w:rPr>
        <w:t>Elsom v. Elsom</w:t>
      </w:r>
      <w:r>
        <w:rPr>
          <w:rFonts w:ascii="arial" w:eastAsia="arial" w:hAnsi="arial" w:cs="arial"/>
          <w:color w:val="000000"/>
          <w:sz w:val="20"/>
          <w:lang w:val="en-US" w:eastAsia="en-US" w:bidi="ar-SA"/>
        </w:rPr>
        <w:t xml:space="preserve">, </w:t>
      </w:r>
      <w:hyperlink r:id="rId768" w:history="1">
        <w:r>
          <w:rPr>
            <w:rFonts w:ascii="arial" w:eastAsia="arial" w:hAnsi="arial" w:cs="arial"/>
            <w:i/>
            <w:color w:val="0077CC"/>
            <w:sz w:val="20"/>
            <w:u w:val="single"/>
            <w:shd w:val="clear" w:color="auto" w:fill="FFFFFF"/>
            <w:lang w:val="en-US" w:eastAsia="en-US" w:bidi="ar-SA"/>
          </w:rPr>
          <w:t>[1989] 1 S.C.R. 1367</w:t>
        </w:r>
      </w:hyperlink>
      <w:r>
        <w:rPr>
          <w:rFonts w:ascii="arial" w:eastAsia="arial" w:hAnsi="arial" w:cs="arial"/>
          <w:color w:val="000000"/>
          <w:sz w:val="20"/>
          <w:lang w:val="en-US" w:eastAsia="en-US" w:bidi="ar-SA"/>
        </w:rPr>
        <w:t>, at pp. 1374-75. Because it cannot be said that the trial judge misdirected himself on any applicable principle of law or that his exercise of discretion was so clearly wrong as to amount to an injustice, his refusal to award punitive damages or compound interest should be allowed to stand.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paras. 85-86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It is clear that the Court has an equitable power to award compound interest: </w:t>
      </w:r>
      <w:r>
        <w:rPr>
          <w:rFonts w:ascii="arial" w:eastAsia="arial" w:hAnsi="arial" w:cs="arial"/>
          <w:i/>
          <w:color w:val="000000"/>
          <w:sz w:val="20"/>
          <w:lang w:val="en-US" w:eastAsia="en-US" w:bidi="ar-SA"/>
        </w:rPr>
        <w:t>Bank of America Canada v. Mutual Trust Co.</w:t>
      </w:r>
      <w:r>
        <w:rPr>
          <w:rFonts w:ascii="arial" w:eastAsia="arial" w:hAnsi="arial" w:cs="arial"/>
          <w:color w:val="000000"/>
          <w:sz w:val="20"/>
          <w:lang w:val="en-US" w:eastAsia="en-US" w:bidi="ar-SA"/>
        </w:rPr>
        <w:t xml:space="preserve">, </w:t>
      </w:r>
      <w:hyperlink r:id="rId769" w:history="1">
        <w:r>
          <w:rPr>
            <w:rFonts w:ascii="arial" w:eastAsia="arial" w:hAnsi="arial" w:cs="arial"/>
            <w:i/>
            <w:color w:val="0077CC"/>
            <w:sz w:val="20"/>
            <w:u w:val="single"/>
            <w:shd w:val="clear" w:color="auto" w:fill="FFFFFF"/>
            <w:lang w:val="en-US" w:eastAsia="en-US" w:bidi="ar-SA"/>
          </w:rPr>
          <w:t>[2002] 2 S.C.R. 601</w:t>
        </w:r>
      </w:hyperlink>
      <w:r>
        <w:rPr>
          <w:rFonts w:ascii="arial" w:eastAsia="arial" w:hAnsi="arial" w:cs="arial"/>
          <w:color w:val="000000"/>
          <w:sz w:val="20"/>
          <w:lang w:val="en-US" w:eastAsia="en-US" w:bidi="ar-SA"/>
        </w:rPr>
        <w:t xml:space="preserve"> where Major J., on behalf of the Court, made the following statements: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Equity has been recognized as one right by which interest may be awarded other than as specifically stated in ss. 128 and 129 CJA, including an award of compound interest. (See </w:t>
      </w:r>
      <w:r>
        <w:rPr>
          <w:rFonts w:ascii="arial" w:eastAsia="arial" w:hAnsi="arial" w:cs="arial"/>
          <w:i/>
          <w:color w:val="000000"/>
          <w:sz w:val="20"/>
          <w:lang w:val="en-US" w:eastAsia="en-US" w:bidi="ar-SA"/>
        </w:rPr>
        <w:t>Brock v. Cole</w:t>
      </w:r>
      <w:r>
        <w:rPr>
          <w:rFonts w:ascii="arial" w:eastAsia="arial" w:hAnsi="arial" w:cs="arial"/>
          <w:color w:val="000000"/>
          <w:sz w:val="20"/>
          <w:lang w:val="en-US" w:eastAsia="en-US" w:bidi="ar-SA"/>
        </w:rPr>
        <w:t xml:space="preserve"> </w:t>
      </w:r>
      <w:hyperlink r:id="rId765" w:history="1">
        <w:r>
          <w:rPr>
            <w:rFonts w:ascii="arial" w:eastAsia="arial" w:hAnsi="arial" w:cs="arial"/>
            <w:i/>
            <w:color w:val="0077CC"/>
            <w:sz w:val="20"/>
            <w:u w:val="single"/>
            <w:shd w:val="clear" w:color="auto" w:fill="FFFFFF"/>
            <w:lang w:val="en-US" w:eastAsia="en-US" w:bidi="ar-SA"/>
          </w:rPr>
          <w:t>(1983), 142 D.L.R. (3d) 461</w:t>
        </w:r>
      </w:hyperlink>
      <w:r>
        <w:rPr>
          <w:rFonts w:ascii="arial" w:eastAsia="arial" w:hAnsi="arial" w:cs="arial"/>
          <w:color w:val="000000"/>
          <w:sz w:val="20"/>
          <w:lang w:val="en-US" w:eastAsia="en-US" w:bidi="ar-SA"/>
        </w:rPr>
        <w:t xml:space="preserve"> (Ont. C.A.); </w:t>
      </w:r>
      <w:r>
        <w:rPr>
          <w:rFonts w:ascii="arial" w:eastAsia="arial" w:hAnsi="arial" w:cs="arial"/>
          <w:i/>
          <w:color w:val="000000"/>
          <w:sz w:val="20"/>
          <w:lang w:val="en-US" w:eastAsia="en-US" w:bidi="ar-SA"/>
        </w:rPr>
        <w:t>Claiborne Industries Ltd. v. National Bank of Canada</w:t>
      </w:r>
      <w:r>
        <w:rPr>
          <w:rFonts w:ascii="arial" w:eastAsia="arial" w:hAnsi="arial" w:cs="arial"/>
          <w:color w:val="000000"/>
          <w:sz w:val="20"/>
          <w:lang w:val="en-US" w:eastAsia="en-US" w:bidi="ar-SA"/>
        </w:rPr>
        <w:t xml:space="preserve"> </w:t>
      </w:r>
      <w:hyperlink r:id="rId770" w:history="1">
        <w:r>
          <w:rPr>
            <w:rFonts w:ascii="arial" w:eastAsia="arial" w:hAnsi="arial" w:cs="arial"/>
            <w:i/>
            <w:color w:val="0077CC"/>
            <w:sz w:val="20"/>
            <w:u w:val="single"/>
            <w:shd w:val="clear" w:color="auto" w:fill="FFFFFF"/>
            <w:lang w:val="en-US" w:eastAsia="en-US" w:bidi="ar-SA"/>
          </w:rPr>
          <w:t>(1989), 59 D.L.R. (4th) 533</w:t>
        </w:r>
      </w:hyperlink>
      <w:r>
        <w:rPr>
          <w:rFonts w:ascii="arial" w:eastAsia="arial" w:hAnsi="arial" w:cs="arial"/>
          <w:color w:val="000000"/>
          <w:sz w:val="20"/>
          <w:lang w:val="en-US" w:eastAsia="en-US" w:bidi="ar-SA"/>
        </w:rPr>
        <w:t xml:space="preserve"> (Ont. C.A.); </w:t>
      </w:r>
      <w:r>
        <w:rPr>
          <w:rFonts w:ascii="arial" w:eastAsia="arial" w:hAnsi="arial" w:cs="arial"/>
          <w:i/>
          <w:color w:val="000000"/>
          <w:sz w:val="20"/>
          <w:lang w:val="en-US" w:eastAsia="en-US" w:bidi="ar-SA"/>
        </w:rPr>
        <w:t>Confederation Life Insurance Co. v. Shepherd</w:t>
      </w:r>
      <w:r>
        <w:rPr>
          <w:rFonts w:ascii="arial" w:eastAsia="arial" w:hAnsi="arial" w:cs="arial"/>
          <w:color w:val="000000"/>
          <w:sz w:val="20"/>
          <w:lang w:val="en-US" w:eastAsia="en-US" w:bidi="ar-SA"/>
        </w:rPr>
        <w:t xml:space="preserve"> </w:t>
      </w:r>
      <w:hyperlink r:id="rId771" w:history="1">
        <w:r>
          <w:rPr>
            <w:rFonts w:ascii="arial" w:eastAsia="arial" w:hAnsi="arial" w:cs="arial"/>
            <w:i/>
            <w:color w:val="0077CC"/>
            <w:sz w:val="20"/>
            <w:u w:val="single"/>
            <w:shd w:val="clear" w:color="auto" w:fill="FFFFFF"/>
            <w:lang w:val="en-US" w:eastAsia="en-US" w:bidi="ar-SA"/>
          </w:rPr>
          <w:t>(1996), 88 O.A.C. 398</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Oceanic Exploration Co. v. Denison Mines Ltd.</w:t>
      </w:r>
      <w:r>
        <w:rPr>
          <w:rFonts w:ascii="arial" w:eastAsia="arial" w:hAnsi="arial" w:cs="arial"/>
          <w:color w:val="000000"/>
          <w:sz w:val="20"/>
          <w:lang w:val="en-US" w:eastAsia="en-US" w:bidi="ar-SA"/>
        </w:rPr>
        <w:t xml:space="preserve">, Ont. Ct. (Gen. Div.), May 8, 1998.) It is of some interest that in </w:t>
      </w:r>
      <w:r>
        <w:rPr>
          <w:rFonts w:ascii="arial" w:eastAsia="arial" w:hAnsi="arial" w:cs="arial"/>
          <w:i/>
          <w:color w:val="000000"/>
          <w:sz w:val="20"/>
          <w:lang w:val="en-US" w:eastAsia="en-US" w:bidi="ar-SA"/>
        </w:rPr>
        <w:t>Air Canada v. Ontario (Liquor Control Board)</w:t>
      </w:r>
      <w:r>
        <w:rPr>
          <w:rFonts w:ascii="arial" w:eastAsia="arial" w:hAnsi="arial" w:cs="arial"/>
          <w:color w:val="000000"/>
          <w:sz w:val="20"/>
          <w:lang w:val="en-US" w:eastAsia="en-US" w:bidi="ar-SA"/>
        </w:rPr>
        <w:t xml:space="preserve">, </w:t>
      </w:r>
      <w:hyperlink r:id="rId764" w:history="1">
        <w:r>
          <w:rPr>
            <w:rFonts w:ascii="arial" w:eastAsia="arial" w:hAnsi="arial" w:cs="arial"/>
            <w:i/>
            <w:color w:val="0077CC"/>
            <w:sz w:val="20"/>
            <w:u w:val="single"/>
            <w:shd w:val="clear" w:color="auto" w:fill="FFFFFF"/>
            <w:lang w:val="en-US" w:eastAsia="en-US" w:bidi="ar-SA"/>
          </w:rPr>
          <w:t>[1997] 2 S.C.R. 581</w:t>
        </w:r>
      </w:hyperlink>
      <w:r>
        <w:rPr>
          <w:rFonts w:ascii="arial" w:eastAsia="arial" w:hAnsi="arial" w:cs="arial"/>
          <w:color w:val="000000"/>
          <w:sz w:val="20"/>
          <w:lang w:val="en-US" w:eastAsia="en-US" w:bidi="ar-SA"/>
        </w:rPr>
        <w:t xml:space="preserve">, at para. 85, approving </w:t>
      </w:r>
      <w:r>
        <w:rPr>
          <w:rFonts w:ascii="arial" w:eastAsia="arial" w:hAnsi="arial" w:cs="arial"/>
          <w:i/>
          <w:color w:val="000000"/>
          <w:sz w:val="20"/>
          <w:lang w:val="en-US" w:eastAsia="en-US" w:bidi="ar-SA"/>
        </w:rPr>
        <w:t>Brock</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Iacobucci J. emphasized that in equity the awarding of compound interest is a discretionary matter. Simple breach of contract does not require moral sanction and is usually governed by common law, not equity.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 618)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analysis applies equally to pre-judgment interest and post-judgment interest. Pre-judgment interest is necessary to compensate a plaintiff for the period from when the money was initially owed until the date of the judgment. Contract law principles may require such interest to be compounded so as to award the plaintiff the benefit of the bargain. Damage awards, however, are not necessarily paid at the date judgment is rendered. Contract law entitles the plaintiff to the full value of the benefit of the bargain at the time payment is finally made. Where the parties have earlier agreed on a compound rate of interest, or there are circumstances warranting it, it seems fair that a court have the power to award compound post-judgment interest as damages to enable the plaintiff to be fully compensated when the award is finally paid.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 622)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court's common law power to award damages flows from the application of contract law. In addition, ss. 128(4)(g) and 129(5) CJA, provide statutory authority to award compound pre-judgment and post-judgment interest according to this common law power. The court also has an equitable power to award compound interest, as has traditionally been done in cases of, inter alia, wrongful retention of funds and s. 129(5) CJA provides statutory authority to award compound post-judgment interest according to this equitable power.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pp. 622-623)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award of compound pre- and post-judgment interest will generally be limited to breach of contract cases where there is evidence that the parties agreed, knew, or should have known, that the money which is the subject of the dispute would bear compound interest as damages. It may be awarded as consequential damages in other cases but there would be the usual requirement of proving that damage component.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pp. 623-624)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Camarin relies on the following further decisions to support its submission that it should be entitled to prejudgment interest compounded monthly: </w:t>
      </w:r>
      <w:r>
        <w:rPr>
          <w:rFonts w:ascii="arial" w:eastAsia="arial" w:hAnsi="arial" w:cs="arial"/>
          <w:i/>
          <w:color w:val="000000"/>
          <w:sz w:val="20"/>
          <w:lang w:val="en-US" w:eastAsia="en-US" w:bidi="ar-SA"/>
        </w:rPr>
        <w:t>Pacific Playground Holdings Ltd. v. Endeavour Developments Ltd.</w:t>
      </w:r>
      <w:r>
        <w:rPr>
          <w:rFonts w:ascii="arial" w:eastAsia="arial" w:hAnsi="arial" w:cs="arial"/>
          <w:color w:val="000000"/>
          <w:sz w:val="20"/>
          <w:lang w:val="en-US" w:eastAsia="en-US" w:bidi="ar-SA"/>
        </w:rPr>
        <w:t xml:space="preserve"> </w:t>
      </w:r>
      <w:hyperlink r:id="rId772" w:history="1">
        <w:r>
          <w:rPr>
            <w:rFonts w:ascii="arial" w:eastAsia="arial" w:hAnsi="arial" w:cs="arial"/>
            <w:i/>
            <w:color w:val="0077CC"/>
            <w:sz w:val="20"/>
            <w:u w:val="single"/>
            <w:shd w:val="clear" w:color="auto" w:fill="FFFFFF"/>
            <w:lang w:val="en-US" w:eastAsia="en-US" w:bidi="ar-SA"/>
          </w:rPr>
          <w:t>(2002), 28 C.P.C. (5th) 85</w:t>
        </w:r>
      </w:hyperlink>
      <w:r>
        <w:rPr>
          <w:rFonts w:ascii="arial" w:eastAsia="arial" w:hAnsi="arial" w:cs="arial"/>
          <w:color w:val="000000"/>
          <w:sz w:val="20"/>
          <w:lang w:val="en-US" w:eastAsia="en-US" w:bidi="ar-SA"/>
        </w:rPr>
        <w:t xml:space="preserve"> (B.C.S.C.); </w:t>
      </w:r>
      <w:r>
        <w:rPr>
          <w:rFonts w:ascii="arial" w:eastAsia="arial" w:hAnsi="arial" w:cs="arial"/>
          <w:i/>
          <w:color w:val="000000"/>
          <w:sz w:val="20"/>
          <w:lang w:val="en-US" w:eastAsia="en-US" w:bidi="ar-SA"/>
        </w:rPr>
        <w:t>Morriss v. British Columbia</w:t>
      </w:r>
      <w:r>
        <w:rPr>
          <w:rFonts w:ascii="arial" w:eastAsia="arial" w:hAnsi="arial" w:cs="arial"/>
          <w:color w:val="000000"/>
          <w:sz w:val="20"/>
          <w:lang w:val="en-US" w:eastAsia="en-US" w:bidi="ar-SA"/>
        </w:rPr>
        <w:t xml:space="preserve"> </w:t>
      </w:r>
      <w:hyperlink r:id="rId773" w:history="1">
        <w:r>
          <w:rPr>
            <w:rFonts w:ascii="arial" w:eastAsia="arial" w:hAnsi="arial" w:cs="arial"/>
            <w:i/>
            <w:color w:val="0077CC"/>
            <w:sz w:val="20"/>
            <w:u w:val="single"/>
            <w:shd w:val="clear" w:color="auto" w:fill="FFFFFF"/>
            <w:lang w:val="en-US" w:eastAsia="en-US" w:bidi="ar-SA"/>
          </w:rPr>
          <w:t>(2007), 69 B.C.L.R. (4th) 1</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Brown v. Brown</w:t>
      </w:r>
      <w:r>
        <w:rPr>
          <w:rFonts w:ascii="arial" w:eastAsia="arial" w:hAnsi="arial" w:cs="arial"/>
          <w:color w:val="000000"/>
          <w:sz w:val="20"/>
          <w:lang w:val="en-US" w:eastAsia="en-US" w:bidi="ar-SA"/>
        </w:rPr>
        <w:t xml:space="preserve"> </w:t>
      </w:r>
      <w:hyperlink r:id="rId774" w:history="1">
        <w:r>
          <w:rPr>
            <w:rFonts w:ascii="arial" w:eastAsia="arial" w:hAnsi="arial" w:cs="arial"/>
            <w:i/>
            <w:color w:val="0077CC"/>
            <w:sz w:val="20"/>
            <w:u w:val="single"/>
            <w:shd w:val="clear" w:color="auto" w:fill="FFFFFF"/>
            <w:lang w:val="en-US" w:eastAsia="en-US" w:bidi="ar-SA"/>
          </w:rPr>
          <w:t>(2011), 68 E.T.R. (3d) 117</w:t>
        </w:r>
      </w:hyperlink>
      <w:r>
        <w:rPr>
          <w:rFonts w:ascii="arial" w:eastAsia="arial" w:hAnsi="arial" w:cs="arial"/>
          <w:color w:val="000000"/>
          <w:sz w:val="20"/>
          <w:lang w:val="en-US" w:eastAsia="en-US" w:bidi="ar-SA"/>
        </w:rPr>
        <w:t xml:space="preserve"> (B.C.S.C.); and </w:t>
      </w:r>
      <w:r>
        <w:rPr>
          <w:rFonts w:ascii="arial" w:eastAsia="arial" w:hAnsi="arial" w:cs="arial"/>
          <w:i/>
          <w:color w:val="000000"/>
          <w:sz w:val="20"/>
          <w:lang w:val="en-US" w:eastAsia="en-US" w:bidi="ar-SA"/>
        </w:rPr>
        <w:t>Teal Cedar Products Ltd. v. British Columbia (Ministry of Forests)</w:t>
      </w:r>
      <w:r>
        <w:rPr>
          <w:rFonts w:ascii="arial" w:eastAsia="arial" w:hAnsi="arial" w:cs="arial"/>
          <w:color w:val="000000"/>
          <w:sz w:val="20"/>
          <w:lang w:val="en-US" w:eastAsia="en-US" w:bidi="ar-SA"/>
        </w:rPr>
        <w:t xml:space="preserve">, </w:t>
      </w:r>
      <w:hyperlink r:id="rId775" w:history="1">
        <w:r>
          <w:rPr>
            <w:rFonts w:ascii="arial" w:eastAsia="arial" w:hAnsi="arial" w:cs="arial"/>
            <w:i/>
            <w:color w:val="0077CC"/>
            <w:sz w:val="20"/>
            <w:u w:val="single"/>
            <w:shd w:val="clear" w:color="auto" w:fill="FFFFFF"/>
            <w:lang w:val="en-US" w:eastAsia="en-US" w:bidi="ar-SA"/>
          </w:rPr>
          <w:t>[2012] 6 W.W.R. 629</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Pacific Playground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A.F. Wilson J., concluded that the decision in </w:t>
      </w:r>
      <w:r>
        <w:rPr>
          <w:rFonts w:ascii="arial" w:eastAsia="arial" w:hAnsi="arial" w:cs="arial"/>
          <w:i/>
          <w:color w:val="000000"/>
          <w:sz w:val="20"/>
          <w:lang w:val="en-US" w:eastAsia="en-US" w:bidi="ar-SA"/>
        </w:rPr>
        <w:t>Bank of America (Canada)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applied in British Columbia despite s. 2(c) of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Morriss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Chiasson J.A. on behalf of the Court stated that: "... equity is bridging a gap to ensure that the law provides full compensation. It is a recognition of the legitimate expectations that interest will be paid." (at para. 36).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B.J. Brown J. awarded compound interest on a damage award for breach of trust notwithstanding that there was no agreement between the parties with respect to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Camarin submits that there are a number of factors which support its submission that there be an award for compound prejudgment interest: (a) Camarin was fully successful in defending the Claim of Swiss Re and proving its Counterclaim; (b) Swiss Re took various positions throughout the litigation that caused prejudice and expense to Camarin, including maintaining an unnecessary "fraud" allegation without any evidentiary basis until the eve of trial and pleading that Camarin failed to disclose the Anistics Report; and (c) the judgment of $25,092,872.81 (U.S. funds) owing to Camarin has not been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In opposing the submissions of Camarin, Swiss Re submits that the equitable jurisdiction of the Court to award compound interest has traditionally been restricted to claims where the defendant had improperly withheld property or profits from property from the plaintiff. In </w:t>
      </w:r>
      <w:r>
        <w:rPr>
          <w:rFonts w:ascii="arial" w:eastAsia="arial" w:hAnsi="arial" w:cs="arial"/>
          <w:i/>
          <w:color w:val="000000"/>
          <w:sz w:val="20"/>
          <w:lang w:val="en-US" w:eastAsia="en-US" w:bidi="ar-SA"/>
        </w:rPr>
        <w:t>K.L.B. v. British Columbia</w:t>
      </w:r>
      <w:r>
        <w:rPr>
          <w:rFonts w:ascii="arial" w:eastAsia="arial" w:hAnsi="arial" w:cs="arial"/>
          <w:color w:val="000000"/>
          <w:sz w:val="20"/>
          <w:lang w:val="en-US" w:eastAsia="en-US" w:bidi="ar-SA"/>
        </w:rPr>
        <w:t xml:space="preserve"> </w:t>
      </w:r>
      <w:hyperlink r:id="rId776" w:history="1">
        <w:r>
          <w:rPr>
            <w:rFonts w:ascii="arial" w:eastAsia="arial" w:hAnsi="arial" w:cs="arial"/>
            <w:i/>
            <w:color w:val="0077CC"/>
            <w:sz w:val="20"/>
            <w:u w:val="single"/>
            <w:shd w:val="clear" w:color="auto" w:fill="FFFFFF"/>
            <w:lang w:val="en-US" w:eastAsia="en-US" w:bidi="ar-SA"/>
          </w:rPr>
          <w:t>(2001), 87 B.C.L.R. (3d) 52</w:t>
        </w:r>
      </w:hyperlink>
      <w:r>
        <w:rPr>
          <w:rFonts w:ascii="arial" w:eastAsia="arial" w:hAnsi="arial" w:cs="arial"/>
          <w:color w:val="000000"/>
          <w:sz w:val="20"/>
          <w:lang w:val="en-US" w:eastAsia="en-US" w:bidi="ar-SA"/>
        </w:rPr>
        <w:t xml:space="preserve"> (C.A.), Mackenzie J.A. on behalf of the Court made these statements in that regard: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Traditionally, the judicial decision to award equitable interest was restricted to ancillary relief associated with an accounting for profits or some other property claim. </w:t>
      </w:r>
      <w:r>
        <w:rPr>
          <w:rFonts w:ascii="arial" w:eastAsia="arial" w:hAnsi="arial" w:cs="arial"/>
          <w:i/>
          <w:color w:val="000000"/>
          <w:sz w:val="20"/>
          <w:lang w:val="en-US" w:eastAsia="en-US" w:bidi="ar-SA"/>
        </w:rPr>
        <w:t>Halsbury's Laws of England</w:t>
      </w:r>
      <w:r>
        <w:rPr>
          <w:rFonts w:ascii="arial" w:eastAsia="arial" w:hAnsi="arial" w:cs="arial"/>
          <w:color w:val="000000"/>
          <w:sz w:val="20"/>
          <w:lang w:val="en-US" w:eastAsia="en-US" w:bidi="ar-SA"/>
        </w:rPr>
        <w:t>, 4th ed. (1992) (Vol. 16 at para. 744) states: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principle underlying relief in equity is that the defendant has improperly received or withheld property, or profits from property (such property or profits belonging to the plaintiff) and is required to restore the property or to account for the profits.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trial judge quoted in support of the court's equitable jurisdiction to award interest in this case the following passage from Lord Brandon's leading speech in </w:t>
      </w:r>
      <w:r>
        <w:rPr>
          <w:rFonts w:ascii="arial" w:eastAsia="arial" w:hAnsi="arial" w:cs="arial"/>
          <w:i/>
          <w:color w:val="000000"/>
          <w:sz w:val="20"/>
          <w:lang w:val="en-US" w:eastAsia="en-US" w:bidi="ar-SA"/>
        </w:rPr>
        <w:t>President of India v. La Pintada Compania Navigacion S.A.</w:t>
      </w:r>
      <w:r>
        <w:rPr>
          <w:rFonts w:ascii="arial" w:eastAsia="arial" w:hAnsi="arial" w:cs="arial"/>
          <w:color w:val="000000"/>
          <w:sz w:val="20"/>
          <w:lang w:val="en-US" w:eastAsia="en-US" w:bidi="ar-SA"/>
        </w:rPr>
        <w:t>, [1984] 2 All E.R. 773 at 779: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Thirdly, the area of equity. The Chancery Courts, again differing from the common law courts, had regularly awarded simple interest as ancillary relief in respect of equitable remedies, such as specific performance, rescission and the taking of an account. Chancery courts had further regularly awarded interest, including not only simple interest but also compound interest, when they thought that justice so demanded, that is to say in cases where money had been obtained and retained by fraud, or where it had been withheld or misapplied by a trustee or anyone else in a fiduciary position.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respectful view, this statement of Lord Brandon does not support the proposition that an award of equitable interest is appropriate beyond the limited category of property claims. Lord Denning M.R. clearly identified this limited jurisdiction in </w:t>
      </w:r>
      <w:r>
        <w:rPr>
          <w:rFonts w:ascii="arial" w:eastAsia="arial" w:hAnsi="arial" w:cs="arial"/>
          <w:i/>
          <w:color w:val="000000"/>
          <w:sz w:val="20"/>
          <w:lang w:val="en-US" w:eastAsia="en-US" w:bidi="ar-SA"/>
        </w:rPr>
        <w:t>Wallersteiner v. Moir</w:t>
      </w:r>
      <w:r>
        <w:rPr>
          <w:rFonts w:ascii="arial" w:eastAsia="arial" w:hAnsi="arial" w:cs="arial"/>
          <w:color w:val="000000"/>
          <w:sz w:val="20"/>
          <w:lang w:val="en-US" w:eastAsia="en-US" w:bidi="ar-SA"/>
        </w:rPr>
        <w:t xml:space="preserve"> (No. 2), [1975] 1 Q.B. 373. He stated at 388: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in equity, interest is never awarded by way of punishment. Equity awards it whenever money is misused by an executor or a trustee or anyone else in a fiduciary position ... who has misapplied the money and made use of it himself for his own benefit. ... The reason is because a person in a fiduciary position is not allowed to make profit out of his trust: and, if he does, he is liable to account for that profit or interest in lieu thereof.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addition, in equity interest is awarded whenever a wrongdoer deprives a company of money which it needs for use in its business. (at para. 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Swiss Re submits that, of the five decisions that Camarin has cited in support of its submissions, three of the decisions involved claims for the improper withholding of property belonging to the plaintiff: (a) </w:t>
      </w:r>
      <w:r>
        <w:rPr>
          <w:rFonts w:ascii="arial" w:eastAsia="arial" w:hAnsi="arial" w:cs="arial"/>
          <w:i/>
          <w:color w:val="000000"/>
          <w:sz w:val="20"/>
          <w:lang w:val="en-US" w:eastAsia="en-US" w:bidi="ar-SA"/>
        </w:rPr>
        <w:t>Morriss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where compound interest on compensation awarded to the plaintiff for expropriation of its mineral claims by the Province was allowed; (b)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where compound interest on damages was awarded against the administrator of the deceased's estate who failed to disburse one-half of the residue of the estate that had been bequeathed to the Plaintiff under the will of the deceased; and (c) </w:t>
      </w:r>
      <w:r>
        <w:rPr>
          <w:rFonts w:ascii="arial" w:eastAsia="arial" w:hAnsi="arial" w:cs="arial"/>
          <w:i/>
          <w:color w:val="000000"/>
          <w:sz w:val="20"/>
          <w:lang w:val="en-US" w:eastAsia="en-US" w:bidi="ar-SA"/>
        </w:rPr>
        <w:t>Teal Cedar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where the Court refused the application of the Province for leave to appeal an award of compound interest where the Province expropriated a portion of the allowable annual cuts of the plaintiff in order to create a new provincial park and where compensation was awarded to the plaintiff for the expropriation of the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Regarding the </w:t>
      </w:r>
      <w:r>
        <w:rPr>
          <w:rFonts w:ascii="arial" w:eastAsia="arial" w:hAnsi="arial" w:cs="arial"/>
          <w:i/>
          <w:color w:val="000000"/>
          <w:sz w:val="20"/>
          <w:lang w:val="en-US" w:eastAsia="en-US" w:bidi="ar-SA"/>
        </w:rPr>
        <w:t>Bank of America (Canada)</w:t>
      </w:r>
      <w:r>
        <w:rPr>
          <w:rFonts w:ascii="arial" w:eastAsia="arial" w:hAnsi="arial" w:cs="arial"/>
          <w:color w:val="000000"/>
          <w:sz w:val="20"/>
          <w:lang w:val="en-US" w:eastAsia="en-US" w:bidi="ar-SA"/>
        </w:rPr>
        <w:t xml:space="preserve"> and the</w:t>
      </w:r>
      <w:r>
        <w:rPr>
          <w:rFonts w:ascii="arial" w:eastAsia="arial" w:hAnsi="arial" w:cs="arial"/>
          <w:i/>
          <w:color w:val="000000"/>
          <w:sz w:val="20"/>
          <w:lang w:val="en-US" w:eastAsia="en-US" w:bidi="ar-SA"/>
        </w:rPr>
        <w:t xml:space="preserve"> Pacific Playground Holdings</w:t>
      </w:r>
      <w:r>
        <w:rPr>
          <w:rFonts w:ascii="arial" w:eastAsia="arial" w:hAnsi="arial" w:cs="arial"/>
          <w:color w:val="000000"/>
          <w:sz w:val="20"/>
          <w:lang w:val="en-US" w:eastAsia="en-US" w:bidi="ar-SA"/>
        </w:rPr>
        <w:t xml:space="preserve"> decisions,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Swiss Re submits that both of these decisions involve situations where the defendant knew that its breach of contract would result in compound interest being lost or incurred by the plaintiff under another agreement which provided for the payment of compound interest. As was noted in </w:t>
      </w:r>
      <w:r>
        <w:rPr>
          <w:rFonts w:ascii="arial" w:eastAsia="arial" w:hAnsi="arial" w:cs="arial"/>
          <w:i/>
          <w:color w:val="000000"/>
          <w:sz w:val="20"/>
          <w:lang w:val="en-US" w:eastAsia="en-US" w:bidi="ar-SA"/>
        </w:rPr>
        <w:t>Bank of America (Canada)</w:t>
      </w:r>
      <w:r>
        <w:rPr>
          <w:rFonts w:ascii="arial" w:eastAsia="arial" w:hAnsi="arial" w:cs="arial"/>
          <w:color w:val="000000"/>
          <w:sz w:val="20"/>
          <w:lang w:val="en-US" w:eastAsia="en-US" w:bidi="ar-SA"/>
        </w:rPr>
        <w:t>, Swiss Re submits that the award of compound interest is generally limited to breach of contract cases where there is evidence that the parties "... agreed, knew or should have known, that the money which is the subject of the dispute would bear compound interest as damages" (at p. 623).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 adopt the submissions of Swiss Re regarding the decisions relied upon by Camarin. I am satisfied that those decisions involved the improper withholding of property that belonged to a plaintiff, reason to believe that compound interest would be lost or incurred, or some reason to believe that compound interest would be available. In this latter regard, Camarin has confirmed that there is nothing in the various agreements between Swiss Re and Camarin which would allow the conclusion to be drawn that it was contemplated that amounts not paid would bear any or compound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I find that there is no basis for awarding compound interest. There was no claim by Camarin for the improper withholding of property or the loss of profits arising from improper withholding of property. I find that the Claim of Camarin for indemnification under the Swiss Re policies does not fall within the narrow class of contractual claims described in </w:t>
      </w:r>
      <w:r>
        <w:rPr>
          <w:rFonts w:ascii="arial" w:eastAsia="arial" w:hAnsi="arial" w:cs="arial"/>
          <w:i/>
          <w:color w:val="000000"/>
          <w:sz w:val="20"/>
          <w:lang w:val="en-US" w:eastAsia="en-US" w:bidi="ar-SA"/>
        </w:rPr>
        <w:t>Bank of America Canada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The mere fact that Camarin did not have "use of the value of the damages" is not a basis for awarding compound interest on the damages. Otherwise, compound interest would have to be awarded in every action where the plaintiff is ultimately successful at trial. There is no evidence that the amount payable to Camarin was retained by fraud or withheld or misapplied by Swiss Re in a fiduciary capacity. As well, Camarin was in receivership so it can hardly be said that it was deprived of money that it could have used in carrying on its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cannot conclude that equity should be called upon to provide ancillary relief associated with an accounting for profits or some other property claim. I am also satisfied that the fact that Camarin was successful , that Swiss Re took various positions throughout which were ultimately found not to be sustainable, that judgment in its favour was awarded, and that the judgment has not as yet been paid are not grounds to award compound interest. I am satisfied that compound interest should not be awarded as a "punishment" for the conduct of a party during or after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interest accruing on the judgment of $25,092,872.81 (U.S. funds) will accrue on a simple interest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Camarin will be entitled Party and Party (Scale C) Costs throughout and not to Special Costs. Camarin will be entitled to Double Costs from and after the first date of Trial, March 6, 2008. Camarin will not be entitled to costs against AON and Camarin and AON will bear their own costs of the Third Party Claim. Camarin will not be entitled to compound interest on the judgment obtained against Swiss 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G.D. BURNYEAT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8" style="position:absolute;z-index:2517964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77"/>
          <w:headerReference w:type="default" r:id="rId778"/>
          <w:footerReference w:type="even" r:id="rId779"/>
          <w:footerReference w:type="default" r:id="rId780"/>
          <w:headerReference w:type="first" r:id="rId781"/>
          <w:footerReference w:type="first" r:id="rId78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83" w:history="1">
        <w:r>
          <w:rPr>
            <w:rFonts w:ascii="arial" w:eastAsia="arial" w:hAnsi="arial" w:cs="arial"/>
            <w:b/>
            <w:bCs/>
            <w:i/>
            <w:color w:val="0077CC"/>
            <w:kern w:val="32"/>
            <w:sz w:val="28"/>
            <w:szCs w:val="32"/>
            <w:u w:val="single"/>
            <w:shd w:val="clear" w:color="auto" w:fill="FFFFFF"/>
            <w:lang w:val="en-US" w:eastAsia="en-US" w:bidi="ar-SA"/>
          </w:rPr>
          <w:t>Abdi v. Bottomley, [2018] B.C.J. No. 7013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J.M. Gropper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15 and 18,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June 19,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S147738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7013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2331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84 M.P.L.R. (5th) 321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98 R.P.R. (5th) 333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CarswellBC 3510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Alla Abdi, Plaintiff, and Paul Bottomley, Roberta Bottomley, and City of Burnaby, Defendants, and Paul Bottomley and Roberta Bottomley,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(113 paras.)</w:t>
      </w:r>
    </w:p>
    <w:p>
      <w:pPr>
        <w:jc w:val="both"/>
        <w:rPr>
          <w:rFonts w:ascii="arial" w:eastAsia="arial" w:hAnsi="arial" w:cs="arial"/>
          <w:sz w:val="20"/>
          <w:lang w:val="en-US" w:eastAsia="en-US" w:bidi="ar-SA"/>
        </w:rPr>
      </w:pPr>
      <w:bookmarkStart w:id="179" w:name="Counsel_35"/>
      <w:bookmarkEnd w:id="17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9" style="position:absolute;z-index:2516951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J.S. Stanley, P.J. Bosco.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and Third Parties Paul and Roberta Bottomley: M.D. Murphy.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City of Burnaby: D.J.A. Bell, S.L. Hamilton.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80" w:name="Judgment_35"/>
      <w:bookmarkEnd w:id="180"/>
      <w:r>
        <w:pict>
          <v:line id="_x0000_s1160" style="position:absolute;z-index:25174630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Ruling Re No-Evidence Motion</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8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1" w:name="J.M. GROPPER J. (orally)"/>
            <w:bookmarkEnd w:id="181"/>
            <w:r>
              <w:rPr>
                <w:rFonts w:ascii="arial" w:eastAsia="arial" w:hAnsi="arial" w:cs="arial"/>
                <w:b/>
                <w:color w:val="000000"/>
                <w:sz w:val="30"/>
                <w:lang w:val="en-US" w:eastAsia="en-US" w:bidi="ar-SA"/>
              </w:rPr>
              <w:t>J.M. GROPPER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brought an action against the defendant tenants, Paul and Roberta Bottomley, and the defendant landlord, the City of Burnaby (the City or Burnaby), seeking damages for personal injuries sustained in a fire-related incident on May 14, 2014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At the close of the plaintiff's case at trial, Burnaby applied for an order that the claim against it be dismissed by bringing a no-evidence motion under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12-5(4) and 12-5(5). Burnaby submits that the plaintiff has failed to call evidence capable of establishing the essential elements of any of the causes of actions pleaded against the defendant landlord.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incident involved a fire in a commercial truck wheel rim acting as a fire pit (fire pit), located on Burnaby-owned land in the defendant tenants' yard. During a gathering at which the plaintiff was present, Mr. Bottomley poured used motor oil onto the fire. The plaintiff was injured by the ensuing explosion.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City enacted a bylaw in 2004 prohibiting the lighting of any open fires, including in any outdoor fireplaces, without first obtaining a permit from the Fire Chief: City of Burnaby, bylaw No. 11860, </w:t>
      </w:r>
      <w:r>
        <w:rPr>
          <w:rFonts w:ascii="arial" w:eastAsia="arial" w:hAnsi="arial" w:cs="arial"/>
          <w:i/>
          <w:color w:val="000000"/>
          <w:sz w:val="20"/>
          <w:lang w:val="en-US" w:eastAsia="en-US" w:bidi="ar-SA"/>
        </w:rPr>
        <w:t>Burnaby Fire Services Bylaw, 2004</w:t>
      </w:r>
      <w:r>
        <w:rPr>
          <w:rFonts w:ascii="arial" w:eastAsia="arial" w:hAnsi="arial" w:cs="arial"/>
          <w:color w:val="000000"/>
          <w:sz w:val="20"/>
          <w:lang w:val="en-US" w:eastAsia="en-US" w:bidi="ar-SA"/>
        </w:rPr>
        <w:t xml:space="preserve"> (6 December 2004), s. 31 (bylaw).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Bottomleys were the City's tenants at the time of the incident as per a residential tenancy agreement entered into in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fire pit was put in place by Mr. Bottomley without Burnaby's knowledge or permission in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New Year's Eve of 2008, emergency services responded to a large fire in the Bottomleys yard (2008 fire). The flames were described by a neighbour as being up to 20 feet in the air and resulted in some trees catching on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Representatives from the City were at the Bottomleys' premises (premises) 20 to 25 times between the beginning of the tenancy in 2005 and the incident in May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applicable test for a no-evidence motion is whether there is any evidence upon which the trier of fact can come to a conclusion regarding the fact that the plaintiff has sought to prove: </w:t>
      </w:r>
      <w:r>
        <w:rPr>
          <w:rFonts w:ascii="arial" w:eastAsia="arial" w:hAnsi="arial" w:cs="arial"/>
          <w:i/>
          <w:color w:val="000000"/>
          <w:sz w:val="20"/>
          <w:lang w:val="en-US" w:eastAsia="en-US" w:bidi="ar-SA"/>
        </w:rPr>
        <w:t>Roberge v. Huberman</w:t>
      </w:r>
      <w:r>
        <w:rPr>
          <w:rFonts w:ascii="arial" w:eastAsia="arial" w:hAnsi="arial" w:cs="arial"/>
          <w:color w:val="000000"/>
          <w:sz w:val="20"/>
          <w:lang w:val="en-US" w:eastAsia="en-US" w:bidi="ar-SA"/>
        </w:rPr>
        <w:t xml:space="preserve">, </w:t>
      </w:r>
      <w:hyperlink r:id="rId784" w:history="1">
        <w:r>
          <w:rPr>
            <w:rFonts w:ascii="arial" w:eastAsia="arial" w:hAnsi="arial" w:cs="arial"/>
            <w:i/>
            <w:color w:val="0077CC"/>
            <w:sz w:val="20"/>
            <w:u w:val="single"/>
            <w:shd w:val="clear" w:color="auto" w:fill="FFFFFF"/>
            <w:lang w:val="en-US" w:eastAsia="en-US" w:bidi="ar-SA"/>
          </w:rPr>
          <w:t>1999 BCCA 196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Roberge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Roberge</w:t>
      </w:r>
      <w:r>
        <w:rPr>
          <w:rFonts w:ascii="arial" w:eastAsia="arial" w:hAnsi="arial" w:cs="arial"/>
          <w:color w:val="000000"/>
          <w:sz w:val="20"/>
          <w:lang w:val="en-US" w:eastAsia="en-US" w:bidi="ar-SA"/>
        </w:rPr>
        <w:t xml:space="preserve"> further clarifies the distinct roles of a judge and jury at para. 35: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[35] ...It is for the judge to determine whether there is some evidence on each element of the cause of action required to be proved by the plaintiff; it is for the jury to determine whether that evidence is sufficient to justify a verdict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In considering a no-evidence motion, the judge must decide whether there is any evidence, if left uncontradicted, to satisfy a reasonable person. The judge is not to consider the weight of the evidence or the credibility of witnesses. The evidence on the necessary elements is to be assessed only on the extent that is required to determine that the evidence amounts to more than mere speculation. If an inference which is essential to the plaintiff's case would be mere speculation, the defendant's no-evidence application should be granted: </w:t>
      </w:r>
      <w:r>
        <w:rPr>
          <w:rFonts w:ascii="arial" w:eastAsia="arial" w:hAnsi="arial" w:cs="arial"/>
          <w:i/>
          <w:color w:val="000000"/>
          <w:sz w:val="20"/>
          <w:lang w:val="en-US" w:eastAsia="en-US" w:bidi="ar-SA"/>
        </w:rPr>
        <w:t>Craigdarloch Holdings Ltd. v. Syscon Justice Systems Canada Ltd.</w:t>
      </w:r>
      <w:r>
        <w:rPr>
          <w:rFonts w:ascii="arial" w:eastAsia="arial" w:hAnsi="arial" w:cs="arial"/>
          <w:color w:val="000000"/>
          <w:sz w:val="20"/>
          <w:lang w:val="en-US" w:eastAsia="en-US" w:bidi="ar-SA"/>
        </w:rPr>
        <w:t xml:space="preserve">, </w:t>
      </w:r>
      <w:hyperlink r:id="rId785" w:history="1">
        <w:r>
          <w:rPr>
            <w:rFonts w:ascii="arial" w:eastAsia="arial" w:hAnsi="arial" w:cs="arial"/>
            <w:i/>
            <w:color w:val="0077CC"/>
            <w:sz w:val="20"/>
            <w:u w:val="single"/>
            <w:shd w:val="clear" w:color="auto" w:fill="FFFFFF"/>
            <w:lang w:val="en-US" w:eastAsia="en-US" w:bidi="ar-SA"/>
          </w:rPr>
          <w:t>2010 BCSC 46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Plaintiff's Claim Against Burnaby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plaintiff asserts that Burnaby owed a duty of care to her pursuant to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Residential Tenancy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2002, c. 78</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RTA</w:t>
      </w:r>
      <w:r>
        <w:rPr>
          <w:rFonts w:ascii="arial" w:eastAsia="arial" w:hAnsi="arial" w:cs="arial"/>
          <w:color w:val="000000"/>
          <w:sz w:val="20"/>
          <w:lang w:val="en-US" w:eastAsia="en-US" w:bidi="ar-SA"/>
        </w:rPr>
        <w:t>], and at common law and/or as a result of the policies Burnaby enacted.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particulars alleged against Burnaby in the amended notice of civil claim are:</w:t>
      </w:r>
      <w:r>
        <w:rPr>
          <w:rFonts w:ascii="arial" w:eastAsia="arial" w:hAnsi="arial" w:cs="arial"/>
          <w:sz w:val="20"/>
          <w:lang w:val="en-US" w:eastAsia="en-US" w:bidi="ar-SA"/>
        </w:rPr>
        <w:cr/>
      </w:r>
    </w:p>
    <w:p>
      <w:pPr>
        <w:numPr>
          <w:numId w:val="1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maintain the Premises in a reasonably safe condition;</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routinely inspect, properly or at all, the Premises at or near the Fire Accident site;</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remove the Fire Pit, despite the low cost and/or low burden such removal would place on the defendant City;</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permitting the Fire Pit to remain when the defendant City knew or ought reasonably to have known that such a Fire Pit would be used for open fires, creating a danger to persons on, or adjacent to, the Premises;</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enforce their own bylaws banning open fires, when the defendant City knew or ought reasonably to have known that such open fires create a danger to persons on, or adjacent to, the Premises;</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place a reasonable barrier around the fire to prevent a person from sitting close to an open fire, when the defendant City knew or ought reasonably to have known that open fires create a danger to persons near an open fire;</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monitor and prevent the illegal open burning on the Premises, when the defendant City knew or ought reasonably to have known that open fires create a danger to persons on, or adjacent to, the Premises; and</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such further and other particulars as counsel may advise.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Burnaby's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Burnaby submits that the plaintiff failed to lead evidence capable of satisfying any of the causes of action brought against it, either under statute or the common law.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Statutory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Section 6 of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provides the duty of care owed by a landlord to persons on the premises when that landlord is responsible for maintenance and repairs, and when a landlord is in default of their duty. It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 (1) If premises are occupied or used under a tenancy under which a landlord is responsible for the maintenance or repair of the premises, it is the duty of the landlord to show toward any person who, or whose property, may be on the premises the same care in respect of risks arising from failure on the landlord's part in carrying out the landlord's responsibility, as is required by this Act to be shown by an occupier of premises toward persons entering on or using the premises.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purposes of this section</w:t>
      </w:r>
    </w:p>
    <w:p>
      <w:pPr>
        <w:numPr>
          <w:numId w:val="1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landlord is not in default of the landlord's duty under subsection (1) unless the default would be actionable at the suit of the occupier,</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 nothing relieves a landlord of a duty the</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landlord may have apart from this section, and</w:t>
      </w:r>
      <w:r>
        <w:rPr>
          <w:rFonts w:ascii="arial" w:eastAsia="arial" w:hAnsi="arial" w:cs="arial"/>
          <w:sz w:val="20"/>
          <w:lang w:val="en-US" w:eastAsia="en-US" w:bidi="ar-SA"/>
        </w:rPr>
        <w:cr/>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obligations imposed by an enactment in respect of a tenancy are deemed to be imposed by the tenancy.</w:t>
      </w:r>
    </w:p>
    <w:p>
      <w:pPr>
        <w:numPr>
          <w:numId w:val="1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section applies to all tenancies.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A landlord's obligations under s. 32 of the </w:t>
      </w:r>
      <w:r>
        <w:rPr>
          <w:rFonts w:ascii="arial" w:eastAsia="arial" w:hAnsi="arial" w:cs="arial"/>
          <w:i/>
          <w:color w:val="000000"/>
          <w:sz w:val="20"/>
          <w:lang w:val="en-US" w:eastAsia="en-US" w:bidi="ar-SA"/>
        </w:rPr>
        <w:t>RTA</w:t>
      </w:r>
      <w:r>
        <w:rPr>
          <w:rFonts w:ascii="arial" w:eastAsia="arial" w:hAnsi="arial" w:cs="arial"/>
          <w:color w:val="000000"/>
          <w:sz w:val="20"/>
          <w:lang w:val="en-US" w:eastAsia="en-US" w:bidi="ar-SA"/>
        </w:rPr>
        <w:t xml:space="preserve"> 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 (1) A landlord must provide and maintain residential property in a state of decoration and repair that</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complies with the health, safety and housing standards required by law, and</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having regard to the age, character and location of the rental unit, makes it suitable for occupation by a tenant.</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Burnaby Not Responsible for Maintenance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Burnaby says that the plaintiff has not led evidence capable of satisfying a reasonable trier of fact that Burnaby was responsible for the maintenance of the Bottomleys' yard where the incident occurred, meaning s. 6(1) of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is not engaged.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City argues that the Bottomleys were responsible for the maintenance of their yard pursuant to the residential tenancy agreement. Mr. Bottomley's uncontroverted evidence is that he created the fire pit area without Burnaby's involvement or permission. Mr. Bottomley has admitted to pouring used motor oil onto the fire, which caused the explosion. Burnaby points out that he did this without its knowledge. Burnaby says the direct cause of the incident was the intentional or negligent act of the tenant, Mr. Bottomley. The plaintiff has not adduced any evidence to suggest any alternative theory of the cause of the explosion.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Default Not Actionable at the Suit of the Tenant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Even if the plaintiff had led such evidence, s. 6(3)(a) of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makes it clear that no breach of duty occurs unless Burnaby's default would be actionable at the suit of the tenant. The City says that Mr. Bottomley failed to provide any evidence that any alleged default by Burnaby in the circumstances would be actionable at the suit of the tenant.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Burnaby says that the duty in s. 6 of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does not extend to responsibility for activities conducted on the premises or injuries arising from such activities. The plaintiff has led no evidence in this case upon which a reasonable trier of fact could conclude that the injuries arose out of anything other than the activities being conducted by the Bottomleys on the premises, specifically lighting the fire and pouring the oil.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Burnaby argues that any claim by the Bottomleys against Burnaby would amount to a claim by the Bottomleys for damages for their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Bottomleys have not advanced any claim for contribution or indemnity from Burnaby.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Accordingly, Burnaby says the plaintiff has failed to adduce sufficient evidence that the claim against it is actionable at the suit of the Bottomleys' under s. 6 of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Burnaby Breached No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Alternatively, Burnaby asserts, even if this Court finds that the threshold question in s. 6(3)(a) of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has been met and the suit is actionable, the plaintiff has nevertheless failed to adduce sufficient evidence to support a finding by a reasonable judge or jury that there was a breach of the duty imposed by s. 6(1) of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defendant refers to </w:t>
      </w:r>
      <w:r>
        <w:rPr>
          <w:rFonts w:ascii="arial" w:eastAsia="arial" w:hAnsi="arial" w:cs="arial"/>
          <w:i/>
          <w:color w:val="000000"/>
          <w:sz w:val="20"/>
          <w:lang w:val="en-US" w:eastAsia="en-US" w:bidi="ar-SA"/>
        </w:rPr>
        <w:t>Jack v. Tekavec</w:t>
      </w:r>
      <w:r>
        <w:rPr>
          <w:rFonts w:ascii="arial" w:eastAsia="arial" w:hAnsi="arial" w:cs="arial"/>
          <w:color w:val="000000"/>
          <w:sz w:val="20"/>
          <w:lang w:val="en-US" w:eastAsia="en-US" w:bidi="ar-SA"/>
        </w:rPr>
        <w:t xml:space="preserve">, </w:t>
      </w:r>
      <w:hyperlink r:id="rId786" w:history="1">
        <w:r>
          <w:rPr>
            <w:rFonts w:ascii="arial" w:eastAsia="arial" w:hAnsi="arial" w:cs="arial"/>
            <w:i/>
            <w:color w:val="0077CC"/>
            <w:sz w:val="20"/>
            <w:u w:val="single"/>
            <w:shd w:val="clear" w:color="auto" w:fill="FFFFFF"/>
            <w:lang w:val="en-US" w:eastAsia="en-US" w:bidi="ar-SA"/>
          </w:rPr>
          <w:t>2010 BCSC 1773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Jack</w:t>
      </w:r>
      <w:r>
        <w:rPr>
          <w:rFonts w:ascii="arial" w:eastAsia="arial" w:hAnsi="arial" w:cs="arial"/>
          <w:color w:val="000000"/>
          <w:sz w:val="20"/>
          <w:lang w:val="en-US" w:eastAsia="en-US" w:bidi="ar-SA"/>
        </w:rPr>
        <w:t xml:space="preserve">] where the court observed that s. 6 of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does not mean that the landlord is vicariously responsible for what the occupier does in breach of their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Burnaby says the section only requires that, in what the landlord does or omits to do, it takes reasonable care in respect of risks arising from the failure to maintain or repair the premises to ensure that persons using the premises will be reasonably safe in doing so: </w:t>
      </w:r>
      <w:r>
        <w:rPr>
          <w:rFonts w:ascii="arial" w:eastAsia="arial" w:hAnsi="arial" w:cs="arial"/>
          <w:i/>
          <w:color w:val="000000"/>
          <w:sz w:val="20"/>
          <w:lang w:val="en-US" w:eastAsia="en-US" w:bidi="ar-SA"/>
        </w:rPr>
        <w:t>Jack</w:t>
      </w:r>
      <w:r>
        <w:rPr>
          <w:rFonts w:ascii="arial" w:eastAsia="arial" w:hAnsi="arial" w:cs="arial"/>
          <w:color w:val="000000"/>
          <w:sz w:val="20"/>
          <w:lang w:val="en-US" w:eastAsia="en-US" w:bidi="ar-SA"/>
        </w:rPr>
        <w:t>, at paras. 35-36.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An occupier's duty under s. 6 of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thus extends solely to those risks arising out of Burnaby's duty to repair and maintain. Burnaby refers to the residential tenancy agreement between the Bottomleys and Burnaby that provides, in Item 4(g):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tenant shall maintain the yard, including lawns, garden beds, shrubbery, and hedges, and shall do so with their own lawn and garden tools and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City asserts that the wording of s. 6 of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confirms that the landlord's duties extend only to taking steps to ensure that it performs the duty to repair and maintain, such that visitors will be reasonably safe in using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defines "premises" under s. 1(a) as:</w:t>
      </w:r>
      <w:r>
        <w:rPr>
          <w:rFonts w:ascii="arial" w:eastAsia="arial" w:hAnsi="arial" w:cs="arial"/>
          <w:sz w:val="20"/>
          <w:lang w:val="en-US" w:eastAsia="en-US" w:bidi="ar-SA"/>
        </w:rPr>
        <w:cr/>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land and structures or either of them, excepting portable structures and equipment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For the purpose of this section, Burnaby argues "premises" does not include chattels as these do not form part of the premises: </w:t>
      </w:r>
      <w:r>
        <w:rPr>
          <w:rFonts w:ascii="arial" w:eastAsia="arial" w:hAnsi="arial" w:cs="arial"/>
          <w:i/>
          <w:color w:val="000000"/>
          <w:sz w:val="20"/>
          <w:lang w:val="en-US" w:eastAsia="en-US" w:bidi="ar-SA"/>
        </w:rPr>
        <w:t>Wiley v. Tymar Management Inc</w:t>
      </w:r>
      <w:r>
        <w:rPr>
          <w:rFonts w:ascii="arial" w:eastAsia="arial" w:hAnsi="arial" w:cs="arial"/>
          <w:color w:val="000000"/>
          <w:sz w:val="20"/>
          <w:lang w:val="en-US" w:eastAsia="en-US" w:bidi="ar-SA"/>
        </w:rPr>
        <w:t xml:space="preserve">. </w:t>
      </w:r>
      <w:hyperlink r:id="rId787" w:history="1">
        <w:r>
          <w:rPr>
            <w:rFonts w:ascii="arial" w:eastAsia="arial" w:hAnsi="arial" w:cs="arial"/>
            <w:i/>
            <w:color w:val="0077CC"/>
            <w:sz w:val="20"/>
            <w:u w:val="single"/>
            <w:shd w:val="clear" w:color="auto" w:fill="FFFFFF"/>
            <w:lang w:val="en-US" w:eastAsia="en-US" w:bidi="ar-SA"/>
          </w:rPr>
          <w:t>(1994), 1 B.C.L.R. (3d) 201</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Wiley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City argues that the wheel rim used to form the fire pit is not land or structures or either of them. Mr. Bottomley placed the wheel rim on the property himself about three years after the tenancy commenced.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Burnaby says the evidence of both Paul and Roberta Bottomley was that they were aware of their responsibility for maintenance of the yard under their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Brightman, a representative for the City, gave evidence that Burnaby's understanding as to the responsibility for yard maintenance was consistent with the terms of the lease. Burnaby says that no evidence was led to the contrary.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only obligation on Burnaby, it says, arises by virtue of s. 32 of the </w:t>
      </w:r>
      <w:r>
        <w:rPr>
          <w:rFonts w:ascii="arial" w:eastAsia="arial" w:hAnsi="arial" w:cs="arial"/>
          <w:i/>
          <w:color w:val="000000"/>
          <w:sz w:val="20"/>
          <w:lang w:val="en-US" w:eastAsia="en-US" w:bidi="ar-SA"/>
        </w:rPr>
        <w:t>RTA</w:t>
      </w:r>
      <w:r>
        <w:rPr>
          <w:rFonts w:ascii="arial" w:eastAsia="arial" w:hAnsi="arial" w:cs="arial"/>
          <w:color w:val="000000"/>
          <w:sz w:val="20"/>
          <w:lang w:val="en-US" w:eastAsia="en-US" w:bidi="ar-SA"/>
        </w:rPr>
        <w:t xml:space="preserve">. Section 32 of the </w:t>
      </w:r>
      <w:r>
        <w:rPr>
          <w:rFonts w:ascii="arial" w:eastAsia="arial" w:hAnsi="arial" w:cs="arial"/>
          <w:i/>
          <w:color w:val="000000"/>
          <w:sz w:val="20"/>
          <w:lang w:val="en-US" w:eastAsia="en-US" w:bidi="ar-SA"/>
        </w:rPr>
        <w:t>RTA</w:t>
      </w:r>
      <w:r>
        <w:rPr>
          <w:rFonts w:ascii="arial" w:eastAsia="arial" w:hAnsi="arial" w:cs="arial"/>
          <w:color w:val="000000"/>
          <w:sz w:val="20"/>
          <w:lang w:val="en-US" w:eastAsia="en-US" w:bidi="ar-SA"/>
        </w:rPr>
        <w:t xml:space="preserve"> does not require that a landlord must assume responsibility for every aspect of maintenance and repair on leased property, but must comply with health, safety and housing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Burnaby says there is no provision in the </w:t>
      </w:r>
      <w:r>
        <w:rPr>
          <w:rFonts w:ascii="arial" w:eastAsia="arial" w:hAnsi="arial" w:cs="arial"/>
          <w:i/>
          <w:color w:val="000000"/>
          <w:sz w:val="20"/>
          <w:lang w:val="en-US" w:eastAsia="en-US" w:bidi="ar-SA"/>
        </w:rPr>
        <w:t>RTA</w:t>
      </w:r>
      <w:r>
        <w:rPr>
          <w:rFonts w:ascii="arial" w:eastAsia="arial" w:hAnsi="arial" w:cs="arial"/>
          <w:color w:val="000000"/>
          <w:sz w:val="20"/>
          <w:lang w:val="en-US" w:eastAsia="en-US" w:bidi="ar-SA"/>
        </w:rPr>
        <w:t xml:space="preserve"> that prohibits a landlord from delegating lawn and yard maintenance to its tenants, and such delegation of responsibility for yard maintenance to the Bottomleys does not contradict or change any obligation imposed on Burnaby under s. 32 of the </w:t>
      </w:r>
      <w:r>
        <w:rPr>
          <w:rFonts w:ascii="arial" w:eastAsia="arial" w:hAnsi="arial" w:cs="arial"/>
          <w:i/>
          <w:color w:val="000000"/>
          <w:sz w:val="20"/>
          <w:lang w:val="en-US" w:eastAsia="en-US" w:bidi="ar-SA"/>
        </w:rPr>
        <w:t>RTA</w:t>
      </w:r>
      <w:r>
        <w:rPr>
          <w:rFonts w:ascii="arial" w:eastAsia="arial" w:hAnsi="arial" w:cs="arial"/>
          <w:color w:val="000000"/>
          <w:sz w:val="20"/>
          <w:lang w:val="en-US" w:eastAsia="en-US" w:bidi="ar-SA"/>
        </w:rPr>
        <w:t>. Burnaby's obligations as set out in that section are not limited by the Bottomleys' responsibility to maintain the yard as required by 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City asserts that no evidence was led to suggest that the residential property itself did not comply with any health, safety, or housing standard required by law. There was no evidence tendered to establish that the presence of the fire pit was in breach of any health, safety, or housing standard required by law. The onus is on the plaintiff to establish such a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Burnaby points to the evidence of both Paul and Roberta Bottomley's evidence, which was consistent with Burnaby's, that they never had any concern with the safety of their home or yard over the entirety of their tenancy. Their home and yard were, at all times, suitable for occupation by their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City therefore asserts that it breached no duty under s. 6 of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or under s. 32 of the </w:t>
      </w:r>
      <w:r>
        <w:rPr>
          <w:rFonts w:ascii="arial" w:eastAsia="arial" w:hAnsi="arial" w:cs="arial"/>
          <w:i/>
          <w:color w:val="000000"/>
          <w:sz w:val="20"/>
          <w:lang w:val="en-US" w:eastAsia="en-US" w:bidi="ar-SA"/>
        </w:rPr>
        <w:t>RTA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Common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Burnaby says that the plaintiff has failed to lead any evidence that could satisfy a reasonable trier of fact that Burnaby owed the plaintiff a duty of care in its role as landlord. It says there is no established common law duty of care between a landlord and a visitor to a leased premises, referring to </w:t>
      </w:r>
      <w:r>
        <w:rPr>
          <w:rFonts w:ascii="arial" w:eastAsia="arial" w:hAnsi="arial" w:cs="arial"/>
          <w:i/>
          <w:color w:val="000000"/>
          <w:sz w:val="20"/>
          <w:lang w:val="en-US" w:eastAsia="en-US" w:bidi="ar-SA"/>
        </w:rPr>
        <w:t>Segstro (Guardian ad Litem of) v. McLean (Guardian ad Litem of)</w:t>
      </w:r>
      <w:r>
        <w:rPr>
          <w:rFonts w:ascii="arial" w:eastAsia="arial" w:hAnsi="arial" w:cs="arial"/>
          <w:color w:val="000000"/>
          <w:sz w:val="20"/>
          <w:lang w:val="en-US" w:eastAsia="en-US" w:bidi="ar-SA"/>
        </w:rPr>
        <w:t xml:space="preserve"> </w:t>
      </w:r>
      <w:hyperlink r:id="rId788" w:history="1">
        <w:r>
          <w:rPr>
            <w:rFonts w:ascii="arial" w:eastAsia="arial" w:hAnsi="arial" w:cs="arial"/>
            <w:i/>
            <w:color w:val="0077CC"/>
            <w:sz w:val="20"/>
            <w:u w:val="single"/>
            <w:shd w:val="clear" w:color="auto" w:fill="FFFFFF"/>
            <w:lang w:val="en-US" w:eastAsia="en-US" w:bidi="ar-SA"/>
          </w:rPr>
          <w:t>(1990), 24 A.C.W.S. (3d) 102</w:t>
        </w:r>
      </w:hyperlink>
      <w:r>
        <w:rPr>
          <w:rFonts w:ascii="arial" w:eastAsia="arial" w:hAnsi="arial" w:cs="arial"/>
          <w:color w:val="000000"/>
          <w:sz w:val="20"/>
          <w:lang w:val="en-US" w:eastAsia="en-US" w:bidi="ar-SA"/>
        </w:rPr>
        <w:t xml:space="preserve"> (B.C.S.C.). The landlord is not in possession of the property and the responsibility for the property is transferred to the tenant under the lease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Burnaby says that to prove a novel duty of care, the plaintiff must establish the existence of a relationship of proximity and foreseeability. While Burnaby has enacted a bylaw prohibiting open fires anywhere within the city, the bylaw does not create any higher duty on the City as a landlord, although it may create a higher duty on the tenant.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 Burnaby says, has not provided evidence of a special relationship or proximity between herself and Burnaby, nor has she established the foreseeability required to establish a novel duty of care. To establish the requisite standard of care, Burnaby says, the plaintiff must call expert evidence to establish the standard of care in cases such as this one where the standard cannot be determined by laypersons, based on ordinary reasoning and common sense.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City says that the evidence at trial established that the bylaw was enforced. The fire department responded to the 2008 fire as it was occurring. Mr. Bottomley said that the fire department required him to extinguish the fire, which he did. Mr. Bottomley said he did not have any fires after that for about a year and a half. He did recommence having fires after that period, despite knowing that he needed a permit to do so and that he would not be granted such a permit were he to apply.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Foreseeability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An essential element that the plaintiff must establish for claims in both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under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is that it was foreseeable for Burnaby that a breach of its duties would lead to harm to the plaintiff. In this case, even if there had been a breach of the duty on Burnaby's part, Burnaby says it was not foreseeable that an explosion would occur as a result. Fires, Burnaby says, are not dangerous in and of themselves unless improperly 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evidence led by the plaintiff during the cross-examination of Ms. Brightman confirms that Burnaby had no knowledge, nor could it reasonably have had knowledge, of any tenant pouring used motor oil on open fires on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evidence of the Bottomleys was that it was not foreseeable to them that pouring used motor oil on a fire would cause an explosion.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evidence of the plaintiff was that she did not see fires as dangerous or unsafe.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Burnaby argues that whether or not Paul Bottomley should have foreseen the possible danger of his actions will be for the jury to decide. However, I say, it is clear that the plaintiff has failed to lead any evidence upon which a reasonable judge or jury could conclude that the risk of injury that occurred in this case was foreseeable by Burnaby.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Even if all the other elements of the plaintiff's case were established, Burnaby says, she would still need to prove that Burnaby's breach of duty was causally related to the injuries that she sustained.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All of the breaches alleged against Burnaby relate to the failure to remove the fire pit, to modify the fire pit, or prevent the tenants from having fires. Burnaby says that none of these failures are directly causally related to the injuries which occurred. In order for the incident to have occurred, there were two necessary ingredients: first, the fire, and second, the motor oil. Neither of these ingredients were the result of any possible act or omission on the part of Burnaby.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most that could be said is that if a duty was owed by Burnaby to the plaintiff, then Burnaby's breach of duties provided an indirect opportunity for Mr. Bottomley to act negligently in lighting a fire, pouring motor oil on the fire, and causing 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Merely providing an indirect opportunity for harm to occur by third party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insufficient for finding factual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Burnaby says the plaintiff has not led any evidence that could satisfy a reasonable trier of fact that any default on the part of Burnaby was causally related to the harm suffered by the plaintiff in this case. All of the evidence suggests that the presence of the fire pit on the premises was incidental to the accident that occurred, but not the cause. There is no evidence upon which a reasonable judge or jury could find causation to have been established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Plaintiff's Position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Statutory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plaintiff asserts that Burnaby's duty of care arises under s. 6(1) of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and s. 32 of the </w:t>
      </w:r>
      <w:r>
        <w:rPr>
          <w:rFonts w:ascii="arial" w:eastAsia="arial" w:hAnsi="arial" w:cs="arial"/>
          <w:i/>
          <w:color w:val="000000"/>
          <w:sz w:val="20"/>
          <w:lang w:val="en-US" w:eastAsia="en-US" w:bidi="ar-SA"/>
        </w:rPr>
        <w:t>RTA</w:t>
      </w:r>
      <w:r>
        <w:rPr>
          <w:rFonts w:ascii="arial" w:eastAsia="arial" w:hAnsi="arial" w:cs="arial"/>
          <w:color w:val="000000"/>
          <w:sz w:val="20"/>
          <w:lang w:val="en-US" w:eastAsia="en-US" w:bidi="ar-SA"/>
        </w:rPr>
        <w:t xml:space="preserve">. She argues that the legislation must be construed broadly and that there are limited exceptions: </w:t>
      </w:r>
      <w:r>
        <w:rPr>
          <w:rFonts w:ascii="arial" w:eastAsia="arial" w:hAnsi="arial" w:cs="arial"/>
          <w:i/>
          <w:color w:val="000000"/>
          <w:sz w:val="20"/>
          <w:lang w:val="en-US" w:eastAsia="en-US" w:bidi="ar-SA"/>
        </w:rPr>
        <w:t>Yeung (Guardian ad Litem of) v. Au</w:t>
      </w:r>
      <w:r>
        <w:rPr>
          <w:rFonts w:ascii="arial" w:eastAsia="arial" w:hAnsi="arial" w:cs="arial"/>
          <w:color w:val="000000"/>
          <w:sz w:val="20"/>
          <w:lang w:val="en-US" w:eastAsia="en-US" w:bidi="ar-SA"/>
        </w:rPr>
        <w:t xml:space="preserve">, </w:t>
      </w:r>
      <w:hyperlink r:id="rId789" w:history="1">
        <w:r>
          <w:rPr>
            <w:rFonts w:ascii="arial" w:eastAsia="arial" w:hAnsi="arial" w:cs="arial"/>
            <w:i/>
            <w:color w:val="0077CC"/>
            <w:sz w:val="20"/>
            <w:u w:val="single"/>
            <w:shd w:val="clear" w:color="auto" w:fill="FFFFFF"/>
            <w:lang w:val="en-US" w:eastAsia="en-US" w:bidi="ar-SA"/>
          </w:rPr>
          <w:t>2006 BCCA 217</w:t>
        </w:r>
      </w:hyperlink>
      <w:r>
        <w:rPr>
          <w:rFonts w:ascii="arial" w:eastAsia="arial" w:hAnsi="arial" w:cs="arial"/>
          <w:color w:val="000000"/>
          <w:sz w:val="20"/>
          <w:lang w:val="en-US" w:eastAsia="en-US" w:bidi="ar-SA"/>
        </w:rPr>
        <w:t xml:space="preserve"> at paras. 32-33.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plaintiff asserts that the purpose of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generally is to provide persons with a reasonable level of safety while on properties in British Columbia. Section 6(1) expands on this protection in certain circumstances, and the very narrow exception of s. 6(3)(a) serves to limit that protection. The plaintiff submits that the court must lean toward inclusion.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Similarly, the plaintiff argues the purpose of the </w:t>
      </w:r>
      <w:r>
        <w:rPr>
          <w:rFonts w:ascii="arial" w:eastAsia="arial" w:hAnsi="arial" w:cs="arial"/>
          <w:i/>
          <w:color w:val="000000"/>
          <w:sz w:val="20"/>
          <w:lang w:val="en-US" w:eastAsia="en-US" w:bidi="ar-SA"/>
        </w:rPr>
        <w:t>RTA</w:t>
      </w:r>
      <w:r>
        <w:rPr>
          <w:rFonts w:ascii="arial" w:eastAsia="arial" w:hAnsi="arial" w:cs="arial"/>
          <w:color w:val="000000"/>
          <w:sz w:val="20"/>
          <w:lang w:val="en-US" w:eastAsia="en-US" w:bidi="ar-SA"/>
        </w:rPr>
        <w:t xml:space="preserve"> is to ensure that premises are kept safe, which is the responsibility of landlords. The plaintiff says to absolve a landlord of liability in circumstances where they were clearly aware of the risk or should have been aware of the risk through reasonable periodic inspections (as set by their own policies, in this case) would be contrary to the spirit and intention of the legislation.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Burnaby Was Responsible for Maintenance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plaintiff notes that a landlord can surrender possession of its property for long periods of time, as it did in this case with the Bottomley family, but that it is clearly foreseeable that a tenant may alter a property or make it unsafe for themselves and guests they invite onto the property. A tenant may not appreciate they have done something dangerous and/or fail to remedy the defect through indifference or intransigence. The plaintiff says this is why the </w:t>
      </w:r>
      <w:r>
        <w:rPr>
          <w:rFonts w:ascii="arial" w:eastAsia="arial" w:hAnsi="arial" w:cs="arial"/>
          <w:i/>
          <w:color w:val="000000"/>
          <w:sz w:val="20"/>
          <w:lang w:val="en-US" w:eastAsia="en-US" w:bidi="ar-SA"/>
        </w:rPr>
        <w:t>RTA</w:t>
      </w:r>
      <w:r>
        <w:rPr>
          <w:rFonts w:ascii="arial" w:eastAsia="arial" w:hAnsi="arial" w:cs="arial"/>
          <w:color w:val="000000"/>
          <w:sz w:val="20"/>
          <w:lang w:val="en-US" w:eastAsia="en-US" w:bidi="ar-SA"/>
        </w:rPr>
        <w:t xml:space="preserve"> provides that the landlord is ultimately responsible for maintaining property. The cases have interpreted this to include a duty to inspect.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It is not unreasonable, the plaintiff says, to require a landlord to take reasonable steps to address issues on the property, particularly when they are made explicitly aware of the issues or should have discovered the issues with a reasonable level of diligence expected of a landlord.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plaintiff asserts that s. 6(1) of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establishes a duty of care on landlords who are responsible for the maintenance and repair of the premises. Given that the </w:t>
      </w:r>
      <w:r>
        <w:rPr>
          <w:rFonts w:ascii="arial" w:eastAsia="arial" w:hAnsi="arial" w:cs="arial"/>
          <w:i/>
          <w:color w:val="000000"/>
          <w:sz w:val="20"/>
          <w:lang w:val="en-US" w:eastAsia="en-US" w:bidi="ar-SA"/>
        </w:rPr>
        <w:t>RTA</w:t>
      </w:r>
      <w:r>
        <w:rPr>
          <w:rFonts w:ascii="arial" w:eastAsia="arial" w:hAnsi="arial" w:cs="arial"/>
          <w:color w:val="000000"/>
          <w:sz w:val="20"/>
          <w:lang w:val="en-US" w:eastAsia="en-US" w:bidi="ar-SA"/>
        </w:rPr>
        <w:t xml:space="preserve"> contains the duty to repair at s. 32(1), all residential landlords are automatically included under s. 6(1) of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plaintiff says the residential tenancy agreement between Burnaby and the Bottomleys stipulates that Burnaby is responsible for repairs and maintenance. This was reiterated via annual letters sent by Burnaby to the Bottomleys, as confirmed by the evidence of Ms. Brightman and by Paul and Roberta Bottomley. Their evidence also confirmed that Burnaby performed these repairs and maintenance.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Burnaby Breached its Duty Under the OLA and the RTA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plaintiff argues that cases that consider s. 6 of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revolve largely around hazards. She says that in this case, Burnaby's own bylaw acknowledged that fires are dangerous to people and property. She also refers to the evidence of Ms. Brightman, who stated that the bylaw was intended to protect people and property from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plaintiff asserts that the distinguishing feature in this case is that Burnaby had actual knowledge of the 2008 fire, in accordance with Ms. Derhousoff's letter and her evidence. Burnaby knew that trees had been on fire due to the Burnaby Fire Department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Similarly, the plaintiff says, the hazards fires present are accentuated when accelerants are poured on them, and when people handle them recklessly, irrationally, and unsafely, as the plaintiff says the Bottomleys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Additionally, the plaintiff says, the evidence supports that the premises was adjacent to an urban forest and Ms. Derhousoff's evidence added that fires were used in the course of parties at the Bottomleys'.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The plaintiff submits that in the circumstances, the fire pit on the Bottomleys' property constituted a hazard and refers to a decision of the Ontario Court of Appeal, </w:t>
      </w:r>
      <w:r>
        <w:rPr>
          <w:rFonts w:ascii="arial" w:eastAsia="arial" w:hAnsi="arial" w:cs="arial"/>
          <w:i/>
          <w:color w:val="000000"/>
          <w:sz w:val="20"/>
          <w:lang w:val="en-US" w:eastAsia="en-US" w:bidi="ar-SA"/>
        </w:rPr>
        <w:t>Taylor v. Allard</w:t>
      </w:r>
      <w:r>
        <w:rPr>
          <w:rFonts w:ascii="arial" w:eastAsia="arial" w:hAnsi="arial" w:cs="arial"/>
          <w:color w:val="000000"/>
          <w:sz w:val="20"/>
          <w:lang w:val="en-US" w:eastAsia="en-US" w:bidi="ar-SA"/>
        </w:rPr>
        <w:t xml:space="preserve">, </w:t>
      </w:r>
      <w:hyperlink r:id="rId790" w:history="1">
        <w:r>
          <w:rPr>
            <w:rFonts w:ascii="arial" w:eastAsia="arial" w:hAnsi="arial" w:cs="arial"/>
            <w:i/>
            <w:color w:val="0077CC"/>
            <w:sz w:val="20"/>
            <w:u w:val="single"/>
            <w:shd w:val="clear" w:color="auto" w:fill="FFFFFF"/>
            <w:lang w:val="en-US" w:eastAsia="en-US" w:bidi="ar-SA"/>
          </w:rPr>
          <w:t>2010 ONCA 596</w:t>
        </w:r>
      </w:hyperlink>
      <w:r>
        <w:rPr>
          <w:rFonts w:ascii="arial" w:eastAsia="arial" w:hAnsi="arial" w:cs="arial"/>
          <w:color w:val="000000"/>
          <w:sz w:val="20"/>
          <w:lang w:val="en-US" w:eastAsia="en-US" w:bidi="ar-SA"/>
        </w:rPr>
        <w:t>, where a fire pit was found to be a hazard in the context of an occupiers liability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The plaintiff says the City had constructive knowledge that the Bottomleys were having open fires on the property. Section 6(3)(a) of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was considered in </w:t>
      </w:r>
      <w:r>
        <w:rPr>
          <w:rFonts w:ascii="arial" w:eastAsia="arial" w:hAnsi="arial" w:cs="arial"/>
          <w:i/>
          <w:color w:val="000000"/>
          <w:sz w:val="20"/>
          <w:lang w:val="en-US" w:eastAsia="en-US" w:bidi="ar-SA"/>
        </w:rPr>
        <w:t>Wiley</w:t>
      </w:r>
      <w:r>
        <w:rPr>
          <w:rFonts w:ascii="arial" w:eastAsia="arial" w:hAnsi="arial" w:cs="arial"/>
          <w:color w:val="000000"/>
          <w:sz w:val="20"/>
          <w:lang w:val="en-US" w:eastAsia="en-US" w:bidi="ar-SA"/>
        </w:rPr>
        <w:t>, which discusses the provision at para. 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6(3)(a)... states: "a landlord is not in default of his duty under subsection (1) unless his default would be actionable at the suit of the occupier." That provision is said to import the common law rule that a landlord must first be notified of the defect in the premises before it can be made liable for any injury or damage flowing from it. The English counterpart of that section has been repealed; there, the statutory duty currently exists if the landlord knows of the relevant defect (whether it is notified by the tenant or otherwise) or if it ought to have known of it in all of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The plaintiff claims that Paul Bottomley, as the person who created the hazard, is clearly responsible, but so too are the persons who allowed the hazardous situation to remain.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persons who allowed the hazard to remain, the plaintiff's injuries would not have occurred: </w:t>
      </w:r>
      <w:r>
        <w:rPr>
          <w:rFonts w:ascii="arial" w:eastAsia="arial" w:hAnsi="arial" w:cs="arial"/>
          <w:i/>
          <w:color w:val="000000"/>
          <w:sz w:val="20"/>
          <w:lang w:val="en-US" w:eastAsia="en-US" w:bidi="ar-SA"/>
        </w:rPr>
        <w:t>Boyes v. Wong</w:t>
      </w:r>
      <w:r>
        <w:rPr>
          <w:rFonts w:ascii="arial" w:eastAsia="arial" w:hAnsi="arial" w:cs="arial"/>
          <w:color w:val="000000"/>
          <w:sz w:val="20"/>
          <w:lang w:val="en-US" w:eastAsia="en-US" w:bidi="ar-SA"/>
        </w:rPr>
        <w:t xml:space="preserve">, </w:t>
      </w:r>
      <w:hyperlink r:id="rId791" w:history="1">
        <w:r>
          <w:rPr>
            <w:rFonts w:ascii="arial" w:eastAsia="arial" w:hAnsi="arial" w:cs="arial"/>
            <w:i/>
            <w:color w:val="0077CC"/>
            <w:sz w:val="20"/>
            <w:u w:val="single"/>
            <w:shd w:val="clear" w:color="auto" w:fill="FFFFFF"/>
            <w:lang w:val="en-US" w:eastAsia="en-US" w:bidi="ar-SA"/>
          </w:rPr>
          <w:t>2016 BCSC 1085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The plaintiff asserts that Burnaby allowed the fire pit to remain and the fire activity to continue because it did not conduct adequate inspections of the premises, particularly on the land. Once Burnaby had knowledge of what Mr. Bottomley did, that is having an open fire on the property with flames shooting up to 20 feet in the air, Burnaby had a duty to inspect not only the house but the premises, which means the property, under s. 6 of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plaintiff says that despite no injury having occurred as a result of the 2008 fire, this does not indicate that it was safe, only that a reasonable loss had not yet occurred. The plaintiff refers to Ms. Brightman's evidence that her goal in performing maintenance and repairs is to ensure that both tenants and guests are kept safe. It was the existence of the fire pit, the plaintiff says, that caused or contributed to 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plaintiff refers to Burnaby's reliance on the fact that the fire pit was in the Bottomleys' yard rather than in the house. The plaintiff says that from the evidence of Ms. Brightman, she agreed that hazards could occur both inside and outside of the actual house. The plaintiff submits Burnaby cannot absolve itself of liability in this way; as a landlord, it must ensure the entire property is safe in order to discharge its responsibilities under s. 32 of the </w:t>
      </w:r>
      <w:r>
        <w:rPr>
          <w:rFonts w:ascii="arial" w:eastAsia="arial" w:hAnsi="arial" w:cs="arial"/>
          <w:i/>
          <w:color w:val="000000"/>
          <w:sz w:val="20"/>
          <w:lang w:val="en-US" w:eastAsia="en-US" w:bidi="ar-SA"/>
        </w:rPr>
        <w:t>RTA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 plaintiff asserts that where there is notice or knowledge, landlords can be found to owe a duty to third parties in certain circumstances: </w:t>
      </w:r>
      <w:r>
        <w:rPr>
          <w:rFonts w:ascii="arial" w:eastAsia="arial" w:hAnsi="arial" w:cs="arial"/>
          <w:i/>
          <w:color w:val="000000"/>
          <w:sz w:val="20"/>
          <w:lang w:val="en-US" w:eastAsia="en-US" w:bidi="ar-SA"/>
        </w:rPr>
        <w:t>Durling v. Sunrise Propane Energy Group Inc.</w:t>
      </w:r>
      <w:r>
        <w:rPr>
          <w:rFonts w:ascii="arial" w:eastAsia="arial" w:hAnsi="arial" w:cs="arial"/>
          <w:color w:val="000000"/>
          <w:sz w:val="20"/>
          <w:lang w:val="en-US" w:eastAsia="en-US" w:bidi="ar-SA"/>
        </w:rPr>
        <w:t xml:space="preserve">, </w:t>
      </w:r>
      <w:hyperlink r:id="rId792" w:history="1">
        <w:r>
          <w:rPr>
            <w:rFonts w:ascii="arial" w:eastAsia="arial" w:hAnsi="arial" w:cs="arial"/>
            <w:i/>
            <w:color w:val="0077CC"/>
            <w:sz w:val="20"/>
            <w:u w:val="single"/>
            <w:shd w:val="clear" w:color="auto" w:fill="FFFFFF"/>
            <w:lang w:val="en-US" w:eastAsia="en-US" w:bidi="ar-SA"/>
          </w:rPr>
          <w:t>2014 ONSC 1041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Durling</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Sorbam Investments Ltd. v Litwack Estate</w:t>
      </w:r>
      <w:r>
        <w:rPr>
          <w:rFonts w:ascii="arial" w:eastAsia="arial" w:hAnsi="arial" w:cs="arial"/>
          <w:color w:val="000000"/>
          <w:sz w:val="20"/>
          <w:lang w:val="en-US" w:eastAsia="en-US" w:bidi="ar-SA"/>
        </w:rPr>
        <w:t xml:space="preserve">, </w:t>
      </w:r>
      <w:hyperlink r:id="rId793" w:history="1">
        <w:r>
          <w:rPr>
            <w:rFonts w:ascii="arial" w:eastAsia="arial" w:hAnsi="arial" w:cs="arial"/>
            <w:i/>
            <w:color w:val="0077CC"/>
            <w:sz w:val="20"/>
            <w:u w:val="single"/>
            <w:shd w:val="clear" w:color="auto" w:fill="FFFFFF"/>
            <w:lang w:val="en-US" w:eastAsia="en-US" w:bidi="ar-SA"/>
          </w:rPr>
          <w:t>2017 ONSC 706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Sorbam</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this case, the plaintiff asserts Burnaby had notice of the fire pit through Ms. Derhousoff's letter of September 2009, and through its dealings with the Bottomleys over the years, specifically referring to a neighbours' squabble in which the City intervened and threatened eviction if it carried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plaintiff says that the fire pit at the Bottomleys' was a permanent structure. It was present and unmoved from 2008 until it was removed after the May 14, 2014 incident. In respect of s. 6(3)(a), the plaintiff says that Mr. Bottomley has an actionable claim against Burnaby. He performed a foolish activity involving a feature of the property that should have been corrected by Burnaby, based on its actual or imputed knowledge.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plaintiff's position is that over time, a landlord becomes jointly responsible through actual or imputed knowledge for a tenant's unsafe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RTA</w:t>
      </w:r>
      <w:r>
        <w:rPr>
          <w:rFonts w:ascii="arial" w:eastAsia="arial" w:hAnsi="arial" w:cs="arial"/>
          <w:color w:val="000000"/>
          <w:sz w:val="20"/>
          <w:lang w:val="en-US" w:eastAsia="en-US" w:bidi="ar-SA"/>
        </w:rPr>
        <w:t xml:space="preserve"> does not permit a landlord to simply surrender possession of a property and thereafter be immune from having to deal with any changing features to the property that make it dangerous. The plaintiff said this is so whether those changes are caused by wear and tear or result from something the tenant has done to alter the property. The </w:t>
      </w:r>
      <w:r>
        <w:rPr>
          <w:rFonts w:ascii="arial" w:eastAsia="arial" w:hAnsi="arial" w:cs="arial"/>
          <w:i/>
          <w:color w:val="000000"/>
          <w:sz w:val="20"/>
          <w:lang w:val="en-US" w:eastAsia="en-US" w:bidi="ar-SA"/>
        </w:rPr>
        <w:t>RTA</w:t>
      </w:r>
      <w:r>
        <w:rPr>
          <w:rFonts w:ascii="arial" w:eastAsia="arial" w:hAnsi="arial" w:cs="arial"/>
          <w:color w:val="000000"/>
          <w:sz w:val="20"/>
          <w:lang w:val="en-US" w:eastAsia="en-US" w:bidi="ar-SA"/>
        </w:rPr>
        <w:t xml:space="preserve"> does not distinguish between the two.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Default Actionable at the Suit of the Tenant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The occupiers living on the premises at the time of the incident included not only Mr. Bottomley and Ms. Bottomley, but their three children. The plaintiff asserts the three children would have an actionable claim against Burnaby. Accordingly, even if it is found that Paul and Roberta Bottomley would not have an actionable claim against Burnaby had they been injured by the fire, the City is barred from relying on s. 6(3)(a) of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to escape liability as there were other occupiers who could bring an actionable claim against the landlord.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Common Law</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OTA and the Common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The plaintiff maintains that Burnaby owes the plaintiff a duty of care under the common law as well. She asserts that liability may be found against Burnaby based on the common law duty of care provided for in s. 6(3)(b) of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which states, "for the purpose of s. 6(b), nothing relieves a landlord of a duty the landlord may have apart from this section." Section 7 of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further provides that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applies.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Anns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The plaintiff submits that Burnaby owes the plaintiff a duty of care under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from </w:t>
      </w:r>
      <w:r>
        <w:rPr>
          <w:rFonts w:ascii="arial" w:eastAsia="arial" w:hAnsi="arial" w:cs="arial"/>
          <w:i/>
          <w:color w:val="000000"/>
          <w:sz w:val="20"/>
          <w:lang w:val="en-US" w:eastAsia="en-US" w:bidi="ar-SA"/>
        </w:rPr>
        <w:t>Cooper v. Hobart</w:t>
      </w:r>
      <w:r>
        <w:rPr>
          <w:rFonts w:ascii="arial" w:eastAsia="arial" w:hAnsi="arial" w:cs="arial"/>
          <w:color w:val="000000"/>
          <w:sz w:val="20"/>
          <w:lang w:val="en-US" w:eastAsia="en-US" w:bidi="ar-SA"/>
        </w:rPr>
        <w:t xml:space="preserve">, </w:t>
      </w:r>
      <w:hyperlink r:id="rId794" w:history="1">
        <w:r>
          <w:rPr>
            <w:rFonts w:ascii="arial" w:eastAsia="arial" w:hAnsi="arial" w:cs="arial"/>
            <w:i/>
            <w:color w:val="0077CC"/>
            <w:sz w:val="20"/>
            <w:u w:val="single"/>
            <w:shd w:val="clear" w:color="auto" w:fill="FFFFFF"/>
            <w:lang w:val="en-US" w:eastAsia="en-US" w:bidi="ar-SA"/>
          </w:rPr>
          <w:t>2001 SCC 79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The first stage of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raises two questions. First, was the harm that occurred a reasonably foreseeable consequence of the defendant's act? Second, are there reasons, notwithstanding the proximity between the parties established in the first part of the test, that tort liability should not be recognized here? In answering the second question, the court must consider factors about the relationship between the plaintiff and defendant, which include questions of policy. If foreseeability and proximity are established at the first stage,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arises.</w:t>
      </w:r>
      <w:r>
        <w:rPr>
          <w:rFonts w:ascii="arial" w:eastAsia="arial" w:hAnsi="arial" w:cs="arial"/>
          <w:sz w:val="20"/>
          <w:lang w:val="en-US" w:eastAsia="en-US" w:bidi="ar-SA"/>
        </w:rPr>
        <w:cr/>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Foreseeability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The plaintiff argues that reasonably foreseeable does not mean probable or even possible. It refers to a real risk or one that could occur to the mind of a reasonable person in the position of the defendant and which they would not brush aside as far-fetched: </w:t>
      </w:r>
      <w:r>
        <w:rPr>
          <w:rFonts w:ascii="arial" w:eastAsia="arial" w:hAnsi="arial" w:cs="arial"/>
          <w:i/>
          <w:color w:val="000000"/>
          <w:sz w:val="20"/>
          <w:lang w:val="en-US" w:eastAsia="en-US" w:bidi="ar-SA"/>
        </w:rPr>
        <w:t>Mustapha v. Culligan of Canada Ltd.</w:t>
      </w:r>
      <w:r>
        <w:rPr>
          <w:rFonts w:ascii="arial" w:eastAsia="arial" w:hAnsi="arial" w:cs="arial"/>
          <w:color w:val="000000"/>
          <w:sz w:val="20"/>
          <w:lang w:val="en-US" w:eastAsia="en-US" w:bidi="ar-SA"/>
        </w:rPr>
        <w:t xml:space="preserve">, </w:t>
      </w:r>
      <w:hyperlink r:id="rId795" w:history="1">
        <w:r>
          <w:rPr>
            <w:rFonts w:ascii="arial" w:eastAsia="arial" w:hAnsi="arial" w:cs="arial"/>
            <w:i/>
            <w:color w:val="0077CC"/>
            <w:sz w:val="20"/>
            <w:u w:val="single"/>
            <w:shd w:val="clear" w:color="auto" w:fill="FFFFFF"/>
            <w:lang w:val="en-US" w:eastAsia="en-US" w:bidi="ar-SA"/>
          </w:rPr>
          <w:t>2008 SCC 27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plaintiff says Burnaby did not have to foresee the exact type of harm or the specific incident that occurred; rather, it had to foresee that harm could have occurred at all. The plaintiff argues that the harm to the plaintiff as a result of the incident was foreseeable by Burnaby, demonstrated by the fact that Burnaby passed a bylaw prohibiting fires to protect the safety of people and property. Burnaby knew or ought to have known that the Bottomleys had fires on the premises, one of which, according to a neighbour, had flames that reached 20 feet in the air; there was a fire pit present, based on its inspections; and the Bottomleys were problematic tenants.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The plaintiff refers to </w:t>
      </w:r>
      <w:r>
        <w:rPr>
          <w:rFonts w:ascii="arial" w:eastAsia="arial" w:hAnsi="arial" w:cs="arial"/>
          <w:i/>
          <w:color w:val="000000"/>
          <w:sz w:val="20"/>
          <w:lang w:val="en-US" w:eastAsia="en-US" w:bidi="ar-SA"/>
        </w:rPr>
        <w:t>Durling</w:t>
      </w:r>
      <w:r>
        <w:rPr>
          <w:rFonts w:ascii="arial" w:eastAsia="arial" w:hAnsi="arial" w:cs="arial"/>
          <w:color w:val="000000"/>
          <w:sz w:val="20"/>
          <w:lang w:val="en-US" w:eastAsia="en-US" w:bidi="ar-SA"/>
        </w:rPr>
        <w:t>, an appeal of a class action certification for the plaintiff group of neighbours, who were claiming property damages, by the defendant landlord of a propane-handling company. In the underlying judgment, the Ontario Superior Court of Justice found a lease that allowed the landlord to enter, inspect, and make repairs obligated them to do so, and failure to inspect exposed the landlord to liability for any harm to third parties arising from a failure to inspect.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dismissing the appeal, the Ontario Superior Court of Justice (Divisional Court) expanded on a few notable points the plaintiff refers to. The question of whether a duty of care exists is rooted in foreseeability and proximity, and at para. 10, the court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A landlord will rarely owe a duty of care to third parties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 tenant but the circumstances of this case are out of the ordinary. It is alleged that this landlord knew or ought to have known that inherently dangerous, unsafe and illegal conduct of the tenant over an extended period of time amounted to foreseeability of the catastrophic harm that eventually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The plaintiff also refers to </w:t>
      </w:r>
      <w:r>
        <w:rPr>
          <w:rFonts w:ascii="arial" w:eastAsia="arial" w:hAnsi="arial" w:cs="arial"/>
          <w:i/>
          <w:color w:val="000000"/>
          <w:sz w:val="20"/>
          <w:lang w:val="en-US" w:eastAsia="en-US" w:bidi="ar-SA"/>
        </w:rPr>
        <w:t>Sorbam</w:t>
      </w:r>
      <w:r>
        <w:rPr>
          <w:rFonts w:ascii="arial" w:eastAsia="arial" w:hAnsi="arial" w:cs="arial"/>
          <w:color w:val="000000"/>
          <w:sz w:val="20"/>
          <w:lang w:val="en-US" w:eastAsia="en-US" w:bidi="ar-SA"/>
        </w:rPr>
        <w:t xml:space="preserve">, where the plaintiff neighbour claimed against a defendant landlord for contaminated lands. The claim was dismissed, but the court referred to </w:t>
      </w:r>
      <w:r>
        <w:rPr>
          <w:rFonts w:ascii="arial" w:eastAsia="arial" w:hAnsi="arial" w:cs="arial"/>
          <w:i/>
          <w:color w:val="000000"/>
          <w:sz w:val="20"/>
          <w:lang w:val="en-US" w:eastAsia="en-US" w:bidi="ar-SA"/>
        </w:rPr>
        <w:t>Durling</w:t>
      </w:r>
      <w:r>
        <w:rPr>
          <w:rFonts w:ascii="arial" w:eastAsia="arial" w:hAnsi="arial" w:cs="arial"/>
          <w:color w:val="000000"/>
          <w:sz w:val="20"/>
          <w:lang w:val="en-US" w:eastAsia="en-US" w:bidi="ar-SA"/>
        </w:rPr>
        <w:t xml:space="preserve"> and set out the following at paras. 58 and 60: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[58] As stated above, the facts in this case are markedly different from those in </w:t>
      </w:r>
      <w:r>
        <w:rPr>
          <w:rFonts w:ascii="arial" w:eastAsia="arial" w:hAnsi="arial" w:cs="arial"/>
          <w:i/>
          <w:color w:val="000000"/>
          <w:sz w:val="20"/>
          <w:lang w:val="en-US" w:eastAsia="en-US" w:bidi="ar-SA"/>
        </w:rPr>
        <w:t>Durling</w:t>
      </w:r>
      <w:r>
        <w:rPr>
          <w:rFonts w:ascii="arial" w:eastAsia="arial" w:hAnsi="arial" w:cs="arial"/>
          <w:color w:val="000000"/>
          <w:sz w:val="20"/>
          <w:lang w:val="en-US" w:eastAsia="en-US" w:bidi="ar-SA"/>
        </w:rPr>
        <w:t>. Here, the landlord had no actual knowledge of any contaminants; of any release of contaminants; of any safety risks or breaches; or of any dangerous activity, authorized by the lease/ tenancy agreement or otherwise. The landlord had no reason to make inquiries or to in any way monitor the activities of its tenant.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[60] Based on the evidence, this does not appear to be one of those rare cases in which a landlord owes a duty of care to third parties; the facts cannot be said to be "out of the ordinary".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The plaintiff submits that </w:t>
      </w:r>
      <w:r>
        <w:rPr>
          <w:rFonts w:ascii="arial" w:eastAsia="arial" w:hAnsi="arial" w:cs="arial"/>
          <w:i/>
          <w:color w:val="000000"/>
          <w:sz w:val="20"/>
          <w:lang w:val="en-US" w:eastAsia="en-US" w:bidi="ar-SA"/>
        </w:rPr>
        <w:t>Durling</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Sorbam</w:t>
      </w:r>
      <w:r>
        <w:rPr>
          <w:rFonts w:ascii="arial" w:eastAsia="arial" w:hAnsi="arial" w:cs="arial"/>
          <w:color w:val="000000"/>
          <w:sz w:val="20"/>
          <w:lang w:val="en-US" w:eastAsia="en-US" w:bidi="ar-SA"/>
        </w:rPr>
        <w:t xml:space="preserve"> together stand for the proposition that landlords can be found to owe a duty to third parties in certain circumstances, particularly where they are out of the ordinary. The plaintiff says that the case at bar is out of the ordinary because Burnaby was both the landlord and the entity that created the bylaw prohibiting outdoor fires and outdoor fireplaces. It created the bylaw and knew it was being breached, but it did nothing. The plaintiff says that this gives rise to a conflict between the City's enforcement of the bylaw and disruption of its tenancies. Burnaby cannot prefer its commercial interests over compliance with its bylaws any more than a private citizen can: </w:t>
      </w:r>
      <w:r>
        <w:rPr>
          <w:rFonts w:ascii="arial" w:eastAsia="arial" w:hAnsi="arial" w:cs="arial"/>
          <w:i/>
          <w:color w:val="000000"/>
          <w:sz w:val="20"/>
          <w:lang w:val="en-US" w:eastAsia="en-US" w:bidi="ar-SA"/>
        </w:rPr>
        <w:t>Vancouver (City) v. Korres Moving &amp; Transfer Ltd.</w:t>
      </w:r>
      <w:r>
        <w:rPr>
          <w:rFonts w:ascii="arial" w:eastAsia="arial" w:hAnsi="arial" w:cs="arial"/>
          <w:color w:val="000000"/>
          <w:sz w:val="20"/>
          <w:lang w:val="en-US" w:eastAsia="en-US" w:bidi="ar-SA"/>
        </w:rPr>
        <w:t>, [1993] B.C.W.L.D. 1010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The plaintiff says the </w:t>
      </w:r>
      <w:r>
        <w:rPr>
          <w:rFonts w:ascii="arial" w:eastAsia="arial" w:hAnsi="arial" w:cs="arial"/>
          <w:i/>
          <w:color w:val="000000"/>
          <w:sz w:val="20"/>
          <w:lang w:val="en-US" w:eastAsia="en-US" w:bidi="ar-SA"/>
        </w:rPr>
        <w:t>RTA</w:t>
      </w:r>
      <w:r>
        <w:rPr>
          <w:rFonts w:ascii="arial" w:eastAsia="arial" w:hAnsi="arial" w:cs="arial"/>
          <w:color w:val="000000"/>
          <w:sz w:val="20"/>
          <w:lang w:val="en-US" w:eastAsia="en-US" w:bidi="ar-SA"/>
        </w:rPr>
        <w:t xml:space="preserve"> also required that the Bottomleys followed the Burnaby bylaws. The plaintiff says while Burnaby knew or ought to have known this bylaw was not being followed by the Bottomleys, it chose to do nothing about this breach. This was despite it being in Burnaby's power to send the Bottomleys a letter saying continued failure to adhere with the bylaw would result in eviction, which both Paul and Roberta Bottomley said would have immediately led them to stopping all fires. Instead, Burnaby continued to collect rent from the Bottomleys and allowed the tenancy to continue.</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Proximity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In respect of proximity, the plaintiff says that the circumstances of the relationship between the plaintiff and the defendant were of such a nature that the defendant may be said to be under an obligation to be mindful of the plaintiff's legitimate interest in conducting its affairs: </w:t>
      </w:r>
      <w:r>
        <w:rPr>
          <w:rFonts w:ascii="arial" w:eastAsia="arial" w:hAnsi="arial" w:cs="arial"/>
          <w:i/>
          <w:color w:val="000000"/>
          <w:sz w:val="20"/>
          <w:lang w:val="en-US" w:eastAsia="en-US" w:bidi="ar-SA"/>
        </w:rPr>
        <w:t>Hercules Management Ltd. v. Ernst &amp; Young</w:t>
      </w:r>
      <w:r>
        <w:rPr>
          <w:rFonts w:ascii="arial" w:eastAsia="arial" w:hAnsi="arial" w:cs="arial"/>
          <w:color w:val="000000"/>
          <w:sz w:val="20"/>
          <w:lang w:val="en-US" w:eastAsia="en-US" w:bidi="ar-SA"/>
        </w:rPr>
        <w:t xml:space="preserve">, </w:t>
      </w:r>
      <w:hyperlink r:id="rId796" w:history="1">
        <w:r>
          <w:rPr>
            <w:rFonts w:ascii="arial" w:eastAsia="arial" w:hAnsi="arial" w:cs="arial"/>
            <w:i/>
            <w:color w:val="0077CC"/>
            <w:sz w:val="20"/>
            <w:u w:val="single"/>
            <w:shd w:val="clear" w:color="auto" w:fill="FFFFFF"/>
            <w:lang w:val="en-US" w:eastAsia="en-US" w:bidi="ar-SA"/>
          </w:rPr>
          <w:t>[1997] 2 S.C.R. 165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plaintiff says that the Bottomleys' guests are related to Burnaby closely and directly enough that it should have had them within its contemplation when considering its acts or omissions. Ms. Brightman provided in her evidence that part of the reason the bylaw exists is to promote the safety of people and premises on Burnaby properties. As well, she explained that Burnaby's responsibility to repair and maintain its residential properties exists so as to ensure the safety of tenants and others that may enter the tenant properties.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policy considerations, the plaintiff argues, arise when foreseeability and proximity have been established. The onus is on the defendant to establish a policy basis for holding that there ought not to be a finding of reasonable foreseeability. No such onus has or can be met by the defendant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The plaintiff argues that a duty of care can be found in certain situations following the enactment of policy. This is an independent source of a duty of care separate from statute and common law. The plaintiff submits that even if Burnaby is not found to owe her a duty of care under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or </w:t>
      </w:r>
      <w:r>
        <w:rPr>
          <w:rFonts w:ascii="arial" w:eastAsia="arial" w:hAnsi="arial" w:cs="arial"/>
          <w:i/>
          <w:color w:val="000000"/>
          <w:sz w:val="20"/>
          <w:lang w:val="en-US" w:eastAsia="en-US" w:bidi="ar-SA"/>
        </w:rPr>
        <w:t>RTA</w:t>
      </w:r>
      <w:r>
        <w:rPr>
          <w:rFonts w:ascii="arial" w:eastAsia="arial" w:hAnsi="arial" w:cs="arial"/>
          <w:color w:val="000000"/>
          <w:sz w:val="20"/>
          <w:lang w:val="en-US" w:eastAsia="en-US" w:bidi="ar-SA"/>
        </w:rPr>
        <w:t>, or at common law, it owes a duty based on the policies it enacted.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plaintiff refers to the evidence of Ms. Brightman that Burnaby had a policy in place to conduct full safety inspections of all residential properties annually. Reminders were sent to the tenants setting this policy out. However, Burnaby never did an annual inspection of the Bottomley property. The evidence establishes, the plaintiff says, that Burnaby did not follow the very policy it created to do inspections and maintain safety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Based on a consideration of resources it had at its disposal, the plaintiff says that Burnaby was free to set the inspections for longer periods of time if it chose to do so, but it did not. It instead chose not to follow the policy it created. The plaintiff says that Burnaby would have found the fire pit had it inspected. According to the Bottomleys, the fire pit was in plain view in the backyard of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 respect of the content of the duty of care, the plaintiff says Burnaby owed her the duty of care a landlord of a residential property owes to persons on that property, such that they are reasonably safe. This involves taking reasonable steps to address features of that property that could foreseeably cause harm, those which the landlord is actually aware of or should have been aware of with a reasonable level of diligence.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The plaintiff disagrees that expert evidence is necessary to establish the standard of care. The plaintiff asserts that expert evidence in this case would not meet the </w:t>
      </w:r>
      <w:r>
        <w:rPr>
          <w:rFonts w:ascii="arial" w:eastAsia="arial" w:hAnsi="arial" w:cs="arial"/>
          <w:i/>
          <w:color w:val="000000"/>
          <w:sz w:val="20"/>
          <w:lang w:val="en-US" w:eastAsia="en-US" w:bidi="ar-SA"/>
        </w:rPr>
        <w:t>Mohan</w:t>
      </w:r>
      <w:r>
        <w:rPr>
          <w:rFonts w:ascii="arial" w:eastAsia="arial" w:hAnsi="arial" w:cs="arial"/>
          <w:color w:val="000000"/>
          <w:sz w:val="20"/>
          <w:lang w:val="en-US" w:eastAsia="en-US" w:bidi="ar-SA"/>
        </w:rPr>
        <w:t xml:space="preserve"> test for admissibility and that it is not required, relying on this statement from </w:t>
      </w:r>
      <w:r>
        <w:rPr>
          <w:rFonts w:ascii="arial" w:eastAsia="arial" w:hAnsi="arial" w:cs="arial"/>
          <w:i/>
          <w:color w:val="000000"/>
          <w:sz w:val="20"/>
          <w:lang w:val="en-US" w:eastAsia="en-US" w:bidi="ar-SA"/>
        </w:rPr>
        <w:t>Truax v. Hryb</w:t>
      </w:r>
      <w:r>
        <w:rPr>
          <w:rFonts w:ascii="arial" w:eastAsia="arial" w:hAnsi="arial" w:cs="arial"/>
          <w:color w:val="000000"/>
          <w:sz w:val="20"/>
          <w:lang w:val="en-US" w:eastAsia="en-US" w:bidi="ar-SA"/>
        </w:rPr>
        <w:t xml:space="preserve">, </w:t>
      </w:r>
      <w:hyperlink r:id="rId797" w:history="1">
        <w:r>
          <w:rPr>
            <w:rFonts w:ascii="arial" w:eastAsia="arial" w:hAnsi="arial" w:cs="arial"/>
            <w:i/>
            <w:color w:val="0077CC"/>
            <w:sz w:val="20"/>
            <w:u w:val="single"/>
            <w:shd w:val="clear" w:color="auto" w:fill="FFFFFF"/>
            <w:lang w:val="en-US" w:eastAsia="en-US" w:bidi="ar-SA"/>
          </w:rPr>
          <w:t>2017 BCSC 1052</w:t>
        </w:r>
      </w:hyperlink>
      <w:r>
        <w:rPr>
          <w:rFonts w:ascii="arial" w:eastAsia="arial" w:hAnsi="arial" w:cs="arial"/>
          <w:color w:val="000000"/>
          <w:sz w:val="20"/>
          <w:lang w:val="en-US" w:eastAsia="en-US" w:bidi="ar-SA"/>
        </w:rPr>
        <w:t xml:space="preserve"> at para. 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Each case should be considered on its unique circumstances. It is trite to say that it is not necessary to call expert evidence on each issue. Expert testimony should be restricted to those matters where it would actually assist the court because the evidence is so specialized, scientific or complex. Expert evidence should not be viewed as a default or automatic step in litigation strategy.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In any event, the plaintiff says that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sets the standard of care: it is the duty to take such care that is reasonable in the circumstances.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Burnaby argues that even if a duty of care is found to exist, the plaintiff has not provided any evidence. The plaintiff submits this is not the case. She relies on Mr. Bottomley's testimony that an explosion occurred as a result of his addition of accelerant to the fire in the fire pit, and on his and Ms. Bottomley's testimony that had they been warned of the implications of their actions involving the fire pit, they would have immediately stopped lighting fires.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plaintiff submits that these points, if accepted, are sufficient to establish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In respect of damages, the plaintiff says there has been ample evidence supporting the damages and losses she sustained as a result of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Statutory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 refer to some of the City's already discussed arguments in this section, followed by my response.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The City argues the following: there is no evidence that it was responsible for maintenance of the yard; Mr. Bottomley was a tenant and he caused the accident by pouring used motor oil on the fire; the Bottomleys have no actionable suit against the City; the cause of the accident was the Bottomleys' actions; the City committed no breach of duty under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the duty to repair and maintain the yard was that of the tenant; the City took care in respect of its duty to repair and maintain; and the accident did not occur as a result of the failure to repair and maintain, it arose entirely out of Mr. Bottomley's pouring used engine oil on the fire causing an explosion. The City is not responsible for the tenant's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The City says the wheel rim, which acted as the fire pit, was a chattel and did not form part of the premises. Thus, s. 6 of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does not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In respect of the </w:t>
      </w:r>
      <w:r>
        <w:rPr>
          <w:rFonts w:ascii="arial" w:eastAsia="arial" w:hAnsi="arial" w:cs="arial"/>
          <w:i/>
          <w:color w:val="000000"/>
          <w:sz w:val="20"/>
          <w:lang w:val="en-US" w:eastAsia="en-US" w:bidi="ar-SA"/>
        </w:rPr>
        <w:t>RTA</w:t>
      </w:r>
      <w:r>
        <w:rPr>
          <w:rFonts w:ascii="arial" w:eastAsia="arial" w:hAnsi="arial" w:cs="arial"/>
          <w:color w:val="000000"/>
          <w:sz w:val="20"/>
          <w:lang w:val="en-US" w:eastAsia="en-US" w:bidi="ar-SA"/>
        </w:rPr>
        <w:t>, the City delegated yard maintenance to the Bottomleys. The residential tenancy complied with health, safety, and housing standards required by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In respect to foreseeability, the City said it had no knowledge that their tenant would pour used engine oil on a fire and cause an explosion. In respect of causation, Burnaby says if it breached its duty of care, none of its failures were the direct cause of the plaintiff's injuries. It was the pouring of the used motor oil on the fire that caused the plaintiff's injuries, not the existence of the fire pit or the fire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City says it owes no common law duty. There was no relationship of proximity or foreseeability. The bylaw does not create a higher duty on the City as a landlord, though perhaps on the tenant. There is no special relationship between the plaintiff and the City. Expert evidence is required to establish the requisite standard of care and in any event the bylaw was enforced, the fire department responded to the 2008 fire, and the Bottomleys stopped having fires for a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residential tenancy agreement provided that the City was responsible for maintenance and repair of the premises. Premises includes the land and the fixtures. The City sent out letters annually reiterating that the City was responsible for repairs and maintenance and indeed undertook them. The City enacted the bylaw so as to prevent harm to persons using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City, I find, knew the Bottomleys had a fire in 2008 which was over 20 feet high. That was against the City's bylaw, and I find that Burnaby knew or ought to have known that the Bottomleys were having open fires due to the presence of a fire pit, which was obvious on any inspection of the yard. In spite of this, it allowed the fire pit to remain on the property until the incident occurred, eight years after the 2008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 consider that the fire pit was affixed to the ground by gravity and there was no evidence of it being moved at any time after it was installed, although the ground underneath it was modified. I find that the City was aware of the risk of a fire and the damage one could potentially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 find that the matter is actionable by the tenant(s), if not Mr. Bottomley, perhaps Ms. Bottomley, and certainly the children, against the 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Common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At common law, I find that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applies, that it was reasonably foreseeable that the plaintiff was in sufficient proximity to the City, and there are no relevant policy considerations.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 find that there was a foreseeable risk that having open fires in a fire pit could cause personal injury. I agree that Burnaby had no basis upon which to foresee the exact circumstances, that is, that Mr. Bottomley would pour used motor oil on an existing fire and cause an explosion. However, I find the City was aware that an outdoor fire was a safety risk per the bylaw, and that the City had knowledge of both the 2008 fire and the presence of the fire pit for the purpose of having fires on the premises. There was sufficient foreseeability that someone could be injured in these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In respect of proximity, I find that guests on the property were within the contemplation of Burnaby as the landlord. Burnaby created the bylaw to protect people, including visitors on the premises (City employees, contractors, and guests of the Bottomleys), from outdoor fires based on the knowledge that they can be dangerous and unsafe. This puts these guests in sufficient proximity to Burnaby.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 find that the plaintiff's circumstances were out of the ordinary, and that Burnaby preferred its commercial interest as landlord over compliance with its own bylaw.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In respect of policy, I find that Burnaby has the onus of establishing a policy basis for why I should not find reasonable foreseeability and proximity. Such a basis has not been established here. Burnaby had a policy of doing safety inspections of the premises and did not do so. Nevertheless, the City was on the premises 20 to 25 times for other reasons between the beginning of the tenancy in 2005 and the incident in May 2014, with the fire pit being obvious to any onlooker from the time of its installation in 2008 onwards.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In respect of the duty of care, I do not find that expert evidence was required, but rather that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provides the requisite standard regarding causation. The Bottomleys were clear that if they were threatened with eviction due to their actions, including the use of the fire pit, they would have stopped.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There is sufficient evidence of the plaintiff's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In all the circumstances, I find that sufficient evidence has been provided to support that Burnaby owed the plaintiff a duty of care. I therefore dismiss the no-evidence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J.M. GROPPER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1" style="position:absolute;z-index:2517975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98"/>
          <w:headerReference w:type="default" r:id="rId799"/>
          <w:footerReference w:type="even" r:id="rId800"/>
          <w:footerReference w:type="default" r:id="rId801"/>
          <w:headerReference w:type="first" r:id="rId802"/>
          <w:footerReference w:type="first" r:id="rId80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04" w:history="1">
        <w:r>
          <w:rPr>
            <w:rFonts w:ascii="arial" w:eastAsia="arial" w:hAnsi="arial" w:cs="arial"/>
            <w:b/>
            <w:bCs/>
            <w:i/>
            <w:color w:val="0077CC"/>
            <w:kern w:val="32"/>
            <w:sz w:val="28"/>
            <w:szCs w:val="32"/>
            <w:u w:val="single"/>
            <w:shd w:val="clear" w:color="auto" w:fill="FFFFFF"/>
            <w:lang w:val="en-US" w:eastAsia="en-US" w:bidi="ar-SA"/>
          </w:rPr>
          <w:t>A.J.G. v. Mann, [2020] B.C.J. No. 238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Nanaimo,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Baird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28-29, December 2-5,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18, 2020.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M80816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Nanaimo</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[2020] B.C.J. No. 238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2020 BCSC 180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A.J.G., Plaintiff, and James Alfie Morris Mann,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(68 paras.)</w:t>
      </w:r>
    </w:p>
    <w:p>
      <w:pPr>
        <w:jc w:val="both"/>
        <w:rPr>
          <w:rFonts w:ascii="arial" w:eastAsia="arial" w:hAnsi="arial" w:cs="arial"/>
          <w:sz w:val="20"/>
          <w:lang w:val="en-US" w:eastAsia="en-US" w:bidi="ar-SA"/>
        </w:rPr>
      </w:pPr>
      <w:bookmarkStart w:id="182" w:name="Counsel_36"/>
      <w:bookmarkEnd w:id="18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2" style="position:absolute;z-index:2516961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P. Giroday, B. Blanaru (A/S).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Counsel for the Insurance Corporation of British Columbia, as Intervenor: K. Hornquist.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83" w:name="Judgment_36"/>
      <w:bookmarkEnd w:id="183"/>
      <w:r>
        <w:pict>
          <v:line id="_x0000_s1163" style="position:absolute;z-index:25174732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5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4" w:name="BAIRD J."/>
            <w:bookmarkEnd w:id="184"/>
            <w:r>
              <w:rPr>
                <w:rFonts w:ascii="arial" w:eastAsia="arial" w:hAnsi="arial" w:cs="arial"/>
                <w:b/>
                <w:color w:val="000000"/>
                <w:sz w:val="30"/>
                <w:lang w:val="en-US" w:eastAsia="en-US" w:bidi="ar-SA"/>
              </w:rPr>
              <w:t>BAIRD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 motor vehicle accident case. On October 25, 2015 the plaintiff was rear-ended by the defendant as she was turning into her driveway on Turner Road in Nanaimo, B.C. The defendant was an uninsured driver. The defence has been conducted by counsel engaged by the public insurer.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fault was neither admitted nor disputed at trial. The defendant did not testify. In my view it is clear that the defendant was wholly responsible for the collision. He was following the plaintiff too closely and was not keeping a proper lookout. The plaintiff was not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As a result of the collision the plaintiff suffered soft tissue injuries to her neck, back and left shoulder, with related headaches, anxiety and fatigue. She is seeking damages for non-pecuniary loss, loss of past and future income earning capacity, out of pocket expenses, and 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is 28 years old, born September 25, 1991. She is married without children. She works for School District 68 as a teacher. Her particular interest is in assisting students who have special needs. She has a Bachelor of Education degree (2016) and a Master of Special Education (2018) from Vancouver Island University. She is trained for no other career.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plaintiff's entitlement to non-pecuniary damages was conceded subject to the usual to and fro about quantum. I intend to incorporate a modest amount for loss of housekeeping capacity under this heading. There is no question that an award for past income loss is also in order, with the dispute between the parties amounting to a difference of only several thousand dollars.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main point of contention is the extent to which the plaintiff's accident-related deficits may have reduced her future capacity to earn income as a teacher. The plaintiff is claiming, in essence, that because of the collision she is now physically disabled to such a degree that she will be limited to a 3.5 or 4 day work week until she is 65 years old. Defence counsel concedes that an award for lost income earning capacity is due to the plaintiff but not of anything like the magnitude demanded.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PLAINTIFF'S PRE-ACCIDENT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the spring of 2015 the plaintiff was diagnosed with fibromyalgia, a condition described in evidence as generalised and unexplained soft tissue pain that can migrate through the body and wax and wane for no verifiable reason. The plaintiff testified that she had likely been suffering from fibromyalgia symptoms for several years pre-diagnosis, manifested in her case by oversensitivity to touch in the upper arms and legs, lower back ache, and a pattern of interrupted, non-restorative sleep.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Eventually the plaintiff's mother - who suffers from the same condition - encouraged her to seek referral to a rheumatologist for evaluation. The plaintiff followed this advice and came under the care of Dr. Tenenbaum, now sadly deceased, who recommended that she should exercise, maintain a healthy diet, and develop better sleeping habits. The plaintiff testified without contradiction that she did all of these things.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 am drawn to the conclusion, therefore, that the plaintiff's fibromyalgia symptoms, which in any event had never been debilitating, were well under control before the accident. She never missed work or school because of this pre-existing condition, required no accommodations in her daily activities, including housework, was not inhibited in her social or recreational pursuits, and was not taking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Before the accident, moreover, the plaintiff had no history of middle and upper back soreness, pain or restricted movement in her neck or left shoulder, or any problems with anxiety or persistent low moods. She suffered from occasional migraines but did not experience daily tension headaches as she does now. If not for the accident, she says, she would have continued to enjoy her customary lifestyle free from any of these physical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PLAINTIFF'S POST-ACCIDENT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testified that while some of her accident-related complaints have abated somewhat, she continues to experience generalised pain and stiffness in her back. She says that the middle and upper back symptoms are new since the accident, while the lower back discomfort that was a pre-accident symptom of her fibromyalgia has worsened. In the four year interval since the accident the plaintiff has attempted to rehabilitate herself through exercise and physiotherapy and other passive treatments, such as intra-muscular injections, with limited improvement.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Additionally, the plaintiff continues to suffer from previously unknown and persistent neck pain, mostly on the right side, and left shoulder pain with limited range of movement and related numbness, tingling and weakness in her left arm and hand. She claims to have experienced daily tension headaches and a reduction in cognitive acuity including short-term memory loss and reduced ability to concentrate. She suffers from anxiety, particularly when it comes to driving or being a passenger in a motor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PLAINTIFF'S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Defence counsel urged me to be sceptical about the plaintiff's testimony in a general sense. He suggested that the plaintiff is attributing all of her problems in life to the accident when, in actual fact, her own genetic inheritance including fibromyalgia is a major contributing factor to her present difficulties. Questions were raised, as well, about her appetite for sustained hard work. I was referred to the plaintiff's below average high school and early university marks and her somewhat patchy employment history. I was encouraged to infer that her natural inclination is to take things easy and coast through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It may be that there are aspects of the plaintiff's history that give rise to such questions. On the other hand, the plaintiff's approach to life and work since finding her niche as a special needs teacher seems to have been more disciplined and methodical and by all accounts her career in that field is well-launched. I have no particular reason to question the basic credibility of the plaintiff's claims of ongoing accident-related partial disability, especially since her evidence to this effect was corroborated in important particulars by her mother, husband, mother-in-law, and a former co-worker. The whole of the evidence portrays a young woman who enjoyed reasonably good health before the accident who, afterwards, has been diminished in overall fitness and functionality.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Assessing what the plaintiff's life might have amounted to in the absence of the accident is a matter, by no means precise, of considering her personal, educational and vocational history and measuring how far her fitness, capacities and enjoyment of life appear genuinely to have been reduced by the defendant's fault. For the following reasons, I have concluded that the plaintiff is entitled to a solid award for her losses, but in my view her damages demand is too high.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MEDICAL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Jonathan Hawkeswood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Dr. Hawkeswood is a physiatrist retained by plaintiff's counsel. He examined the plaintiff her on May 23, 2019. He diagnosed her as having grade 2 whiplash-associated disorder affecting the cervical, thoracic and lumbar spine; left shoulder pain in keeping with an impingement pattern, and likely a component of pain inhibition as well; chronic tension headaches with episodic migraines; and moderate anxiety and mild depression. He observed abnormal recruitment and restricted range of motion of the plaintiff's left shoulder. He attributed the plaintiff's cognitive complaints following the accident to secondary factors such as sleep disruption, pain and 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cross-examination, Dr. Hawkeswood denied the suggestion that the plaintiff's soft tissue injuries might have resolved and that her ongoing complaints are from fibromyalgia. He referred in particular to the left shoulder injury, which came on immediately after the accident and of which there was no pre-morbid history. He called this the plaintiff's "focal injury", by which I understood him to mean her most serious and enduring deficit. Other than this he offered the opinion that the accident likely caused a whiplash injury to the plaintiff's cervical, thoracic and lumbar spine, worsening her pre-existing fibromyalgia-related lumbar pain and causing the upper body axial symptoms. He raised the issue that she would likely have experienced similar back pain or pain elsewhere in her body because of her fibromyalgia absent the accident; however, he could not predict when this might have happened or the severity of it. His opinion in any event was that the plaintiff suffers substantially more pain because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Dr. Hawkeswood reported that he expected the plaintiff would experience chronic soft tissue pain in relation to her injuries and pre-existing fibromyalgia on a fluctuant course for the "foreseeable future". In his court testimony, he specified that he meant by this "the remainder of her adult life". He did not expect her to regain full functionality or resolution of the pain in her left shoulder; however, he reported that over the long-term her symptoms might improve with treatment, rehabilitation, and exercise. He expected that her limitations doing household chores would improve with time. He predicted that in the future she will have to miss work occasionally because of pain. In his view no other long-term disability is probable.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Rhonda Shuckett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Dr. Shuckett is a rheumatologist engaged by the plaintiff for an examination on May 10, 2019. In her opinion the plaintiff suffered the following injuries as a result of the accident: cervicogenic muscular tension headaches; musculoligamentous and facet related pain in her neck, with myofascial pain of the neck and shoulder girdle regions; rotator cuff tendinosis of the left shoulder with impingement; left sided thoracic outlet syndrome related to the myofascial pain in her left neck and shoulder girdle region; mechanical upper, mid and low back pain with bilateral sacroiliac strain; and increased pain related to her fibromyalgia.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examination, Dr. Shuckett observed a global decrease in all ranges of motion of the plaintiff's left shoulder, as well as decreased grip strength in the plaintiff's left hand. The plaintiff also reported tingling in her left arm and hand. Dr. Shuckett observed palpable muscle spasms in the plaintiff's neck and shoulder girdle regions.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Dr. Shuckett agreed with Dr. Hawkeswood that the plaintiff was probably at greater risk for pain in her upper, mid and lower back by virtue of her pre-accident history of fibromyalgia, but the trauma of the accident caused her immediate symptoms with the fibromyalgia likely prolonging and exacerbating her pain. She noted the difficulty of assessing the relative degrees of fibromyalgia before and after a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Dr. Shuckett's opinion the plaintiff's prognosis is poor for any appreciable improvement in overall functionality. In cross-examination, however, she testified that with the assistance of a kinesiologist, in combination with additional physiotherapy, the plaintiff might be able to improve her physical strength and conditioning.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Dr. Shuckett reported that the plaintiff had found it necessary to restrict her working hours to part-time, though she was unsure how many hours a week the plaintiff was working at the time of the examination. In Dr. Shuckett's opinion, the plaintiff will probably have to "continue with her restricted employment schedule". I note that Dr. Shuckett examined the plaintiff before she decided to reduce her work hours to just over half time as she has done this present school year.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John Wade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Dr. Wade is a rheumatologist retained by the defence to examine the plaintiff on May 31, 2019. He referred to the plaintiff's pre-existing fibromyalgia and raised the possibility - not shared by other clinicians - that she might suffer from co-existing mild inflammatory arthritis. In his view the accident probably caused a mild to moderate musculoligamentous injury of the cervical and thoracic spine and possibly the lumbar spine. He thought it possible, as well, that the plaintiff suffered a soft tissue injury of the left shoulder, although he considered it possible that this might be referred pain from the cervical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Dr. Wade conceded that the plaintiff's fibromyalgia "may well have been aggravated by the motor vehicle accident", but he observed that with time, physiotherapy and exercise, there has been a limited but clinically significant improvement of her reported symptoms. He agreed with Dr. Shuckett that the plaintiff may suffer from mild left thoracic outlet syndrome, and suggested that this may or may not be related to the accident, but he did not identify any alternative cause and agreed that there was no sign of it in the plaintiff's pre-morbid medical history. Although the plaintiff reported her daily headaches to Dr. Wade he offered no opinion concerning their etiology.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Dr. Wade suggested further investigations of the plaintiff's left shoulder as well as physiotherapy to improve range of motion. He provided limited comment on the plaintiff's prognosis beyond his expectation that she may be able to reduce her symptoms and further improve her functioning and quality of life with further assessment and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 turn first to the issue of causation. The plaintiff must show on a balance of probabilities that "but for" the defendant's negligent act, the injuries from which she is suffering would not have occurred: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111"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at para. 8. The plaintiff need not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injury; rather, it is sufficient if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w:t>
      </w:r>
      <w:r>
        <w:rPr>
          <w:rFonts w:ascii="arial" w:eastAsia="arial" w:hAnsi="arial" w:cs="arial"/>
          <w:i/>
          <w:color w:val="000000"/>
          <w:sz w:val="20"/>
          <w:lang w:val="en-US" w:eastAsia="en-US" w:bidi="ar-SA"/>
        </w:rPr>
        <w:t>a</w:t>
      </w:r>
      <w:r>
        <w:rPr>
          <w:rFonts w:ascii="arial" w:eastAsia="arial" w:hAnsi="arial" w:cs="arial"/>
          <w:color w:val="000000"/>
          <w:sz w:val="20"/>
          <w:lang w:val="en-US" w:eastAsia="en-US" w:bidi="ar-SA"/>
        </w:rPr>
        <w:t xml:space="preserve"> cause of the harm suffered: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07"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paras. 17-19. The plaintiff need only establish a "substantial connection" between the injury and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order to find the defendant liable: </w:t>
      </w:r>
      <w:r>
        <w:rPr>
          <w:rFonts w:ascii="arial" w:eastAsia="arial" w:hAnsi="arial" w:cs="arial"/>
          <w:i/>
          <w:color w:val="000000"/>
          <w:sz w:val="20"/>
          <w:lang w:val="en-US" w:eastAsia="en-US" w:bidi="ar-SA"/>
        </w:rPr>
        <w:t>Sam v. Wilson</w:t>
      </w:r>
      <w:r>
        <w:rPr>
          <w:rFonts w:ascii="arial" w:eastAsia="arial" w:hAnsi="arial" w:cs="arial"/>
          <w:color w:val="000000"/>
          <w:sz w:val="20"/>
          <w:lang w:val="en-US" w:eastAsia="en-US" w:bidi="ar-SA"/>
        </w:rPr>
        <w:t xml:space="preserve">, </w:t>
      </w:r>
      <w:hyperlink r:id="rId805" w:history="1">
        <w:r>
          <w:rPr>
            <w:rFonts w:ascii="arial" w:eastAsia="arial" w:hAnsi="arial" w:cs="arial"/>
            <w:i/>
            <w:color w:val="0077CC"/>
            <w:sz w:val="20"/>
            <w:u w:val="single"/>
            <w:shd w:val="clear" w:color="auto" w:fill="FFFFFF"/>
            <w:lang w:val="en-US" w:eastAsia="en-US" w:bidi="ar-SA"/>
          </w:rPr>
          <w:t>2007 BCCA 622</w:t>
        </w:r>
      </w:hyperlink>
      <w:r>
        <w:rPr>
          <w:rFonts w:ascii="arial" w:eastAsia="arial" w:hAnsi="arial" w:cs="arial"/>
          <w:color w:val="000000"/>
          <w:sz w:val="20"/>
          <w:lang w:val="en-US" w:eastAsia="en-US" w:bidi="ar-SA"/>
        </w:rPr>
        <w:t xml:space="preserve"> at para. 109. A substantial connection is something beyond the </w:t>
      </w:r>
      <w:r>
        <w:rPr>
          <w:rFonts w:ascii="arial" w:eastAsia="arial" w:hAnsi="arial" w:cs="arial"/>
          <w:i/>
          <w:color w:val="000000"/>
          <w:sz w:val="20"/>
          <w:lang w:val="en-US" w:eastAsia="en-US" w:bidi="ar-SA"/>
        </w:rPr>
        <w:t>de minimus</w:t>
      </w:r>
      <w:r>
        <w:rPr>
          <w:rFonts w:ascii="arial" w:eastAsia="arial" w:hAnsi="arial" w:cs="arial"/>
          <w:color w:val="000000"/>
          <w:sz w:val="20"/>
          <w:lang w:val="en-US" w:eastAsia="en-US" w:bidi="ar-SA"/>
        </w:rPr>
        <w:t xml:space="preserve"> range: </w:t>
      </w:r>
      <w:r>
        <w:rPr>
          <w:rFonts w:ascii="arial" w:eastAsia="arial" w:hAnsi="arial" w:cs="arial"/>
          <w:i/>
          <w:color w:val="000000"/>
          <w:sz w:val="20"/>
          <w:lang w:val="en-US" w:eastAsia="en-US" w:bidi="ar-SA"/>
        </w:rPr>
        <w:t>Farrant v. Laktin</w:t>
      </w:r>
      <w:r>
        <w:rPr>
          <w:rFonts w:ascii="arial" w:eastAsia="arial" w:hAnsi="arial" w:cs="arial"/>
          <w:color w:val="000000"/>
          <w:sz w:val="20"/>
          <w:lang w:val="en-US" w:eastAsia="en-US" w:bidi="ar-SA"/>
        </w:rPr>
        <w:t xml:space="preserve">, </w:t>
      </w:r>
      <w:hyperlink r:id="rId112" w:history="1">
        <w:r>
          <w:rPr>
            <w:rFonts w:ascii="arial" w:eastAsia="arial" w:hAnsi="arial" w:cs="arial"/>
            <w:i/>
            <w:color w:val="0077CC"/>
            <w:sz w:val="20"/>
            <w:u w:val="single"/>
            <w:shd w:val="clear" w:color="auto" w:fill="FFFFFF"/>
            <w:lang w:val="en-US" w:eastAsia="en-US" w:bidi="ar-SA"/>
          </w:rPr>
          <w:t>2011 BCCA 336</w:t>
        </w:r>
      </w:hyperlink>
      <w:r>
        <w:rPr>
          <w:rFonts w:ascii="arial" w:eastAsia="arial" w:hAnsi="arial" w:cs="arial"/>
          <w:color w:val="000000"/>
          <w:sz w:val="20"/>
          <w:lang w:val="en-US" w:eastAsia="en-US" w:bidi="ar-SA"/>
        </w:rPr>
        <w:t xml:space="preserve"> at paras. 9,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Based on the plaintiff's pre-existing fibromyalgia, the defence suggests the "crumbling skull" rule applies, which provides that a defendant need not compensate the plaintiff for any debilitating effects of pre-existing conditions which the plaintiff would have suffered anyway: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35. The BC Court of Appeal in </w:t>
      </w:r>
      <w:r>
        <w:rPr>
          <w:rFonts w:ascii="arial" w:eastAsia="arial" w:hAnsi="arial" w:cs="arial"/>
          <w:i/>
          <w:color w:val="000000"/>
          <w:sz w:val="20"/>
          <w:lang w:val="en-US" w:eastAsia="en-US" w:bidi="ar-SA"/>
        </w:rPr>
        <w:t>Zacharias v. Leys</w:t>
      </w:r>
      <w:r>
        <w:rPr>
          <w:rFonts w:ascii="arial" w:eastAsia="arial" w:hAnsi="arial" w:cs="arial"/>
          <w:color w:val="000000"/>
          <w:sz w:val="20"/>
          <w:lang w:val="en-US" w:eastAsia="en-US" w:bidi="ar-SA"/>
        </w:rPr>
        <w:t xml:space="preserve">, </w:t>
      </w:r>
      <w:hyperlink r:id="rId257" w:history="1">
        <w:r>
          <w:rPr>
            <w:rFonts w:ascii="arial" w:eastAsia="arial" w:hAnsi="arial" w:cs="arial"/>
            <w:i/>
            <w:color w:val="0077CC"/>
            <w:sz w:val="20"/>
            <w:u w:val="single"/>
            <w:shd w:val="clear" w:color="auto" w:fill="FFFFFF"/>
            <w:lang w:val="en-US" w:eastAsia="en-US" w:bidi="ar-SA"/>
          </w:rPr>
          <w:t>2005 BCCA 560</w:t>
        </w:r>
      </w:hyperlink>
      <w:r>
        <w:rPr>
          <w:rFonts w:ascii="arial" w:eastAsia="arial" w:hAnsi="arial" w:cs="arial"/>
          <w:color w:val="000000"/>
          <w:sz w:val="20"/>
          <w:lang w:val="en-US" w:eastAsia="en-US" w:bidi="ar-SA"/>
        </w:rPr>
        <w:t xml:space="preserve"> discussed the application of this rule: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The crumbling skull rule is difficult to apply when there is a chance, but not a certainty, that the plaintiff would have suffered the harm but for the defendants' conduct. Major J. addressed this issue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when he wrote, at paragraph 35, that damages should be adjusted only when there is a "measurable risk that the preexisting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Such a risk of harm need not be proved on a balance of probabilities, which is the appropriate standard for determining </w:t>
      </w:r>
      <w:r>
        <w:rPr>
          <w:rFonts w:ascii="arial" w:eastAsia="arial" w:hAnsi="arial" w:cs="arial"/>
          <w:i/>
          <w:color w:val="000000"/>
          <w:sz w:val="20"/>
          <w:lang w:val="en-US" w:eastAsia="en-US" w:bidi="ar-SA"/>
        </w:rPr>
        <w:t>past</w:t>
      </w:r>
      <w:r>
        <w:rPr>
          <w:rFonts w:ascii="arial" w:eastAsia="arial" w:hAnsi="arial" w:cs="arial"/>
          <w:color w:val="000000"/>
          <w:sz w:val="20"/>
          <w:lang w:val="en-US" w:eastAsia="en-US" w:bidi="ar-SA"/>
        </w:rPr>
        <w:t xml:space="preserve"> events but not </w:t>
      </w:r>
      <w:r>
        <w:rPr>
          <w:rFonts w:ascii="arial" w:eastAsia="arial" w:hAnsi="arial" w:cs="arial"/>
          <w:i/>
          <w:color w:val="000000"/>
          <w:sz w:val="20"/>
          <w:lang w:val="en-US" w:eastAsia="en-US" w:bidi="ar-SA"/>
        </w:rPr>
        <w:t>future</w:t>
      </w:r>
      <w:r>
        <w:rPr>
          <w:rFonts w:ascii="arial" w:eastAsia="arial" w:hAnsi="arial" w:cs="arial"/>
          <w:color w:val="000000"/>
          <w:sz w:val="20"/>
          <w:lang w:val="en-US" w:eastAsia="en-US" w:bidi="ar-SA"/>
        </w:rPr>
        <w:t xml:space="preserve"> ones. Future or hypothetical events should simply be given weight according to the probability of their occurrence. At paragraph 27, Major J. wrote that "if there is a 30 percent chance that the plaintiff's injuries will worsen, then the damage award may be increased by 30 percent of the anticipated extra damages to reflect that risk." In the same paragraph, he went on to say that a future event should be taken into account as long as it is a "real and substantial possibility and not mere speculation."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plaintiff relies on </w:t>
      </w:r>
      <w:r>
        <w:rPr>
          <w:rFonts w:ascii="arial" w:eastAsia="arial" w:hAnsi="arial" w:cs="arial"/>
          <w:i/>
          <w:color w:val="000000"/>
          <w:sz w:val="20"/>
          <w:lang w:val="en-US" w:eastAsia="en-US" w:bidi="ar-SA"/>
        </w:rPr>
        <w:t>Bouchard v. Brown Bros. Motor Lease Canada Ltd.</w:t>
      </w:r>
      <w:r>
        <w:rPr>
          <w:rFonts w:ascii="arial" w:eastAsia="arial" w:hAnsi="arial" w:cs="arial"/>
          <w:color w:val="000000"/>
          <w:sz w:val="20"/>
          <w:lang w:val="en-US" w:eastAsia="en-US" w:bidi="ar-SA"/>
        </w:rPr>
        <w:t xml:space="preserve">, </w:t>
      </w:r>
      <w:hyperlink r:id="rId806" w:history="1">
        <w:r>
          <w:rPr>
            <w:rFonts w:ascii="arial" w:eastAsia="arial" w:hAnsi="arial" w:cs="arial"/>
            <w:i/>
            <w:color w:val="0077CC"/>
            <w:sz w:val="20"/>
            <w:u w:val="single"/>
            <w:shd w:val="clear" w:color="auto" w:fill="FFFFFF"/>
            <w:lang w:val="en-US" w:eastAsia="en-US" w:bidi="ar-SA"/>
          </w:rPr>
          <w:t>2012 BCCA 331</w:t>
        </w:r>
      </w:hyperlink>
      <w:r>
        <w:rPr>
          <w:rFonts w:ascii="arial" w:eastAsia="arial" w:hAnsi="arial" w:cs="arial"/>
          <w:color w:val="000000"/>
          <w:sz w:val="20"/>
          <w:lang w:val="en-US" w:eastAsia="en-US" w:bidi="ar-SA"/>
        </w:rPr>
        <w:t xml:space="preserve"> for the proposition that any discounting of damages on this basis must reflect the likely timing and trajectory of a degenerative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am satisfied on all of the evidence that the plaintiff's pre-existing fibromyalgia was only mildly symptomatic before the accident and did not interfere with her everyday functioning. In my view the accident has served to exacerbate these symptoms to the point where they are now debilitating to a not insignificant degree. I am not persuaded on all of the evidence that the plaintiff suffered from pre-existing inflammatory arthritis, a theory espoused by Dr. Wade alone in terms that I found unconvincing.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conclude that the accident caused soft tissue injury to the plaintiff's lower and upper back, and that while it may be that her fibromyalgia would have affected these areas absent the accident, the pain that she experiences to this part of her anatomy has become chronic, in part at least because the soft tissue injury has interacted negatively with her fibromyalgia in a continuous and persistent cycle that would likely not have occurred but for the accident. In my view the plaintiff's daily tension headaches are related to her neck pain, and her mild cognitive problems are likely the result of accident-related fatigue and insomnia.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the absence of any other causal explanation, finally, I conclude that the plaintiff's neck and left shoulder injuries, which I would identify as her predominant residual deficits, are a direct result of the accident. The plaintiff had no pre-morbid history of either injury, and I note that Dr. Shuckett observed muscle spasms on palpation in both areas, an objective symptom that cannot be feigned. The expert medical evidence in its totality suggests that the plaintiff's left shoulder complaint is probably the result of thoracic outlet syndrome with intermittent brachial plexus impingement, which would explain the numbness and tingling in her left arm and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am prepared to accept that with so much time having elapsed after the accident without full recovery, especially considering the plaintiff's reasonably diligent efforts towards rehabilitation, the plaintiff's optimal functioning has been lastingly damaged. There is no doubt that the accident has negatively impacted the plaintiff's enjoyment of life and caused a diminution of physical capacity resulting in a real and substantial possibility of future pecuniary loss. In attempting to be fair to both sides of this dispute the question, as usual, becomes one of degree.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repeat that, in the main, I accept the plaintiff's evidence concerning the nature and extent of her injuries. I am satisfied, as well, that she has made meaningful attempts to return to her pre-accident fitness but has fallen short of it despite reasonable efforts. Where I part company with her is in the evaluation of the likely impact that her injuries will have on her life, especially her working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my view, in particular, it was not reasonable or necessary for the plaintiff to voluntarily and unilaterally reduce her work schedule by almost 50 percent as she has done in this present school year. Dr. Hawkeswood paid particular attention to the impact of the plaintiff's injuries on her capacity to work and dedicated a section of his report to "Vocational Abilities and Limitations". I accept Dr. Hawkeswood's nuanced and considered opinion that the plaintiff will have to miss work only occasionally and that no other long-term disability is likely. Dr. Shuckett's discussion on this issue was limited to a non-specific opinion that a restricted work schedule may be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Non-pecuniary damages are awarded to compensate the injured party for pain, suffering, loss of enjoyment of life, and loss of amenities. The compensation awarded should be fair to all parties. Fairness is measured against awards made in comparable cases. Though helpful, similar cases serve only as a rough guide, as each case depends on its own unique facts: </w:t>
      </w:r>
      <w:r>
        <w:rPr>
          <w:rFonts w:ascii="arial" w:eastAsia="arial" w:hAnsi="arial" w:cs="arial"/>
          <w:i/>
          <w:color w:val="000000"/>
          <w:sz w:val="20"/>
          <w:lang w:val="en-US" w:eastAsia="en-US" w:bidi="ar-SA"/>
        </w:rPr>
        <w:t>Trites v. Penner</w:t>
      </w:r>
      <w:r>
        <w:rPr>
          <w:rFonts w:ascii="arial" w:eastAsia="arial" w:hAnsi="arial" w:cs="arial"/>
          <w:color w:val="000000"/>
          <w:sz w:val="20"/>
          <w:lang w:val="en-US" w:eastAsia="en-US" w:bidi="ar-SA"/>
        </w:rPr>
        <w:t xml:space="preserve">, </w:t>
      </w:r>
      <w:hyperlink r:id="rId116" w:history="1">
        <w:r>
          <w:rPr>
            <w:rFonts w:ascii="arial" w:eastAsia="arial" w:hAnsi="arial" w:cs="arial"/>
            <w:i/>
            <w:color w:val="0077CC"/>
            <w:sz w:val="20"/>
            <w:u w:val="single"/>
            <w:shd w:val="clear" w:color="auto" w:fill="FFFFFF"/>
            <w:lang w:val="en-US" w:eastAsia="en-US" w:bidi="ar-SA"/>
          </w:rPr>
          <w:t>2010 BCSC 882</w:t>
        </w:r>
      </w:hyperlink>
      <w:r>
        <w:rPr>
          <w:rFonts w:ascii="arial" w:eastAsia="arial" w:hAnsi="arial" w:cs="arial"/>
          <w:color w:val="000000"/>
          <w:sz w:val="20"/>
          <w:lang w:val="en-US" w:eastAsia="en-US" w:bidi="ar-SA"/>
        </w:rPr>
        <w:t xml:space="preserve"> at paras. 188-189. The process is one of assessment and not mathematical precision: </w:t>
      </w:r>
      <w:r>
        <w:rPr>
          <w:rFonts w:ascii="arial" w:eastAsia="arial" w:hAnsi="arial" w:cs="arial"/>
          <w:i/>
          <w:color w:val="000000"/>
          <w:sz w:val="20"/>
          <w:lang w:val="en-US" w:eastAsia="en-US" w:bidi="ar-SA"/>
        </w:rPr>
        <w:t>Suthakar v. Humble</w:t>
      </w:r>
      <w:r>
        <w:rPr>
          <w:rFonts w:ascii="arial" w:eastAsia="arial" w:hAnsi="arial" w:cs="arial"/>
          <w:color w:val="000000"/>
          <w:sz w:val="20"/>
          <w:lang w:val="en-US" w:eastAsia="en-US" w:bidi="ar-SA"/>
        </w:rPr>
        <w:t xml:space="preserve">, </w:t>
      </w:r>
      <w:hyperlink r:id="rId807" w:history="1">
        <w:r>
          <w:rPr>
            <w:rFonts w:ascii="arial" w:eastAsia="arial" w:hAnsi="arial" w:cs="arial"/>
            <w:i/>
            <w:color w:val="0077CC"/>
            <w:sz w:val="20"/>
            <w:u w:val="single"/>
            <w:shd w:val="clear" w:color="auto" w:fill="FFFFFF"/>
            <w:lang w:val="en-US" w:eastAsia="en-US" w:bidi="ar-SA"/>
          </w:rPr>
          <w:t>2016 BCSC 155</w:t>
        </w:r>
      </w:hyperlink>
      <w:r>
        <w:rPr>
          <w:rFonts w:ascii="arial" w:eastAsia="arial" w:hAnsi="arial" w:cs="arial"/>
          <w:color w:val="000000"/>
          <w:sz w:val="20"/>
          <w:lang w:val="en-US" w:eastAsia="en-US" w:bidi="ar-SA"/>
        </w:rPr>
        <w:t xml:space="preserve"> at para. 116.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Court of Appeal outlined the proper approach to the assessment of non-pecuniary damages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117"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paras. 45-46. The factors to be considered include the age of the plaintiff, the nature of her injuries, the severity and duration of her pain, disability, emotional suffering, loss or impairment of life, the impairment of family and social relationships, the impairment of physical and mental abilities, and loss of lifestyle. A stoic nature ought not to result in a lesser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A claim for loss of housekeeping capacity may be included under this heading rather than as a separate pecuniary award. This distinction is discussed in </w:t>
      </w:r>
      <w:r>
        <w:rPr>
          <w:rFonts w:ascii="arial" w:eastAsia="arial" w:hAnsi="arial" w:cs="arial"/>
          <w:i/>
          <w:color w:val="000000"/>
          <w:sz w:val="20"/>
          <w:lang w:val="en-US" w:eastAsia="en-US" w:bidi="ar-SA"/>
        </w:rPr>
        <w:t>Kim v. Lin</w:t>
      </w:r>
      <w:r>
        <w:rPr>
          <w:rFonts w:ascii="arial" w:eastAsia="arial" w:hAnsi="arial" w:cs="arial"/>
          <w:color w:val="000000"/>
          <w:sz w:val="20"/>
          <w:lang w:val="en-US" w:eastAsia="en-US" w:bidi="ar-SA"/>
        </w:rPr>
        <w:t xml:space="preserve">, </w:t>
      </w:r>
      <w:hyperlink r:id="rId808" w:history="1">
        <w:r>
          <w:rPr>
            <w:rFonts w:ascii="arial" w:eastAsia="arial" w:hAnsi="arial" w:cs="arial"/>
            <w:i/>
            <w:color w:val="0077CC"/>
            <w:sz w:val="20"/>
            <w:u w:val="single"/>
            <w:shd w:val="clear" w:color="auto" w:fill="FFFFFF"/>
            <w:lang w:val="en-US" w:eastAsia="en-US" w:bidi="ar-SA"/>
          </w:rPr>
          <w:t>2018 BCCA 77</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[33] Therefore, where a plaintiff suffers an injury which would make a reasonable person in the plaintiff's circumstances unable to perform usual and necessary household work -- i.e., where the plaintiff has suffered a true loss of capacity -- that loss may be compensated by a pecuniary damages award. Where the plaintiff suffers a loss that is more in keeping with a loss of amenities, or increased pain and suffering, that loss may instead be compensated by a non-pecuniary damages award. However, I do not wish to create an inflexible rule for courts addressing these awards, and as this Court said in Liu, "it lies in the trial judge's discretion whether to address such a claim as part of the non-pecuniary loss or as a segregated pecuniary head of damage": at para. 26.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Whichever option a court chooses, when valuing these different types of awards, courts should pay heed to the differing rationales behind them. In particular, when valuing the pecuniary damages for the loss of capacity suffered by a plaintiff, courts may look to the cost of hiring replacement services, but they should ensure that any award for that loss, and any deduction to that award, is tied to the actual loss of capacity which justifies the award in the first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 seeks an award of $125,000 under this heading based on the following cases:</w:t>
      </w:r>
      <w:r>
        <w:rPr>
          <w:rFonts w:ascii="arial" w:eastAsia="arial" w:hAnsi="arial" w:cs="arial"/>
          <w:sz w:val="20"/>
          <w:lang w:val="en-US" w:eastAsia="en-US" w:bidi="ar-SA"/>
        </w:rPr>
        <w:cr/>
      </w:r>
    </w:p>
    <w:p>
      <w:pPr>
        <w:numPr>
          <w:numId w:val="153"/>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Mattson v. Spady</w:t>
      </w:r>
      <w:r>
        <w:rPr>
          <w:rFonts w:ascii="arial" w:eastAsia="arial" w:hAnsi="arial" w:cs="arial"/>
          <w:color w:val="000000"/>
          <w:sz w:val="20"/>
          <w:lang w:val="en-US" w:eastAsia="en-US" w:bidi="ar-SA"/>
        </w:rPr>
        <w:t xml:space="preserve">, </w:t>
      </w:r>
      <w:hyperlink r:id="rId809" w:history="1">
        <w:r>
          <w:rPr>
            <w:rFonts w:ascii="arial" w:eastAsia="arial" w:hAnsi="arial" w:cs="arial"/>
            <w:i/>
            <w:color w:val="0077CC"/>
            <w:sz w:val="20"/>
            <w:u w:val="single"/>
            <w:shd w:val="clear" w:color="auto" w:fill="FFFFFF"/>
            <w:lang w:val="en-US" w:eastAsia="en-US" w:bidi="ar-SA"/>
          </w:rPr>
          <w:t>2019 BCSC 1144</w:t>
        </w:r>
      </w:hyperlink>
      <w:r>
        <w:rPr>
          <w:rFonts w:ascii="arial" w:eastAsia="arial" w:hAnsi="arial" w:cs="arial"/>
          <w:color w:val="000000"/>
          <w:sz w:val="20"/>
          <w:lang w:val="en-US" w:eastAsia="en-US" w:bidi="ar-SA"/>
        </w:rPr>
        <w:t>: $150,000 award. The plaintiff suffered chronic pain involving her neck, upper trapezius, shoulder, and scapula and headaches. Before the accident she led an "extremely active lifestyle" as an "avid and serious runner" who participated in marathons, team sports, and outdoor activities. She was unable to return to any of these activities after the accident. Her work hours as a kinesiologist were reduced due to her pain and mobility issues. She struggled with household chores and her interactions with her children were impeded. Her injuries were described as "unrelenting and unremitting" and the Court noted the "impact of her injuries on the life she knew has been devastating" (at para. 46). She was 30 years old at the time of the accident.</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Daleh v. Schroeder</w:t>
      </w:r>
      <w:r>
        <w:rPr>
          <w:rFonts w:ascii="arial" w:eastAsia="arial" w:hAnsi="arial" w:cs="arial"/>
          <w:color w:val="000000"/>
          <w:sz w:val="20"/>
          <w:lang w:val="en-US" w:eastAsia="en-US" w:bidi="ar-SA"/>
        </w:rPr>
        <w:t xml:space="preserve">, </w:t>
      </w:r>
      <w:hyperlink r:id="rId810" w:history="1">
        <w:r>
          <w:rPr>
            <w:rFonts w:ascii="arial" w:eastAsia="arial" w:hAnsi="arial" w:cs="arial"/>
            <w:i/>
            <w:color w:val="0077CC"/>
            <w:sz w:val="20"/>
            <w:u w:val="single"/>
            <w:shd w:val="clear" w:color="auto" w:fill="FFFFFF"/>
            <w:lang w:val="en-US" w:eastAsia="en-US" w:bidi="ar-SA"/>
          </w:rPr>
          <w:t>2019 BCSC 1179</w:t>
        </w:r>
      </w:hyperlink>
      <w:r>
        <w:rPr>
          <w:rFonts w:ascii="arial" w:eastAsia="arial" w:hAnsi="arial" w:cs="arial"/>
          <w:color w:val="000000"/>
          <w:sz w:val="20"/>
          <w:lang w:val="en-US" w:eastAsia="en-US" w:bidi="ar-SA"/>
        </w:rPr>
        <w:t>: $130,000 award (reduced to $117,000 based on failure to mitigate her psychiatric injuries). The plaintiff was injured in two separate motor vehicle accidents in 2014 and 2016. She suffered pain in her neck, shoulder, back, knee, and hip, headaches, mild anxiety, and Major Depressive Disorder. Her recreational activities were limited post-accident, though she had never been particularly active. She was able to return to full-time work and/or part-time studies after each accident but reduced her own hours to 60%. Her prognosis was that there was "no remaining orthopedic explanation for her pain" and with proper care there was reasonable potential for her to be able to return to full-time work (at para. 120). She was 24 years old at the time of the first accident.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Faizi v. Thandi</w:t>
      </w:r>
      <w:r>
        <w:rPr>
          <w:rFonts w:ascii="arial" w:eastAsia="arial" w:hAnsi="arial" w:cs="arial"/>
          <w:color w:val="000000"/>
          <w:sz w:val="20"/>
          <w:lang w:val="en-US" w:eastAsia="en-US" w:bidi="ar-SA"/>
        </w:rPr>
        <w:t xml:space="preserve">, </w:t>
      </w:r>
      <w:hyperlink r:id="rId811" w:history="1">
        <w:r>
          <w:rPr>
            <w:rFonts w:ascii="arial" w:eastAsia="arial" w:hAnsi="arial" w:cs="arial"/>
            <w:i/>
            <w:color w:val="0077CC"/>
            <w:sz w:val="20"/>
            <w:u w:val="single"/>
            <w:shd w:val="clear" w:color="auto" w:fill="FFFFFF"/>
            <w:lang w:val="en-US" w:eastAsia="en-US" w:bidi="ar-SA"/>
          </w:rPr>
          <w:t>2019 BCSC 434</w:t>
        </w:r>
      </w:hyperlink>
      <w:r>
        <w:rPr>
          <w:rFonts w:ascii="arial" w:eastAsia="arial" w:hAnsi="arial" w:cs="arial"/>
          <w:color w:val="000000"/>
          <w:sz w:val="20"/>
          <w:lang w:val="en-US" w:eastAsia="en-US" w:bidi="ar-SA"/>
        </w:rPr>
        <w:t>: $125,000 award. The plaintiff was injured in two separate motor vehicle accidents in 2013 and 2014. She suffered neck, back, jaw, hip, and knee pain, headaches, and tinnitus, but had some similar symptoms prior to the accidents. The accidents exacerbated her pre-existing depression and anxiety for a period of time which caused emotional suffering after the accidents. She was able to attend school, work, and the gym post-accident, though she had to stop running due to knee pain. Her injuries were not severe, but she was expected to experience pain in her neck, low back, and knee pain in the future. She was 19 years old at the time of the first accident, so the "period of time over which she will experience this pain is significant" (at para. 162).</w:t>
      </w:r>
    </w:p>
    <w:p>
      <w:pPr>
        <w:numPr>
          <w:numId w:val="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Crookall v. Higby</w:t>
      </w:r>
      <w:r>
        <w:rPr>
          <w:rFonts w:ascii="arial" w:eastAsia="arial" w:hAnsi="arial" w:cs="arial"/>
          <w:color w:val="000000"/>
          <w:sz w:val="20"/>
          <w:lang w:val="en-US" w:eastAsia="en-US" w:bidi="ar-SA"/>
        </w:rPr>
        <w:t xml:space="preserve">, </w:t>
      </w:r>
      <w:hyperlink r:id="rId812" w:history="1">
        <w:r>
          <w:rPr>
            <w:rFonts w:ascii="arial" w:eastAsia="arial" w:hAnsi="arial" w:cs="arial"/>
            <w:i/>
            <w:color w:val="0077CC"/>
            <w:sz w:val="20"/>
            <w:u w:val="single"/>
            <w:shd w:val="clear" w:color="auto" w:fill="FFFFFF"/>
            <w:lang w:val="en-US" w:eastAsia="en-US" w:bidi="ar-SA"/>
          </w:rPr>
          <w:t>2018 BCSC 1200</w:t>
        </w:r>
      </w:hyperlink>
      <w:r>
        <w:rPr>
          <w:rFonts w:ascii="arial" w:eastAsia="arial" w:hAnsi="arial" w:cs="arial"/>
          <w:color w:val="000000"/>
          <w:sz w:val="20"/>
          <w:lang w:val="en-US" w:eastAsia="en-US" w:bidi="ar-SA"/>
        </w:rPr>
        <w:t>: $125,000 award. The plaintiff was injured in two separate motor vehicle accidents in 2012 and 2013. She suffered moderate to severe thoracic back pain that had persisted over five years. Her prognosis for full recovery was poor. She was unable to participate in any physical activities or sports which had been a significant part of her life before the accident. She suffered emotionally, as the pain affected her self-confidence and body image. She also suffered from depression and anxiety and her symptoms affected her mood and relationships with her family and friends. She was unable to return to work as a result of her injuries. She was 20 years old at the time of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defence argues, meanwhile, that a lesser award in the range of $70,000 is in order, referring to:</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Stapleton v. Andrew</w:t>
      </w:r>
      <w:r>
        <w:rPr>
          <w:rFonts w:ascii="arial" w:eastAsia="arial" w:hAnsi="arial" w:cs="arial"/>
          <w:color w:val="000000"/>
          <w:sz w:val="20"/>
          <w:lang w:val="en-US" w:eastAsia="en-US" w:bidi="ar-SA"/>
        </w:rPr>
        <w:t xml:space="preserve">, </w:t>
      </w:r>
      <w:hyperlink r:id="rId813" w:history="1">
        <w:r>
          <w:rPr>
            <w:rFonts w:ascii="arial" w:eastAsia="arial" w:hAnsi="arial" w:cs="arial"/>
            <w:i/>
            <w:color w:val="0077CC"/>
            <w:sz w:val="20"/>
            <w:u w:val="single"/>
            <w:shd w:val="clear" w:color="auto" w:fill="FFFFFF"/>
            <w:lang w:val="en-US" w:eastAsia="en-US" w:bidi="ar-SA"/>
          </w:rPr>
          <w:t>2019 BCSC 678</w:t>
        </w:r>
      </w:hyperlink>
      <w:r>
        <w:rPr>
          <w:rFonts w:ascii="arial" w:eastAsia="arial" w:hAnsi="arial" w:cs="arial"/>
          <w:color w:val="000000"/>
          <w:sz w:val="20"/>
          <w:lang w:val="en-US" w:eastAsia="en-US" w:bidi="ar-SA"/>
        </w:rPr>
        <w:t>: $75,000 award. The plaintiff suffered pain in her shoulder, lower back, and neck. Her prognosis for full resolution was poor. There was some interference with her recreational activities post-accident, though these activities were never central to her. After the accident she was able to join a gym and workout successfully as well as complete a half marathon, though with pain, stiffness, and discomfort. She previously worked as a chef, but her ability to continue in this profession was impeded by her injuries which prevented her from lifting heavy objects or performing sustained activities common to food preparation without experiencing pain. The Court noted, "[g]iven her relative youth, she is likely to experience the adverse effects of the Accident for a considerable period of time" (at para. 67). She was 24 years old at the time of the accident.</w:t>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Kagrimanyan v. Weir</w:t>
      </w:r>
      <w:r>
        <w:rPr>
          <w:rFonts w:ascii="arial" w:eastAsia="arial" w:hAnsi="arial" w:cs="arial"/>
          <w:color w:val="000000"/>
          <w:sz w:val="20"/>
          <w:lang w:val="en-US" w:eastAsia="en-US" w:bidi="ar-SA"/>
        </w:rPr>
        <w:t xml:space="preserve">, </w:t>
      </w:r>
      <w:hyperlink r:id="rId814" w:history="1">
        <w:r>
          <w:rPr>
            <w:rFonts w:ascii="arial" w:eastAsia="arial" w:hAnsi="arial" w:cs="arial"/>
            <w:i/>
            <w:color w:val="0077CC"/>
            <w:sz w:val="20"/>
            <w:u w:val="single"/>
            <w:shd w:val="clear" w:color="auto" w:fill="FFFFFF"/>
            <w:lang w:val="en-US" w:eastAsia="en-US" w:bidi="ar-SA"/>
          </w:rPr>
          <w:t>2018 BCSC 1458</w:t>
        </w:r>
      </w:hyperlink>
      <w:r>
        <w:rPr>
          <w:rFonts w:ascii="arial" w:eastAsia="arial" w:hAnsi="arial" w:cs="arial"/>
          <w:color w:val="000000"/>
          <w:sz w:val="20"/>
          <w:lang w:val="en-US" w:eastAsia="en-US" w:bidi="ar-SA"/>
        </w:rPr>
        <w:t>: $75,000 award. The plaintiff suffered chronic lower back pain, as well as neck and upper back pain and headaches which had largely resolved over time. She was unable to engage in some recreational pursuits she used to enjoy and found socializing and housework more difficult than they used to be. She was able to continue working as an administrative assistant but experienced pain and discomfort throughout the day. Medical evidence described her as being left with "a mild form of disability" (at para. 57). She was not expected to achieve full recovery, though with improved physical fitness her discomfort and limitations could be managed. She was 35 years old at the time of the accident.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Richmond v. Osztovits</w:t>
      </w:r>
      <w:r>
        <w:rPr>
          <w:rFonts w:ascii="arial" w:eastAsia="arial" w:hAnsi="arial" w:cs="arial"/>
          <w:color w:val="000000"/>
          <w:sz w:val="20"/>
          <w:lang w:val="en-US" w:eastAsia="en-US" w:bidi="ar-SA"/>
        </w:rPr>
        <w:t xml:space="preserve">, </w:t>
      </w:r>
      <w:hyperlink r:id="rId815" w:history="1">
        <w:r>
          <w:rPr>
            <w:rFonts w:ascii="arial" w:eastAsia="arial" w:hAnsi="arial" w:cs="arial"/>
            <w:i/>
            <w:color w:val="0077CC"/>
            <w:sz w:val="20"/>
            <w:u w:val="single"/>
            <w:shd w:val="clear" w:color="auto" w:fill="FFFFFF"/>
            <w:lang w:val="en-US" w:eastAsia="en-US" w:bidi="ar-SA"/>
          </w:rPr>
          <w:t>2019 BCSC 1984</w:t>
        </w:r>
      </w:hyperlink>
      <w:r>
        <w:rPr>
          <w:rFonts w:ascii="arial" w:eastAsia="arial" w:hAnsi="arial" w:cs="arial"/>
          <w:color w:val="000000"/>
          <w:sz w:val="20"/>
          <w:lang w:val="en-US" w:eastAsia="en-US" w:bidi="ar-SA"/>
        </w:rPr>
        <w:t>: $70,000 award. The 37-year-old plaintiff suffered chronic neck, upper back, and shoulder pain and headaches. It was unlikely her symptoms would resolve in her lifetime. Before the accident, she led an active lifestyle including running, walking, skiing, and mountain biking. After the accident, she could no longer run or hike and could only go for short walks. She continued working as a teacher with some modifications to her classroom, but suffered from fatigue and found herself unable to take on additional work. She also suffered impairment of her family and social relationships, including her interactions with her two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my view the best comparator of these is </w:t>
      </w:r>
      <w:r>
        <w:rPr>
          <w:rFonts w:ascii="arial" w:eastAsia="arial" w:hAnsi="arial" w:cs="arial"/>
          <w:i/>
          <w:color w:val="000000"/>
          <w:sz w:val="20"/>
          <w:lang w:val="en-US" w:eastAsia="en-US" w:bidi="ar-SA"/>
        </w:rPr>
        <w:t>Richmond</w:t>
      </w:r>
      <w:r>
        <w:rPr>
          <w:rFonts w:ascii="arial" w:eastAsia="arial" w:hAnsi="arial" w:cs="arial"/>
          <w:color w:val="000000"/>
          <w:sz w:val="20"/>
          <w:lang w:val="en-US" w:eastAsia="en-US" w:bidi="ar-SA"/>
        </w:rPr>
        <w:t>, subject to my view that the present plaintiff is entitled to a higher award because her injuries are arguably more incapacitating and were inflicted upon her at an earlier 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 has continued to suffer pain and impairment of her physical abilities since the accident in 2015. Her participation in recreational pursuits she once enjoyed has been impeded, although my overall impression is that she was only a moderately active person before the accident. While she may see some improvement in her condition with treatment and rehabilitation, it is unlikely she will regain full function of her left shoulder, and she will probably continue to experience neck pain. She is able to continue to work, but she is less physically capable and experiences pain while doing so. She is young - 24 years old at the time of the accident - and is likely to suffer the adverse effects of her injuries indefinitely.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am satisfied the plaintiff's ability to perform household chores has been impeded by her injuries and that her husband has taken on a larger share of this work as a result. In my view this properly constitutes a loss of amenities compensable under this heading. Dr. Hawkeswood was optimistic that her capacity in this regard would improve with time, and there was no evidence the plaintiff would need to hire any outside housekeeping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Taking these factors into account, including consideration of the plaintiff's loss of housekeeping capacity, I assess damages under this heading at $90,000.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PAST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A claim for what is often described as "past loss of income" is actually a claim for loss of earning capacity; that is, a claim for the loss of the value of the work that the injured plaintiff would have performed but was unable to perform because of the injury: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123"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at para.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question of what would have happened in the past but for the plaintiff's injury requires an assessment of hypothetical events. A hypothetical or future event will be taken into consideration as long as it is a real and substantial possibility and not mere speculation. This means that any employment loss must be shown to be realistic, having regard to what the plaintiff's circumstances would have been absent the injury. There must be an evidentiary foundation to the plaintiff's claim: </w:t>
      </w:r>
      <w:r>
        <w:rPr>
          <w:rFonts w:ascii="arial" w:eastAsia="arial" w:hAnsi="arial" w:cs="arial"/>
          <w:i/>
          <w:color w:val="000000"/>
          <w:sz w:val="20"/>
          <w:lang w:val="en-US" w:eastAsia="en-US" w:bidi="ar-SA"/>
        </w:rPr>
        <w:t>Gao v. Dietrich</w:t>
      </w:r>
      <w:r>
        <w:rPr>
          <w:rFonts w:ascii="arial" w:eastAsia="arial" w:hAnsi="arial" w:cs="arial"/>
          <w:color w:val="000000"/>
          <w:sz w:val="20"/>
          <w:lang w:val="en-US" w:eastAsia="en-US" w:bidi="ar-SA"/>
        </w:rPr>
        <w:t xml:space="preserve">, </w:t>
      </w:r>
      <w:hyperlink r:id="rId816" w:history="1">
        <w:r>
          <w:rPr>
            <w:rFonts w:ascii="arial" w:eastAsia="arial" w:hAnsi="arial" w:cs="arial"/>
            <w:i/>
            <w:color w:val="0077CC"/>
            <w:sz w:val="20"/>
            <w:u w:val="single"/>
            <w:shd w:val="clear" w:color="auto" w:fill="FFFFFF"/>
            <w:lang w:val="en-US" w:eastAsia="en-US" w:bidi="ar-SA"/>
          </w:rPr>
          <w:t>2018 BCCA 372</w:t>
        </w:r>
      </w:hyperlink>
      <w:r>
        <w:rPr>
          <w:rFonts w:ascii="arial" w:eastAsia="arial" w:hAnsi="arial" w:cs="arial"/>
          <w:color w:val="000000"/>
          <w:sz w:val="20"/>
          <w:lang w:val="en-US" w:eastAsia="en-US" w:bidi="ar-SA"/>
        </w:rPr>
        <w:t xml:space="preserve"> at para.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plaintiff must first establish, on a balance of probabilities, that the injuries sustained in the accident impaired her ability to earn income; that is, there must be a causal connection. Once she has done this, the hypothetical pecuniary loss must be assessed on the basis of relative likelihood: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817"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xml:space="preserve"> at paras. 36-37;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An award for loss of earning capacity, whether past or future, requires an assessment that considers the overall fairness and reasonableness of the award, taking into account all positive and negative contingencies. Mathematical, statistical, or economic evidence may be of assistance where available; however, it is not a calculation according to a particular formula: </w:t>
      </w:r>
      <w:r>
        <w:rPr>
          <w:rFonts w:ascii="arial" w:eastAsia="arial" w:hAnsi="arial" w:cs="arial"/>
          <w:i/>
          <w:color w:val="000000"/>
          <w:sz w:val="20"/>
          <w:lang w:val="en-US" w:eastAsia="en-US" w:bidi="ar-SA"/>
        </w:rPr>
        <w:t>Abbott v. Gerges</w:t>
      </w:r>
      <w:r>
        <w:rPr>
          <w:rFonts w:ascii="arial" w:eastAsia="arial" w:hAnsi="arial" w:cs="arial"/>
          <w:color w:val="000000"/>
          <w:sz w:val="20"/>
          <w:lang w:val="en-US" w:eastAsia="en-US" w:bidi="ar-SA"/>
        </w:rPr>
        <w:t xml:space="preserve">, </w:t>
      </w:r>
      <w:hyperlink r:id="rId818" w:history="1">
        <w:r>
          <w:rPr>
            <w:rFonts w:ascii="arial" w:eastAsia="arial" w:hAnsi="arial" w:cs="arial"/>
            <w:i/>
            <w:color w:val="0077CC"/>
            <w:sz w:val="20"/>
            <w:u w:val="single"/>
            <w:shd w:val="clear" w:color="auto" w:fill="FFFFFF"/>
            <w:lang w:val="en-US" w:eastAsia="en-US" w:bidi="ar-SA"/>
          </w:rPr>
          <w:t>2014 BCSC 1329</w:t>
        </w:r>
      </w:hyperlink>
      <w:r>
        <w:rPr>
          <w:rFonts w:ascii="arial" w:eastAsia="arial" w:hAnsi="arial" w:cs="arial"/>
          <w:color w:val="000000"/>
          <w:sz w:val="20"/>
          <w:lang w:val="en-US" w:eastAsia="en-US" w:bidi="ar-SA"/>
        </w:rPr>
        <w:t xml:space="preserve"> at para. 165; </w:t>
      </w:r>
      <w:r>
        <w:rPr>
          <w:rFonts w:ascii="arial" w:eastAsia="arial" w:hAnsi="arial" w:cs="arial"/>
          <w:i/>
          <w:color w:val="000000"/>
          <w:sz w:val="20"/>
          <w:lang w:val="en-US" w:eastAsia="en-US" w:bidi="ar-SA"/>
        </w:rPr>
        <w:t>Schenker v. Scott</w:t>
      </w:r>
      <w:r>
        <w:rPr>
          <w:rFonts w:ascii="arial" w:eastAsia="arial" w:hAnsi="arial" w:cs="arial"/>
          <w:color w:val="000000"/>
          <w:sz w:val="20"/>
          <w:lang w:val="en-US" w:eastAsia="en-US" w:bidi="ar-SA"/>
        </w:rPr>
        <w:t xml:space="preserve">, </w:t>
      </w:r>
      <w:hyperlink r:id="rId236" w:history="1">
        <w:r>
          <w:rPr>
            <w:rFonts w:ascii="arial" w:eastAsia="arial" w:hAnsi="arial" w:cs="arial"/>
            <w:i/>
            <w:color w:val="0077CC"/>
            <w:sz w:val="20"/>
            <w:u w:val="single"/>
            <w:shd w:val="clear" w:color="auto" w:fill="FFFFFF"/>
            <w:lang w:val="en-US" w:eastAsia="en-US" w:bidi="ar-SA"/>
          </w:rPr>
          <w:t>2014 BCCA 203</w:t>
        </w:r>
      </w:hyperlink>
      <w:r>
        <w:rPr>
          <w:rFonts w:ascii="arial" w:eastAsia="arial" w:hAnsi="arial" w:cs="arial"/>
          <w:color w:val="000000"/>
          <w:sz w:val="20"/>
          <w:lang w:val="en-US" w:eastAsia="en-US" w:bidi="ar-SA"/>
        </w:rPr>
        <w:t xml:space="preserve"> at paras. 50, 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this case it was agreed that after the accident the plaintiff lost 87 hours of work at a restaurant at a rate of $10.45 per hour. I am prepared to accept, as well, that she would have earned a small amount of additional income from tips, and that she missed a number of hours working in a daycare facility during the summer of 2019.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Finally, while I have already said that the plaintiff's decision to cut back her working hours to almost half time was unreasonable and unnecessary, I think it likely that she would have missed some days of teaching during this present school year for accident-related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my view a fair measure of compensation under this heading would be $6,000.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Pololos v. Cinnamon-Lopez</w:t>
      </w:r>
      <w:r>
        <w:rPr>
          <w:rFonts w:ascii="arial" w:eastAsia="arial" w:hAnsi="arial" w:cs="arial"/>
          <w:color w:val="000000"/>
          <w:sz w:val="20"/>
          <w:lang w:val="en-US" w:eastAsia="en-US" w:bidi="ar-SA"/>
        </w:rPr>
        <w:t xml:space="preserve">, </w:t>
      </w:r>
      <w:hyperlink r:id="rId819" w:history="1">
        <w:r>
          <w:rPr>
            <w:rFonts w:ascii="arial" w:eastAsia="arial" w:hAnsi="arial" w:cs="arial"/>
            <w:i/>
            <w:color w:val="0077CC"/>
            <w:sz w:val="20"/>
            <w:u w:val="single"/>
            <w:shd w:val="clear" w:color="auto" w:fill="FFFFFF"/>
            <w:lang w:val="en-US" w:eastAsia="en-US" w:bidi="ar-SA"/>
          </w:rPr>
          <w:t>2016 BCSC 81</w:t>
        </w:r>
      </w:hyperlink>
      <w:r>
        <w:rPr>
          <w:rFonts w:ascii="arial" w:eastAsia="arial" w:hAnsi="arial" w:cs="arial"/>
          <w:color w:val="000000"/>
          <w:sz w:val="20"/>
          <w:lang w:val="en-US" w:eastAsia="en-US" w:bidi="ar-SA"/>
        </w:rPr>
        <w:t xml:space="preserve"> at para. 133, the court summarized the following principles for determining loss of future earning capacity:</w:t>
      </w:r>
      <w:r>
        <w:rPr>
          <w:rFonts w:ascii="arial" w:eastAsia="arial" w:hAnsi="arial" w:cs="arial"/>
          <w:sz w:val="20"/>
          <w:lang w:val="en-US" w:eastAsia="en-US" w:bidi="ar-SA"/>
        </w:rPr>
        <w:cr/>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the extent possible, a plaintiff should be put in the position he/she would have been in, but for the injuries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Lines v. W &amp; D Logging Co. Ltd.</w:t>
      </w:r>
      <w:r>
        <w:rPr>
          <w:rFonts w:ascii="arial" w:eastAsia="arial" w:hAnsi="arial" w:cs="arial"/>
          <w:color w:val="000000"/>
          <w:sz w:val="20"/>
          <w:lang w:val="en-US" w:eastAsia="en-US" w:bidi="ar-SA"/>
        </w:rPr>
        <w:t xml:space="preserve">, </w:t>
      </w:r>
      <w:hyperlink r:id="rId188"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at para. 185, leave to appeal ref'd </w:t>
      </w:r>
      <w:hyperlink r:id="rId820" w:history="1">
        <w:r>
          <w:rPr>
            <w:rFonts w:ascii="arial" w:eastAsia="arial" w:hAnsi="arial" w:cs="arial"/>
            <w:i/>
            <w:color w:val="0077CC"/>
            <w:sz w:val="20"/>
            <w:u w:val="single"/>
            <w:shd w:val="clear" w:color="auto" w:fill="FFFFFF"/>
            <w:lang w:val="en-US" w:eastAsia="en-US" w:bidi="ar-SA"/>
          </w:rPr>
          <w:t>[2009] S.C.C.A. No. 197</w:t>
        </w:r>
      </w:hyperlink>
      <w:r>
        <w:rPr>
          <w:rFonts w:ascii="arial" w:eastAsia="arial" w:hAnsi="arial" w:cs="arial"/>
          <w:color w:val="000000"/>
          <w:sz w:val="20"/>
          <w:lang w:val="en-US" w:eastAsia="en-US" w:bidi="ar-SA"/>
        </w:rPr>
        <w:t>;</w:t>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central task of the Court is to compare the likely future of the plaintiff's working life if the Accident had not occurred with the plaintiff's likely future working life after the Accident;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273"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 32;</w:t>
      </w:r>
    </w:p>
    <w:p>
      <w:pPr>
        <w:numPr>
          <w:numId w:val="1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assessment of loss must be based on the evidence, but requires an exercise of judgment and is not a mathematical calculation;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279"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18;</w:t>
      </w:r>
    </w:p>
    <w:p>
      <w:pPr>
        <w:numPr>
          <w:numId w:val="1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two possible approaches to assessment of loss of future earning capacity are the "earnings approach" and the "capital asset approach";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127"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at para. 7 (S.C.); and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128"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paras. 11-12;</w:t>
      </w:r>
    </w:p>
    <w:p>
      <w:pPr>
        <w:numPr>
          <w:numId w:val="1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Under either approach, the plaintiff must prove that there is a "real and substantial possibility" of various future events leading to an income loss;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33;</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earnings approach will be more appropriate when the loss is more easily measurable; </w:t>
      </w:r>
      <w:r>
        <w:rPr>
          <w:rFonts w:ascii="arial" w:eastAsia="arial" w:hAnsi="arial" w:cs="arial"/>
          <w:i/>
          <w:color w:val="000000"/>
          <w:sz w:val="20"/>
          <w:lang w:val="en-US" w:eastAsia="en-US" w:bidi="ar-SA"/>
        </w:rPr>
        <w:t>Westbroek v. Brizuela</w:t>
      </w:r>
      <w:r>
        <w:rPr>
          <w:rFonts w:ascii="arial" w:eastAsia="arial" w:hAnsi="arial" w:cs="arial"/>
          <w:color w:val="000000"/>
          <w:sz w:val="20"/>
          <w:lang w:val="en-US" w:eastAsia="en-US" w:bidi="ar-SA"/>
        </w:rPr>
        <w:t xml:space="preserve">, </w:t>
      </w:r>
      <w:hyperlink r:id="rId131" w:history="1">
        <w:r>
          <w:rPr>
            <w:rFonts w:ascii="arial" w:eastAsia="arial" w:hAnsi="arial" w:cs="arial"/>
            <w:i/>
            <w:color w:val="0077CC"/>
            <w:sz w:val="20"/>
            <w:u w:val="single"/>
            <w:shd w:val="clear" w:color="auto" w:fill="FFFFFF"/>
            <w:lang w:val="en-US" w:eastAsia="en-US" w:bidi="ar-SA"/>
          </w:rPr>
          <w:t>2014 BCCA 48</w:t>
        </w:r>
      </w:hyperlink>
      <w:r>
        <w:rPr>
          <w:rFonts w:ascii="arial" w:eastAsia="arial" w:hAnsi="arial" w:cs="arial"/>
          <w:color w:val="000000"/>
          <w:sz w:val="20"/>
          <w:lang w:val="en-US" w:eastAsia="en-US" w:bidi="ar-SA"/>
        </w:rPr>
        <w:t xml:space="preserve"> at para. 64. Furthermore, while assessing an award for future loss of income is not a purely mathematical exercise, the Court should endeavour to use factual mathematical anchors as a starting foundation to quantify such loss; </w:t>
      </w:r>
      <w:r>
        <w:rPr>
          <w:rFonts w:ascii="arial" w:eastAsia="arial" w:hAnsi="arial" w:cs="arial"/>
          <w:i/>
          <w:color w:val="000000"/>
          <w:sz w:val="20"/>
          <w:lang w:val="en-US" w:eastAsia="en-US" w:bidi="ar-SA"/>
        </w:rPr>
        <w:t>Jurczak v. Mauro</w:t>
      </w:r>
      <w:r>
        <w:rPr>
          <w:rFonts w:ascii="arial" w:eastAsia="arial" w:hAnsi="arial" w:cs="arial"/>
          <w:color w:val="000000"/>
          <w:sz w:val="20"/>
          <w:lang w:val="en-US" w:eastAsia="en-US" w:bidi="ar-SA"/>
        </w:rPr>
        <w:t xml:space="preserve">, </w:t>
      </w:r>
      <w:hyperlink r:id="rId280" w:history="1">
        <w:r>
          <w:rPr>
            <w:rFonts w:ascii="arial" w:eastAsia="arial" w:hAnsi="arial" w:cs="arial"/>
            <w:i/>
            <w:color w:val="0077CC"/>
            <w:sz w:val="20"/>
            <w:u w:val="single"/>
            <w:shd w:val="clear" w:color="auto" w:fill="FFFFFF"/>
            <w:lang w:val="en-US" w:eastAsia="en-US" w:bidi="ar-SA"/>
          </w:rPr>
          <w:t>2013 BCCA 507</w:t>
        </w:r>
      </w:hyperlink>
      <w:r>
        <w:rPr>
          <w:rFonts w:ascii="arial" w:eastAsia="arial" w:hAnsi="arial" w:cs="arial"/>
          <w:color w:val="000000"/>
          <w:sz w:val="20"/>
          <w:lang w:val="en-US" w:eastAsia="en-US" w:bidi="ar-SA"/>
        </w:rPr>
        <w:t xml:space="preserve"> at paras. 36-37.</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relying on an "earnings approach", the Court must nevertheless always consider the overall fairness and reasonableness of the award, taking into account all of the evidence;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 xml:space="preserve"> at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"earnings approach" will generally be more useful when the loss is easily measurable, while the "capital asset approach" is more appropriate where the loss "is not measurable in a pecuniary way":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128"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paras. 12, 32. Either way, hypothetical future events must be weighed according to their relative likelihood and need not be proven on a balance of probabilities: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Defence counsel concedes that the plaintiff has established a real and substantial possibility of future wage loss. Both parties submit that the earnings approach is appropriate. My role then is to assess the plaintiff's damages with consideration of the overall fairness and reasonableness of the award, taking into account all of the evidence and contingencies that may arise: </w:t>
      </w:r>
      <w:r>
        <w:rPr>
          <w:rFonts w:ascii="arial" w:eastAsia="arial" w:hAnsi="arial" w:cs="arial"/>
          <w:i/>
          <w:color w:val="000000"/>
          <w:sz w:val="20"/>
          <w:lang w:val="en-US" w:eastAsia="en-US" w:bidi="ar-SA"/>
        </w:rPr>
        <w:t>Westbroek v. Brizuela</w:t>
      </w:r>
      <w:r>
        <w:rPr>
          <w:rFonts w:ascii="arial" w:eastAsia="arial" w:hAnsi="arial" w:cs="arial"/>
          <w:color w:val="000000"/>
          <w:sz w:val="20"/>
          <w:lang w:val="en-US" w:eastAsia="en-US" w:bidi="ar-SA"/>
        </w:rPr>
        <w:t xml:space="preserve">, </w:t>
      </w:r>
      <w:hyperlink r:id="rId131" w:history="1">
        <w:r>
          <w:rPr>
            <w:rFonts w:ascii="arial" w:eastAsia="arial" w:hAnsi="arial" w:cs="arial"/>
            <w:i/>
            <w:color w:val="0077CC"/>
            <w:sz w:val="20"/>
            <w:u w:val="single"/>
            <w:shd w:val="clear" w:color="auto" w:fill="FFFFFF"/>
            <w:lang w:val="en-US" w:eastAsia="en-US" w:bidi="ar-SA"/>
          </w:rPr>
          <w:t>2014 BCCA 48</w:t>
        </w:r>
      </w:hyperlink>
      <w:r>
        <w:rPr>
          <w:rFonts w:ascii="arial" w:eastAsia="arial" w:hAnsi="arial" w:cs="arial"/>
          <w:color w:val="000000"/>
          <w:sz w:val="20"/>
          <w:lang w:val="en-US" w:eastAsia="en-US" w:bidi="ar-SA"/>
        </w:rPr>
        <w:t xml:space="preserve"> at para. 65. The plaintiff is seeking an award of $650,000 under this head. Defence counsel submits that it should be in the range of $25,000 to $40,000.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After the accident, until the beginning of the present school year, at any rate, the plaintiff was either at school or working full time. She takes the position that she was only able to do this by avoiding most of the other activities that she enjoys and make her life worth living. She claims to have had no residual capacity for recreational and social activities or for work around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Last summer, as I have mentioned, the plaintiff and her husband decided that this state of affairs could not continue. She is now working only 0.56 of a full time teacher's position, although I was reliably informed that full-time work has been available throughout. The plaintiff justifies this trenchantly reduced work routine on the basis that it permits her to strike an appropriate balance between her personal and professional obligations. Her husband agreed with this, and said that their home and married life is much improved since the enactment of this routine.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defendant responds that the medical evidence does not support the necessity of such a drastically reduced work schedule. No medical adviser encouraged the plaintiff to scale back her professional activities by close to 50 per cent. Dr. Hawkeswood reported, to the contrary, that other than requiring occasional sick days the plaintiff will suffer no long-term disability. He suggested, furthermore, that, even without the accident the plaintiff's fibromyalgia might very well have detrimentally affected her capacity to earn income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These arguments have force, and I have brought them into the mix in assessing the real and substantial possibilities and the relative likelihood of their occurrence. In the midst of this I have considered the contingency that the plaintiff's fibromyalgia may have reduced her income earning capacity absent the accident, along with all of the other positive and negative contingencies that are usually brought to bear on these assessments.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 have concluded that the plaintiff's accident-related deficits have enduringly impaired her capacity to earn income, and in my view it is more or less certain that this will lead to future pecuniary loss. However, I do not accept that the plaintiff will require a day or more per week away from work to rest, recuperate, or take treatments. The totality of evidence in this case falls short of establishing that her capacity to earn income has been impaired to this extent. That said, I foresee that because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 will be forced to miss work on an intermittent but reasonably consistent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While I think it likely that the plaintiff will experience some improvement in her condition, at this stage in my view she is unlikely to fully recover her capacities. Accordingly, I agree that an award for future loss of earning capacity should be based on her likely retirement age of approximately 65. My outlook differs from the plaintiff's, not principally concerning the nature and extent of her injuries, but only in the likely frequency of work absences and their accompanying pecuniary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note in passing the absence of a functional capacity evaluation in this case. Such a report might have been very helpful in precisely and objectively delineating the plaintiff's physical limitations. In its absence, the plaintiff's demand for a large award under this heading is based mostly on her self-assessment of her capacities, which in my view is unduly pessimistic and only partially confirmed by the available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should mention, as well, that no witness from the school district was called to confirm the plaintiff's testimony about diminished capacity and her need to be assisted or accommodated at work. The only evidence submitted from the plaintiff's employer took the form of documentary performance evaluations showing that the plaintiff is succeeding admirably in all her professional tasks. Finally, I was referred to the plaintiff's record of absences from work while she was employed full-time, and few of these appear to have been related to accident-related incapacity.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These latter observations have nothing to do with adverse inferences. I say merely that, on the whole, the plaintiff has failed to adduce a body of evidence sufficient to persuade me that her income earning capacity has been diminished to the extent that she claims. I have also concluded that the defendant's proposed award is far too low. As I have said, there is a real and substantial possibility that because of the pain and loss of capacity caused by the defendant, the plaintiff will need to be absent from work for recuperation or treatment on a consistent but intermittent basis, perhaps as often as a day or two per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The plaintiff submitted that I could assess her damages on the basis of the number of days each week that I foresee she will be capable of working. This approach was followed in </w:t>
      </w:r>
      <w:r>
        <w:rPr>
          <w:rFonts w:ascii="arial" w:eastAsia="arial" w:hAnsi="arial" w:cs="arial"/>
          <w:i/>
          <w:color w:val="000000"/>
          <w:sz w:val="20"/>
          <w:lang w:val="en-US" w:eastAsia="en-US" w:bidi="ar-SA"/>
        </w:rPr>
        <w:t>Raptis v. Chalabiani</w:t>
      </w:r>
      <w:r>
        <w:rPr>
          <w:rFonts w:ascii="arial" w:eastAsia="arial" w:hAnsi="arial" w:cs="arial"/>
          <w:color w:val="000000"/>
          <w:sz w:val="20"/>
          <w:lang w:val="en-US" w:eastAsia="en-US" w:bidi="ar-SA"/>
        </w:rPr>
        <w:t xml:space="preserve">, </w:t>
      </w:r>
      <w:hyperlink r:id="rId821" w:history="1">
        <w:r>
          <w:rPr>
            <w:rFonts w:ascii="arial" w:eastAsia="arial" w:hAnsi="arial" w:cs="arial"/>
            <w:i/>
            <w:color w:val="0077CC"/>
            <w:sz w:val="20"/>
            <w:u w:val="single"/>
            <w:shd w:val="clear" w:color="auto" w:fill="FFFFFF"/>
            <w:lang w:val="en-US" w:eastAsia="en-US" w:bidi="ar-SA"/>
          </w:rPr>
          <w:t>2017 BCSC 1548</w:t>
        </w:r>
      </w:hyperlink>
      <w:r>
        <w:rPr>
          <w:rFonts w:ascii="arial" w:eastAsia="arial" w:hAnsi="arial" w:cs="arial"/>
          <w:color w:val="000000"/>
          <w:sz w:val="20"/>
          <w:lang w:val="en-US" w:eastAsia="en-US" w:bidi="ar-SA"/>
        </w:rPr>
        <w:t xml:space="preserve"> and strikes me as a fair way of evaluating the present claim. According to the expert economic evidence based on present value calculations applied to a teacher's pay, for example, if the plaintiff were capable of working only 3.5 days per week, her loss to age 65 would be approximately $770,000, and if 4 days per week, then $515,000.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As in my opinion the plaintiff will be able to work full-time except perhaps for a day or two per month, a reasonable and fair award under this heading is $200,000.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parties have agreed that the plaintiff's special damages are $1,445.10.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HEALTH CARE COSTS RECOVERY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Pursuant to section 16 of the </w:t>
      </w:r>
      <w:r>
        <w:rPr>
          <w:rFonts w:ascii="arial" w:eastAsia="arial" w:hAnsi="arial" w:cs="arial"/>
          <w:i/>
          <w:color w:val="000000"/>
          <w:sz w:val="20"/>
          <w:lang w:val="en-US" w:eastAsia="en-US" w:bidi="ar-SA"/>
        </w:rPr>
        <w:t>Health Care Costs Recovery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2008, c. 27</w:t>
      </w:r>
      <w:r>
        <w:rPr>
          <w:rFonts w:ascii="arial" w:eastAsia="arial" w:hAnsi="arial" w:cs="arial"/>
          <w:color w:val="000000"/>
          <w:sz w:val="20"/>
          <w:lang w:val="en-US" w:eastAsia="en-US" w:bidi="ar-SA"/>
        </w:rPr>
        <w:t xml:space="preserve"> and a certificate issued thereunder, the parties have agreed to an award for past health care services in the amount of $1,400.52.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award the plaintiff the following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587"/>
        <w:gridCol w:w="28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45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$90,000.00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45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loss of income earning capacity:</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$6,000.00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45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Future loss of income earning capacity:</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45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 $1,445.10</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45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i/>
                <w:color w:val="000000"/>
                <w:sz w:val="18"/>
                <w:lang w:val="en-US" w:eastAsia="en-US" w:bidi="ar-SA"/>
              </w:rPr>
              <w:t>Health Care Costs Recovery Act</w:t>
            </w:r>
            <w:r>
              <w:rPr>
                <w:rFonts w:ascii="arial" w:eastAsia="arial" w:hAnsi="arial" w:cs="arial"/>
                <w:color w:val="000000"/>
                <w:sz w:val="18"/>
                <w:lang w:val="en-US" w:eastAsia="en-US" w:bidi="ar-SA"/>
              </w:rPr>
              <w:t xml:space="preserve"> claim:</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$1,400.52</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45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Total:</w:t>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$298,845.62</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BAIRD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4" style="position:absolute;z-index:2517985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22"/>
          <w:headerReference w:type="default" r:id="rId823"/>
          <w:footerReference w:type="even" r:id="rId824"/>
          <w:footerReference w:type="default" r:id="rId825"/>
          <w:headerReference w:type="first" r:id="rId826"/>
          <w:footerReference w:type="first" r:id="rId82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28" w:history="1">
        <w:r>
          <w:rPr>
            <w:rFonts w:ascii="arial" w:eastAsia="arial" w:hAnsi="arial" w:cs="arial"/>
            <w:b/>
            <w:bCs/>
            <w:i/>
            <w:color w:val="0077CC"/>
            <w:kern w:val="32"/>
            <w:sz w:val="28"/>
            <w:szCs w:val="32"/>
            <w:u w:val="single"/>
            <w:shd w:val="clear" w:color="auto" w:fill="FFFFFF"/>
            <w:lang w:val="en-US" w:eastAsia="en-US" w:bidi="ar-SA"/>
          </w:rPr>
          <w:t>Barr v. Accurate Transmission and Driveline, [2016] B.C.J. No. 2755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J.W. Williams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27-29,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30,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M158470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2755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2432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Mary Thompson Hendry Barr, Plaintiff, and Accurate Transmission and Driveline and Robert Alkins,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(58 paras.)</w:t>
      </w:r>
    </w:p>
    <w:p>
      <w:pPr>
        <w:jc w:val="both"/>
        <w:rPr>
          <w:rFonts w:ascii="arial" w:eastAsia="arial" w:hAnsi="arial" w:cs="arial"/>
          <w:sz w:val="20"/>
          <w:lang w:val="en-US" w:eastAsia="en-US" w:bidi="ar-SA"/>
        </w:rPr>
      </w:pPr>
      <w:bookmarkStart w:id="185" w:name="Counsel_37"/>
      <w:bookmarkEnd w:id="18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5" style="position:absolute;z-index:2516971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 Jung.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 Archibald, A. Smith.</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86" w:name="Judgment_37"/>
      <w:bookmarkEnd w:id="186"/>
      <w:r>
        <w:pict>
          <v:line id="_x0000_s1166" style="position:absolute;z-index:25174835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7" w:name="J.W. WILLIAMS J."/>
            <w:bookmarkEnd w:id="187"/>
            <w:r>
              <w:rPr>
                <w:rFonts w:ascii="arial" w:eastAsia="arial" w:hAnsi="arial" w:cs="arial"/>
                <w:b/>
                <w:color w:val="000000"/>
                <w:sz w:val="30"/>
                <w:lang w:val="en-US" w:eastAsia="en-US" w:bidi="ar-SA"/>
              </w:rPr>
              <w:t>J.W. WILLIAMS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December 11, 2012, the plaintiff was walking in Port Coquitlam. While crossing the road in a crosswalk, she was struck by a motor vehicle owned by one of the defendants, Accurate Transmissions and Driveline. The vehicle was operated by the other defendant in this matter, Robert Alkins. She sustained injuries in that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In this action, the plaintiff seeks to recover damages resulting from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Liability is admitted. Consequently, the task of this Court is to assess the appropriate damages to be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trial was relatively brief. The plaintiff testified, as did her husband. In addition, the plaintiff tendered one expert report, that of her family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defence called no witnesses. The defendants filed one expert report prepared by a neurologist. That report was received; the plaintiff did not require its author to attend for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Barr is 62 years of age. She was born in October 1954 and was 58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She is by profession a nurse and has been in that career for many years. She began working in this capacity at Ridge Meadows in October 1988. At the time of the accident, she was employed as a senior Operating Room ("OR") nurse, although she was off work on stress leave. She had been in that status since June 2012 and was scheduled to return to work in early January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reasons underlying her stress leave are relevant to the determination of this claim. As I understand, a situation of considerable conflict had developed in her workplace. She and other colleagues concluded that a supervisor was on a campaign to displace them from their positions by making their lives very difficult.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While I do not know all of the details, it seems clear that there were significant problems in this workplace. Grievances had been filed, both by the plaintiff and against her. The WorkSafeBC agency was involved. Suffice to say, it was a very unpleasant situation, culminating in the plaintiff and other nurses taking stress leave.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As for the effect of that situation on the plaintiff, it was, I am satisfied, quite profound. During the time she was off work, she was under the care of her family doctor and was being seen by a psychologist for counselling. Among the physical consequences which she described was a significant weight loss and difficulty sleeping. There is no question that this was a difficult and troubled time for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WorksafeBC claim was denied. At some point, a mediation was conducted and, ultimately, the plaintiff and the other nurses decided that they would return to their jobs.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Barr was scheduled to return to work in January 2013. However, as a consequence of the motor vehicle accident, that was delayed. On March 22, 2013, she returned to her job on a graduated program. She worked fewer hours at first and then, after a time, was back on a full-time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Consequences of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With regard to the accident, Ms. Barr testified that she recalls crossing the street, though does not recall the collision itself. Instead, her next recollection was of being on the ground with pain in her head. She said she did not know what hit her. She was transported by ambulance to a hospital where she was observed suffering from headache, nausea and vomiting. A CT scan was conducted and some blood work was done. She was given medication for nausea. Because she passed out when she stood up, the decision was made to keep her in hospital overnight. She was released the following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With respect to her injuries, she sustained no broken bones and no major or ongoing soft tissue injuries. There was, however, substantial bruising on the left side of her body. She says that resolved within 6 to 8 weeks. She also reported some neck discomfort, but I understand that to have been fairly modest and transitory.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Barr's principal injury was diagnosed as a closed head injury. In the report of Dr. Tessler, the neurologist, it is reported that she "likely sustained a Mild Concussive Injury or Mild Traumatic Brain Injury at the lower end of the spectrum of such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Following her release from the hospital, Ms. Barr saw her family doctor, Dr. McCarthy. I note that Ms. Barr had also been under Dr. McCarthy's care with respect to the problems she had been experiencing as a result of the workplace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her report and her trial testimony, Dr. McCarthy described the plaintiff's symptoms following the accident as well as her observations and recommendations over the ensuing months. These included soft tissue injuries entailing extensive bruising and tenderness and also a series of symptoms that are collectively characterized as post-concussion syndrome: complaint of headache, dizziness, nausea, as well as a heightened sensitivity to light and activity. The bruising and associated discomfort resolved in a fairly short time; the post-concussion symptoms continued for a longer time, but Ms. Barr was able to increase her activities, with her dizziness and nausea ultimately resolving. The only noted residual symptom was occasional headache, dealt with by rest and over-the-counter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described the aftereffects of the motor vehicle accident, beyond the physical bruising. She said she had episodes of headache, that her memory was less reliable, and that her concentration abilities were diminished. She said as well that her mood was affected, in that she was less cheerful and patient, particularly with her husband.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Return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Barr's symptoms resolved to the point that she felt ready to return to work. Consequently, as noted above, she returned to work on a graduated program which began on March 22, 2013. Within a fairly short time, she was back to her standard shift.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circumstances in the workplace which had been the source of the earlier toxicity and tension where somewhat resolved. Ostensibly, the situation had largely returned to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Barr's work entailed her assisting in the hospital operating room. Specifically, she was responsible for making the necessary pre-operative preparations, providing assistance during surgical operations, and ensuring both that the surgeon's tools and equipment were ready, and that nothing from the surgical procedure - sutures, sponges, and the like - was lost or missing.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scheduling arrangement at the hospital was that the operating room was in service five days per week, and that there were two shifts: days and afternoon/evenings. The OR nurses worked those shifts alternatively, one week on days, and then another on afternoons. When assigned to the afternoon shift, a nurse, such as the plaintiff, was also on call for situations where there was a necessity to conduct surgeries after the end of the afternoon shift. That on-call status lasted into the night and was also applicable on some weekends.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job was a challenging one. The plaintiff had done it for many years. My conclusion is that she enjoyed it, that she was good at it, and that she took pride in her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As for effect of the injuries on her work, Ms. Barr says that she realized that things were different. She testified that she found the bright lights of the operating room were causing her discomfort and that she sometimes experienced headaches. On certain occasions, she either booked off of work because of these headaches, or found it necessary to leave during her shift because she was unable to continue. In general, she felt that she was not as sharp as she had previously been. She had difficulty, for example, dealing with instruments as well as equipment, and was less able to concentrate.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short, as the plaintiff describes, she had the feeling that she had to some extent "lost her edge." She was concerned that she was not as competent as she had been before the accident, and her confidence was 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As a result, she says that she made the decision not to continue working.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Originally, the plaintiff's intention had been to work until her husband turned 65 and retired. That would have been in the autumn of 2017, a time when she would have been 63 years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Instead, she retired in October 2014. She testified that she did so because of the effects of the motor vehicle accident and the way those impacted on her ability to do her job. But for the effects of the motor vehicle accident, she says, she would have remained at her work until the autumn of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That is a significant point of contention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seeks to recover damages to compensate her for the difference between what she actually earned in that time - her pension income - and what she would have earned had she remained in her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defendants challenge that aspect of her claim. They contend that the real reason the plaintiff chose to retire was that she was tired of the job, that the issues that had caused her to go on stress leave had worn her down, and that she did not want to be in that workplace any longer. And so she opted to retire when she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There are three issues to be decided in this case, although one is not really the subject of dispute between the parties :</w:t>
      </w:r>
      <w:r>
        <w:rPr>
          <w:rFonts w:ascii="arial" w:eastAsia="arial" w:hAnsi="arial" w:cs="arial"/>
          <w:sz w:val="20"/>
          <w:lang w:val="en-US" w:eastAsia="en-US" w:bidi="ar-SA"/>
        </w:rPr>
        <w:cr/>
      </w:r>
    </w:p>
    <w:p>
      <w:pPr>
        <w:numPr>
          <w:numId w:val="1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appropriate award for nonpecuniary damages in order to compensate the plaintiff for the pain and suffering, as well as loss of enjoyment of life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matter of proper compensation for income loss between the time of the motor vehicle accident and the point at which Ms. Barr returned to work in March 2013. In fact, counsel have agreed that the dollar amount of that loss is $12,959; and</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defendant is responsible for compensating the plaintiff for the loss of income which resulted from Ms. Barr's early retirement. Specifically, this refers to the three year period from autumn 2014, when she actually retired, to autumn 2017, when she otherwise had planned to retire. Counsel have agreed that, if there is an entitlement to this compensation, the loss would be valued at $51,000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With respect to non-pecuniary damages, the principles are well-established. Counsel referred me to the decision of the Court of Appeal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117"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terms of quantum of compensation, the plaintiff says that a proper award is in the order of $75,000 or more. In support of this submission, she relies on the following cases and their non-pecuniary damage awards:</w:t>
      </w:r>
      <w:r>
        <w:rPr>
          <w:rFonts w:ascii="arial" w:eastAsia="arial" w:hAnsi="arial" w:cs="arial"/>
          <w:sz w:val="20"/>
          <w:lang w:val="en-US" w:eastAsia="en-US" w:bidi="ar-SA"/>
        </w:rPr>
        <w:cr/>
      </w:r>
    </w:p>
    <w:p>
      <w:pPr>
        <w:numPr>
          <w:numId w:val="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Fadia v. Cully</w:t>
      </w:r>
      <w:r>
        <w:rPr>
          <w:rFonts w:ascii="arial" w:eastAsia="arial" w:hAnsi="arial" w:cs="arial"/>
          <w:color w:val="000000"/>
          <w:sz w:val="20"/>
          <w:lang w:val="en-US" w:eastAsia="en-US" w:bidi="ar-SA"/>
        </w:rPr>
        <w:t xml:space="preserve"> </w:t>
      </w:r>
      <w:hyperlink r:id="rId829" w:history="1">
        <w:r>
          <w:rPr>
            <w:rFonts w:ascii="arial" w:eastAsia="arial" w:hAnsi="arial" w:cs="arial"/>
            <w:i/>
            <w:color w:val="0077CC"/>
            <w:sz w:val="20"/>
            <w:u w:val="single"/>
            <w:shd w:val="clear" w:color="auto" w:fill="FFFFFF"/>
            <w:lang w:val="en-US" w:eastAsia="en-US" w:bidi="ar-SA"/>
          </w:rPr>
          <w:t>2014 BCSC 290</w:t>
        </w:r>
      </w:hyperlink>
      <w:r>
        <w:rPr>
          <w:rFonts w:ascii="arial" w:eastAsia="arial" w:hAnsi="arial" w:cs="arial"/>
          <w:color w:val="000000"/>
          <w:sz w:val="20"/>
          <w:lang w:val="en-US" w:eastAsia="en-US" w:bidi="ar-SA"/>
        </w:rPr>
        <w:t xml:space="preserve"> - $100,000;</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Nahal v. Ram</w:t>
      </w:r>
      <w:r>
        <w:rPr>
          <w:rFonts w:ascii="arial" w:eastAsia="arial" w:hAnsi="arial" w:cs="arial"/>
          <w:color w:val="000000"/>
          <w:sz w:val="20"/>
          <w:lang w:val="en-US" w:eastAsia="en-US" w:bidi="ar-SA"/>
        </w:rPr>
        <w:t xml:space="preserve"> </w:t>
      </w:r>
      <w:hyperlink r:id="rId830" w:history="1">
        <w:r>
          <w:rPr>
            <w:rFonts w:ascii="arial" w:eastAsia="arial" w:hAnsi="arial" w:cs="arial"/>
            <w:i/>
            <w:color w:val="0077CC"/>
            <w:sz w:val="20"/>
            <w:u w:val="single"/>
            <w:shd w:val="clear" w:color="auto" w:fill="FFFFFF"/>
            <w:lang w:val="en-US" w:eastAsia="en-US" w:bidi="ar-SA"/>
          </w:rPr>
          <w:t>2016 BCSC 39</w:t>
        </w:r>
      </w:hyperlink>
      <w:r>
        <w:rPr>
          <w:rFonts w:ascii="arial" w:eastAsia="arial" w:hAnsi="arial" w:cs="arial"/>
          <w:color w:val="000000"/>
          <w:sz w:val="20"/>
          <w:lang w:val="en-US" w:eastAsia="en-US" w:bidi="ar-SA"/>
        </w:rPr>
        <w:t xml:space="preserve"> - $100,000; and</w:t>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Drodge v. Kozak</w:t>
      </w:r>
      <w:r>
        <w:rPr>
          <w:rFonts w:ascii="arial" w:eastAsia="arial" w:hAnsi="arial" w:cs="arial"/>
          <w:color w:val="000000"/>
          <w:sz w:val="20"/>
          <w:lang w:val="en-US" w:eastAsia="en-US" w:bidi="ar-SA"/>
        </w:rPr>
        <w:t xml:space="preserve"> </w:t>
      </w:r>
      <w:hyperlink r:id="rId831" w:history="1">
        <w:r>
          <w:rPr>
            <w:rFonts w:ascii="arial" w:eastAsia="arial" w:hAnsi="arial" w:cs="arial"/>
            <w:i/>
            <w:color w:val="0077CC"/>
            <w:sz w:val="20"/>
            <w:u w:val="single"/>
            <w:shd w:val="clear" w:color="auto" w:fill="FFFFFF"/>
            <w:lang w:val="en-US" w:eastAsia="en-US" w:bidi="ar-SA"/>
          </w:rPr>
          <w:t>2011 BCSC 1316</w:t>
        </w:r>
      </w:hyperlink>
      <w:r>
        <w:rPr>
          <w:rFonts w:ascii="arial" w:eastAsia="arial" w:hAnsi="arial" w:cs="arial"/>
          <w:color w:val="000000"/>
          <w:sz w:val="20"/>
          <w:lang w:val="en-US" w:eastAsia="en-US" w:bidi="ar-SA"/>
        </w:rPr>
        <w:t xml:space="preserve"> - $85,000.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defendants dispute that an appropriate award is of that magnitude. They submit that a fit award is in the range of $25,000-$35,000, contending that the effects of the accident were not serious or long-lasting. The defendants rely on the following cases:</w:t>
      </w:r>
      <w:r>
        <w:rPr>
          <w:rFonts w:ascii="arial" w:eastAsia="arial" w:hAnsi="arial" w:cs="arial"/>
          <w:sz w:val="20"/>
          <w:lang w:val="en-US" w:eastAsia="en-US" w:bidi="ar-SA"/>
        </w:rPr>
        <w:cr/>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Hans v. Volvo Trucks North America Inc</w:t>
      </w:r>
      <w:r>
        <w:rPr>
          <w:rFonts w:ascii="arial" w:eastAsia="arial" w:hAnsi="arial" w:cs="arial"/>
          <w:color w:val="000000"/>
          <w:sz w:val="20"/>
          <w:lang w:val="en-US" w:eastAsia="en-US" w:bidi="ar-SA"/>
        </w:rPr>
        <w:t xml:space="preserve">. </w:t>
      </w:r>
      <w:hyperlink r:id="rId832" w:history="1">
        <w:r>
          <w:rPr>
            <w:rFonts w:ascii="arial" w:eastAsia="arial" w:hAnsi="arial" w:cs="arial"/>
            <w:i/>
            <w:color w:val="0077CC"/>
            <w:sz w:val="20"/>
            <w:u w:val="single"/>
            <w:shd w:val="clear" w:color="auto" w:fill="FFFFFF"/>
            <w:lang w:val="en-US" w:eastAsia="en-US" w:bidi="ar-SA"/>
          </w:rPr>
          <w:t>2016 BCSC 1155</w:t>
        </w:r>
      </w:hyperlink>
      <w:r>
        <w:rPr>
          <w:rFonts w:ascii="arial" w:eastAsia="arial" w:hAnsi="arial" w:cs="arial"/>
          <w:color w:val="000000"/>
          <w:sz w:val="20"/>
          <w:lang w:val="en-US" w:eastAsia="en-US" w:bidi="ar-SA"/>
        </w:rPr>
        <w:t xml:space="preserve"> - $15,000;</w:t>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Brown v Raffan</w:t>
      </w:r>
      <w:r>
        <w:rPr>
          <w:rFonts w:ascii="arial" w:eastAsia="arial" w:hAnsi="arial" w:cs="arial"/>
          <w:color w:val="000000"/>
          <w:sz w:val="20"/>
          <w:lang w:val="en-US" w:eastAsia="en-US" w:bidi="ar-SA"/>
        </w:rPr>
        <w:t xml:space="preserve"> </w:t>
      </w:r>
      <w:hyperlink r:id="rId833" w:history="1">
        <w:r>
          <w:rPr>
            <w:rFonts w:ascii="arial" w:eastAsia="arial" w:hAnsi="arial" w:cs="arial"/>
            <w:i/>
            <w:color w:val="0077CC"/>
            <w:sz w:val="20"/>
            <w:u w:val="single"/>
            <w:shd w:val="clear" w:color="auto" w:fill="FFFFFF"/>
            <w:lang w:val="en-US" w:eastAsia="en-US" w:bidi="ar-SA"/>
          </w:rPr>
          <w:t>2013 BCSC 114</w:t>
        </w:r>
      </w:hyperlink>
      <w:r>
        <w:rPr>
          <w:rFonts w:ascii="arial" w:eastAsia="arial" w:hAnsi="arial" w:cs="arial"/>
          <w:color w:val="000000"/>
          <w:sz w:val="20"/>
          <w:lang w:val="en-US" w:eastAsia="en-US" w:bidi="ar-SA"/>
        </w:rPr>
        <w:t xml:space="preserve"> - $35,000;</w:t>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Moore v. Briggs</w:t>
      </w:r>
      <w:r>
        <w:rPr>
          <w:rFonts w:ascii="arial" w:eastAsia="arial" w:hAnsi="arial" w:cs="arial"/>
          <w:color w:val="000000"/>
          <w:sz w:val="20"/>
          <w:lang w:val="en-US" w:eastAsia="en-US" w:bidi="ar-SA"/>
        </w:rPr>
        <w:t xml:space="preserve"> </w:t>
      </w:r>
      <w:hyperlink r:id="rId834" w:history="1">
        <w:r>
          <w:rPr>
            <w:rFonts w:ascii="arial" w:eastAsia="arial" w:hAnsi="arial" w:cs="arial"/>
            <w:i/>
            <w:color w:val="0077CC"/>
            <w:sz w:val="20"/>
            <w:u w:val="single"/>
            <w:shd w:val="clear" w:color="auto" w:fill="FFFFFF"/>
            <w:lang w:val="en-US" w:eastAsia="en-US" w:bidi="ar-SA"/>
          </w:rPr>
          <w:t>2011 BCSC 599</w:t>
        </w:r>
      </w:hyperlink>
      <w:r>
        <w:rPr>
          <w:rFonts w:ascii="arial" w:eastAsia="arial" w:hAnsi="arial" w:cs="arial"/>
          <w:color w:val="000000"/>
          <w:sz w:val="20"/>
          <w:lang w:val="en-US" w:eastAsia="en-US" w:bidi="ar-SA"/>
        </w:rPr>
        <w:t xml:space="preserve"> - $40,000; and</w:t>
      </w:r>
    </w:p>
    <w:p>
      <w:pPr>
        <w:numPr>
          <w:numId w:val="1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Pacheco v. Degife</w:t>
      </w:r>
      <w:r>
        <w:rPr>
          <w:rFonts w:ascii="arial" w:eastAsia="arial" w:hAnsi="arial" w:cs="arial"/>
          <w:color w:val="000000"/>
          <w:sz w:val="20"/>
          <w:lang w:val="en-US" w:eastAsia="en-US" w:bidi="ar-SA"/>
        </w:rPr>
        <w:t xml:space="preserve"> </w:t>
      </w:r>
      <w:hyperlink r:id="rId835" w:history="1">
        <w:r>
          <w:rPr>
            <w:rFonts w:ascii="arial" w:eastAsia="arial" w:hAnsi="arial" w:cs="arial"/>
            <w:i/>
            <w:color w:val="0077CC"/>
            <w:sz w:val="20"/>
            <w:u w:val="single"/>
            <w:shd w:val="clear" w:color="auto" w:fill="FFFFFF"/>
            <w:lang w:val="en-US" w:eastAsia="en-US" w:bidi="ar-SA"/>
          </w:rPr>
          <w:t>2014 BCSC 1570</w:t>
        </w:r>
      </w:hyperlink>
      <w:r>
        <w:rPr>
          <w:rFonts w:ascii="arial" w:eastAsia="arial" w:hAnsi="arial" w:cs="arial"/>
          <w:color w:val="000000"/>
          <w:sz w:val="20"/>
          <w:lang w:val="en-US" w:eastAsia="en-US" w:bidi="ar-SA"/>
        </w:rPr>
        <w:t xml:space="preserve"> - $30,000.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my view, the injuries sustained in the accident had a reasonably serious impact on Ms. Barr, both in terms of the accident's immediate aftermath, and its longer term effects. These lingering effects have impacted her self-confidence and the range of leisure activities she can pursue. Moreover, they have adversely affected her mood and outlook.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That, in turn, has impaired her relationship with her husband. In this context, I note that he is somewhat compromised, in that he has a significant short-term memory deficit. Consequently, he relies on the plaintiff to be the strong one in the family. I am satisfied that her competence and confidence to fulfill this role have been diminished.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There is as well the matter of the plaintiff's headaches. Those have not resolved; they still occur from time to time. I am satisfied that that condition is in part attributable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Finally, I note that, prior to the accident, Ms. Barr was what I would describe as an otherwise healthy person just embarking upon what should be a special time of her life, her retirement. These injuries will, to some degree, negatively affect this period of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It is well accepted that, in determining an appropriate quantum of damages to compensate the plaintiff for pain, suffering, and the loss of enjoyment of life occasioned by a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 number of considerations will inform the analysis. These considerations include taking into account the particular circumstances of the plaintiff: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at para. 106.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making the award, the court must recognize that this is the only opportunity the plaintiff will have to seek compensation </w:t>
      </w:r>
      <w:r>
        <w:rPr>
          <w:rFonts w:ascii="arial" w:eastAsia="arial" w:hAnsi="arial" w:cs="arial"/>
          <w:i/>
          <w:color w:val="000000"/>
          <w:sz w:val="20"/>
          <w:lang w:val="en-US" w:eastAsia="en-US" w:bidi="ar-SA"/>
        </w:rPr>
        <w:t>Strachan v. Reynolds et al</w:t>
      </w:r>
      <w:r>
        <w:rPr>
          <w:rFonts w:ascii="arial" w:eastAsia="arial" w:hAnsi="arial" w:cs="arial"/>
          <w:color w:val="000000"/>
          <w:sz w:val="20"/>
          <w:lang w:val="en-US" w:eastAsia="en-US" w:bidi="ar-SA"/>
        </w:rPr>
        <w:t xml:space="preserve">, </w:t>
      </w:r>
      <w:hyperlink r:id="rId836" w:history="1">
        <w:r>
          <w:rPr>
            <w:rFonts w:ascii="arial" w:eastAsia="arial" w:hAnsi="arial" w:cs="arial"/>
            <w:i/>
            <w:color w:val="0077CC"/>
            <w:sz w:val="20"/>
            <w:u w:val="single"/>
            <w:shd w:val="clear" w:color="auto" w:fill="FFFFFF"/>
            <w:lang w:val="en-US" w:eastAsia="en-US" w:bidi="ar-SA"/>
          </w:rPr>
          <w:t>2006 BCSC 362</w:t>
        </w:r>
      </w:hyperlink>
      <w:r>
        <w:rPr>
          <w:rFonts w:ascii="arial" w:eastAsia="arial" w:hAnsi="arial" w:cs="arial"/>
          <w:color w:val="000000"/>
          <w:sz w:val="20"/>
          <w:lang w:val="en-US" w:eastAsia="en-US" w:bidi="ar-SA"/>
        </w:rPr>
        <w:t xml:space="preserve"> at para. 91. Moreover, the award must be fair to both the plaintiff and the defendant: </w:t>
      </w:r>
      <w:r>
        <w:rPr>
          <w:rFonts w:ascii="arial" w:eastAsia="arial" w:hAnsi="arial" w:cs="arial"/>
          <w:i/>
          <w:color w:val="000000"/>
          <w:sz w:val="20"/>
          <w:lang w:val="en-US" w:eastAsia="en-US" w:bidi="ar-SA"/>
        </w:rPr>
        <w:t>Kuskis v. Hon Tin</w:t>
      </w:r>
      <w:r>
        <w:rPr>
          <w:rFonts w:ascii="arial" w:eastAsia="arial" w:hAnsi="arial" w:cs="arial"/>
          <w:color w:val="000000"/>
          <w:sz w:val="20"/>
          <w:lang w:val="en-US" w:eastAsia="en-US" w:bidi="ar-SA"/>
        </w:rPr>
        <w:t xml:space="preserve">, </w:t>
      </w:r>
      <w:hyperlink r:id="rId837" w:history="1">
        <w:r>
          <w:rPr>
            <w:rFonts w:ascii="arial" w:eastAsia="arial" w:hAnsi="arial" w:cs="arial"/>
            <w:i/>
            <w:color w:val="0077CC"/>
            <w:sz w:val="20"/>
            <w:u w:val="single"/>
            <w:shd w:val="clear" w:color="auto" w:fill="FFFFFF"/>
            <w:lang w:val="en-US" w:eastAsia="en-US" w:bidi="ar-SA"/>
          </w:rPr>
          <w:t>2008 BCSC 862</w:t>
        </w:r>
      </w:hyperlink>
      <w:r>
        <w:rPr>
          <w:rFonts w:ascii="arial" w:eastAsia="arial" w:hAnsi="arial" w:cs="arial"/>
          <w:color w:val="000000"/>
          <w:sz w:val="20"/>
          <w:lang w:val="en-US" w:eastAsia="en-US" w:bidi="ar-SA"/>
        </w:rPr>
        <w:t xml:space="preserve"> at para. 135.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have considered the authorities that have been provided by counsel. In my respectful view, while the circumstances that underpin the decisions relied on by the plaintiff bear some similarity to those of Ms. Barr, I find the quantum of those awards to be substantially greater than the circumstances in the case at bar warrant. By the same token, I am not persuaded that the decisions which the defendants rely on are directly referable.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the result, having taken into account the authorities to which I have been referred, and the circumstances as I find them to be, it is my conclusion that an appropriate award of non-pecuniary damages is $65,000.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As noted above, in regards to the claim for income loss prior to her return to work in March 2013, a quantum has been agreed upon. With respect to entitlement, the defendants have made no objection. At any rate, I am satisfied that the claim is a proper one and entitlement is made out. The plaintiff shall recover damages in the amount of $12,959 on that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will now deal with the claim for compensation arising from Ms. Barr's decision to retire early. That is undoubtedly the thorniest part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 start from the basic principle that to succeed, the plaintiff must satisfy the Court that it was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and the injuries resulting from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that caused her to sustain this loss. As I perceive the issue, to establish a right to recover damages, the Court must find that the injuries and their effects made it necessary for the plaintiff to retire because they prevented her from safely and competently doing her job. In other words, but for the accident, she would not have needed to retire. The onus of proving that, on a balance of probabilities, rests on Ms. Barr.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As explained, the plaintiff made the decision to retire and testified that she believed it was the correct thing to do. In other words, she felt that it was necessary for her to retire from her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Assessment of this aspect of the claim involves a careful consideration of the evidence bearing on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support of the claim, there is the testimony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commence by observing that I found no basis to take issue with the truthfulness of Ms. Barr when she testified. In my view, she presented as a sincere and straightforward person. I did not find her to have been untruthful or to have misstated or exaggerated 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That said, having found no issue with respect to her truthfulness, I am troubled by the reliability of her evidence as it relates to this specific aspect of the claim. By reliability, I refer to the concern that Ms. Barr has, for her own subjective reasons, imposed upon the matter some unconscious distortion.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Having given the matter careful consideration, I have concluded that the plaintiff has not established a basis that would entitle her to recover an award of damages in relation to the loss of income resulting from her early retirement.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making this decision, I consider the following factors to be relevant:</w:t>
      </w:r>
      <w:r>
        <w:rPr>
          <w:rFonts w:ascii="arial" w:eastAsia="arial" w:hAnsi="arial" w:cs="arial"/>
          <w:sz w:val="20"/>
          <w:lang w:val="en-US" w:eastAsia="en-US" w:bidi="ar-SA"/>
        </w:rPr>
        <w:cr/>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course of her dealings with her long-term family doctor, with whom she apparently had a good relationship, she did not tell Dr. McCarthy that she was going to quit her job because of any concern with her performance or injury-related considerations. In fact, the explanation she provided to Dr. McCarthy for her decision to quit her job was that her interest in her work was waning. I consider it relevant as well that Dr. McCarthy was aware that the plaintiff worked as an OR nurse. Consequently, I am satisfied that, when she cleared the plaintiff to return to work in March 2013, she specifically turned her mind to the issue of whether it was safe for Ms. Barr to return to work. Accordingly, I find that the matter of Ms. Barr's medical ability to perform her duties was an issue of which Dr. McCarthy was actively cognizant.</w:t>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February 2016, as part of the litigation process, at the request of the defendants, the plaintiff was seen by Dr. Tessler, a specialist in neurology, for a medical examination. It is reasonable to assume that Ms. Barr understood that the focus of the process would be the claim she had made respecting the effects of the accident, and that a report would be prepared. In the course of the consultation, it appears that Dr. Tessler conducted a comprehensive interview and examination of the plaintiff, delving carefully into her history. I find it significant that, in describing the circumstances to Dr. Tessler, (according to his report, which is not challenged and which I take to be a reasonably accurate paraphrase of what she said to him), she told him that, when she returned to work after the accident, she felt tired and was less adept at standing for long surgical cases. She also told him that 'she was always an enthusiastic person but about a year after, she became less enthusiastic and she retired in August 2014.' In my view, it is relevant that Ms. Barr made no mention of having elected to retire because of any inability to do her job or any consequence of the motor vehicle accident;</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Ms. Barr testified that, even after she came to the realization that she was not fully able to do her job, she continued in her employment for the best part of a year before she resigned. Given her conscientious nature and her claim that she was troubled by her ability to do her work safely, I find it quite surprising that she would wait for such a considerable time to take appropriate action; and</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Even though Ms. Barr was aware of the possibility of her employer accommodating her needs, that is, by reassigning her to other duties less onerous than the operating room, she evidently took no steps to have such an arrangement made for her. That, it seems to me, would have been a reasonable step for her to take if she was concerned that her ability to do the work of an OR nurse was not up to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In the result, on quite careful reflection, I am unable to conclude that Ms. Barr has satisfied the burden of proving that the effects of the motor vehicle accident caused her to have to quit her job. In order for her to succeed in this aspect of her claim, I must be persuaded that the loss she claims (the loss of her job as an OR nurse)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I find that, on a fair assessment of the evidence bearing on this issue, that proof is not made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the course of submissions, there was some reference made to the issue of mitigation. Because of the finding I have made respecting proof of causation, there is no reason to engage in a mitigation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plaintiff is awarded damages as follows:</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 in the amount of $65,000; and</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past income loss in the amount of $12,959.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Ms. Barr's total award is thus $77,959.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Subject to any submissions by the parties, the plaintiff is entitled to her costs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J.W. WILLIAMS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7" style="position:absolute;z-index:2517995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38"/>
          <w:headerReference w:type="default" r:id="rId839"/>
          <w:footerReference w:type="even" r:id="rId840"/>
          <w:footerReference w:type="default" r:id="rId841"/>
          <w:headerReference w:type="first" r:id="rId842"/>
          <w:footerReference w:type="first" r:id="rId84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44" w:history="1">
        <w:r>
          <w:rPr>
            <w:rFonts w:ascii="arial" w:eastAsia="arial" w:hAnsi="arial" w:cs="arial"/>
            <w:b/>
            <w:bCs/>
            <w:i/>
            <w:color w:val="0077CC"/>
            <w:kern w:val="32"/>
            <w:sz w:val="28"/>
            <w:szCs w:val="32"/>
            <w:u w:val="single"/>
            <w:shd w:val="clear" w:color="auto" w:fill="FFFFFF"/>
            <w:lang w:val="en-US" w:eastAsia="en-US" w:bidi="ar-SA"/>
          </w:rPr>
          <w:t>Cheema (Guardian Ad Litem of) v. Ng, [2005] B.C.J. No. 3065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Crawford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14, 17 and 21 - 23,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17,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S068705</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3065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924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152 A.C.W.S. (3d) 1149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Manjit Cheema and Harjodh Singh Bains and Suhail Singh Bains, by their Guardian Ad Litem, Shubchintan K. Gill, Plaintiffs, and Dr. C.P. Ng, Surrey Memorial Hospital, Jane Doe and Richard Roe,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(173 paras.)</w:t>
      </w:r>
    </w:p>
    <w:p>
      <w:pPr>
        <w:jc w:val="both"/>
        <w:rPr>
          <w:rFonts w:ascii="arial" w:eastAsia="arial" w:hAnsi="arial" w:cs="arial"/>
          <w:sz w:val="20"/>
          <w:lang w:val="en-US" w:eastAsia="en-US" w:bidi="ar-SA"/>
        </w:rPr>
      </w:pPr>
      <w:bookmarkStart w:id="188" w:name="Counsel_38"/>
      <w:bookmarkEnd w:id="18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8" style="position:absolute;z-index:2516981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Manjit Cheema: N.H. Smith, Q.C. &amp; L.A. Wong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Harjodh Singh Bains and Suhail Singh Bains, by their Guardian Ad Litem, Shubchintan K. Gill: S. Sheena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G.P. Brown &amp; J.K. Gibson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89" w:name="Judgment_38"/>
      <w:bookmarkEnd w:id="189"/>
      <w:r>
        <w:pict>
          <v:line id="_x0000_s1169" style="position:absolute;z-index:25174937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90" w:name="CRAWFORD J."/>
            <w:bookmarkEnd w:id="190"/>
            <w:r>
              <w:rPr>
                <w:rFonts w:ascii="arial" w:eastAsia="arial" w:hAnsi="arial" w:cs="arial"/>
                <w:b/>
                <w:color w:val="000000"/>
                <w:sz w:val="30"/>
                <w:lang w:val="en-US" w:eastAsia="en-US" w:bidi="ar-SA"/>
              </w:rPr>
              <w:t>CRAWFORD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the early morning of 15 October 1999, Manjit Bains, age 46, died suddenly at Surrey Memorial Hospital. The subsequent coroner's inquiry into the death of Mr. Bains gave the immediate cause of death as a cardiac dysrhythmia, due to or as a consequence of ischemic heart disease.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 who is Mr. Bains' widow, sues on her own behalf and on behalf of the children of Mr. Bains' first wife. The children were added as parties shortly before the trial, but took no active part. They seek compensation pursuant to the </w:t>
      </w:r>
      <w:r>
        <w:rPr>
          <w:rFonts w:ascii="arial" w:eastAsia="arial" w:hAnsi="arial" w:cs="arial"/>
          <w:b/>
          <w:i/>
          <w:color w:val="000000"/>
          <w:sz w:val="20"/>
          <w:lang w:val="en-US" w:eastAsia="en-US" w:bidi="ar-SA"/>
        </w:rPr>
        <w:t>Family Compensation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126</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Bains had attended at the hospital Emergency Department on the evening of 13 October 1999, complaining of chest pain, and, after various tests, was discharged in the early hours of the morning of 14 October 1999. The plaintiff alleges the emergency doctor, Dr. Ng, should have conducted additional tests and hospitalized Mr. Bains, and, had he been hospitalized, it is likely Mr. Bains would not have met his death as 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issues presented to the court include the standard of care expected of a doctor in a community Hospital Emergency Department, and if the doctor is found negligent for breaching that standard of care, the issue of causation, namely whether or not such additional medical care would have averted the sudden passing of Mr. Bains. Or, in legal terms, whether Dr. Ng's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a material contributing cause of Mr. Bains'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As will be seen, the facts themselves do not take long to relate. But, at trial, five experts gave evidence, essentially as to the standard of care to be expected in the circumstances. Thus, I will set out the evidence about Mr. Bains, the events that occurred over 12 to 15 October 1999, the evidence of Dr. Ng, the evidence of various experts, the applicable law, and my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Mr. Bains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evidence of Mr. Bains' earlier life is somewhat sparse, due in part to the fact that the trial proceeded before me solely on the issue of liability. The evidence was provided by his sister, his wife, and a friend from his university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Bains was born in Kolthan, India. He obtained an engineering degree at the University of British Columbia and worked as a manufacturing design engineer. Mrs. Cheema married Mr. Bains in July 1994. In April 1999, he moved from the Seattle area to Surrey and Mrs. Cheema followed in June 1999. She said she spent some three to four weeks in Surrey and then left to be with her mother in England who had just had heart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Mrs. Cheema said Mr. Bains had some health issues, namely high blood pressure and high cholesterol, and was taking medications for the blood pressure, but had no other health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His sister, Ms. Athwal, said he was a very active and healthy man, a social drinker and non smoker, diet conscious, and enjoyed hiking, camping, working out at the gym and cycling.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His friend, Mr. Sunjat Hoonjan, had known Mr. Bains since their days at the University of British Columbia in 1976. He saw Mr. Bains on a regular basis because Mr. Bains' two sons were close friends of Mr. Hoonjan's two boys. He described Mr. Bains as a health nut who watched his weight and gave "me heck about my diet".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He described Mr. Bains' position with Questor as a mechanical engineer with a particular interest in hydro fuel cells, specifically trying to improve the process developed by Ballard. He had visited Mr. Bains' work site and was impressed by his friend's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Events of 12, 13, and 14 October,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By its nature, evidence of what Mr. Bains said to his friends and relations prior to his death is hearsay. I conducted a voir dire of each of the witnesses to hear their evidence as to what discussions had taken place with Mr. Bains prior to his death. I then heard argument on admissibility. I briefly advised counsel during the course of the trial that I, in large part, would admit the evidence of Ms. Athwal and Mr. Hoonjan, but was not so inclined with Mrs. Bains. Mr. Bains' death made such evidence necessary and the indicia of reliability surrounding the making of the statements provide grounds for initial admissibility. Thus, I generally accepted the evidence of Ms. Athwal and Mr. Hoonjan, but disregarded the evidence of Mrs. Bains as it was not consistent with other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Bains was in the habit of parking his car near the Surrey Skytrain station and walking some distance to the station itself. On the evening of 12 October 1999, Mr.Hoonjan and Mr. Bains met at Bear Creek Park for a walk around the oval athletic track. While walking around the track, Mr. Bains said to Mr. Hoonjan that he had parked his car that morning and walked some 10 minutes, when he suddenly had no energy and could not walk. He waited for about 10 minutes and his energy came back. He walked some more and it happened again. He said it had never happened before and he thought it might be stomach pain from something he 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Hoonjan said they walked a few times around the track and Mr. Bains complained he had no energy "like this morning". They stopped and watched a high school football game and talked for some 20 minutes. Mr. Hoonjan asked if Mr. Bains wanted to go to a hospital but Mr. Bains said, "it's just my stomach" and as it was turning cold and getting dark, they went to Mr. Hoonjan's house and arranged to meet the following Saturday.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At about 8:30 p.m. on 13 October 1999, Mr. Bains spoke to his sister, Miss Athwal, on the telephone. He mentioned that he had been going home when he experienced a shortness of breath and pain in his chest on the left side. He said he had slowed down and caught up with his breathing. When it happened again, he sat down, the pain subsided and he went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Athwal, who said she was in regular contact with her brother, was concerned. As there was some history of heart problems on her husband's side of the family, she says she was persistent in telling her brother to go to the emergency department to have it checked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Between 9:00 and 9:30 a.m. the next morning, Ms. Athwal telephoned Mr. Bains. He told her he had been to the hospital the previous evening, that he had been through all kinds of tests which took three hours, and that he was quite relieved because the doctor said there was no heart risk and advised him to follow up with his family doctor. She said she had woken up her brother with her telephone call and she said she would call him later at the office. She did so at about 11:30 a.m. The conversation was more detailed, and he seemed relieved that "everything was fine". He said "I felt I was going to kick the bucket" and she had teased him, saying he would be the last to do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Later that evening (14 November 1999) at approximately 8:30 p.m., Mr. Bains called his sister complaining he had thrown up his meal and was feeling an acidy pain in his stomach. She said she questioned him about the previous night but he said everything was fine and that he was to see his family doctor. She told him to go and get some antacids. She said she was not concerned as they did not see much connection to the stomach complaint and he had been "cleared on the heart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However, on cross-examination, Ms. Athwal was not able to say whether Mr. Bains had seen a doctor or doctors. Nor could she give a reason for Mr. Bains assuring her there was no heart risk. She said she did not recall asking the reason or why she thought it was a stomach problem. When pressed as to whether "the doctors" had told him it was a stomach problem, she conceded he could have and she could not attest to that. She agreed Mr. Bains said he was told to see his family doctor. She said she did not know whether Mr. Bains had in fact seen his family doctor, but later she found out he had attended on the morning of 14 October 1999, and a stress test had been scheduled for 15 October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Athwal agreed Mr. Bains did not tell her he was to seek further medical advice about his heart. She was not aware that Dr. Ng had recommended Mr. Bains see a cardiologist at the discretion of the family doctor. She was also not aware Dr. Ng had prescribed aspirin for Mr. Bains' chest pain. She agreed she pressured Mr. Bains to go to emergency, and that he ordinarily downplayed his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Evidence of Dr. 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Dr. Ng is 54 years of age. He came from Malaysia in 1970 and completed a BSA and MD at the University of Manitoba in 1978. He interned with the Health Science Centre in Winnipeg and practiced full-time in the emergency department at St. Boniface in Winnipeg until December 1980. He then moved to British Columbia, did a locum for three months, obtained full privileges at Surrey Memorial Hospital, and set up a general practice. His practice initially was small and slow and he took some 12 to 15 shifts in the emergency department at Surrey Memorial Hospital each month to augment his income. As his practice grew, he reduced the number of shifts per month, and since 1993, averaged approximately six emergency shifts each month. In July 2003, his practice grew to the stage where he stopped doing emergency shifts.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1985, Dr. Ng obtained his CCFP accreditation in emergency medicine which is premised on five years working in emergency with at least 500 hours, a letter of recommendation from the department head, and passing two days of exams.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He said he saw Mr. Bains on the night of 13 October 1999, when his shift hours were ll:00 p.m. to 7:00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He had no personal memory of the events, and said his recollection was based on the hospital records and his own notes.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emergency record shows Mr. Bains' admission at 22:07 hours on 13 October 1999. The discharge time is 1:20 a.m. Under "Reason for Visit" is typed, "chest heaviness pain down the left arm leg, ECG normal today."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Dr. Ng saw Mr. Bains at 11:25 p.m. His billing code indicates #785, "symptoms of cardiovascular system." It is a general description and not a specific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Under the heading "Patient's Reason for Admission" in the emergency Admission Assessment Notes, it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Complaining of chest tightness yesterday at 0700 while walking to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Two days ago while doing step aerobics felt losing energy. No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chest pain yesterday, no shortness of breath, no diaphoresis. Pain also back of neck. Pain relieved with rest. Pain increased with exertion.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Pain recurred at 21:00 tonight at rest and radiated to base of neck left arm and left leg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Chest tightness relieved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Dr. Ng's notes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October 1999. Chest pain on exertion (walk) pressure radiating to neck lasting seven minutes, relieved by rest.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Chest pain again that evening left Arm increase with activity.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October 1999 chest pain at rest 9:00 p.m.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Past medical history-hypertension-on medications nine months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Non smoker. No alcohol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Family history-negative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Alert. Jugular venous pressure-not elevated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Chest-air entry bilaterally. clear to inspection, palpitation, percussion and auscultation. S 1 S 2 (heart sounds), Normal, no extra heart sounds.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Abdomen-unremarkable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Extremities'-unremarkable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Skin unremarkable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Diagnosis: chest pain-not yet diagnosed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Treatment: ASA one daily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Discharge instructions: suggest referral to cardiology at the discretion of Dr. Sachdev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Dr. Ng requisitioned an ECG at 23:50 and blood collection at 23:59 p.m. It appears the blood was collected at 00:20 a.m. and reports made for hematology, coagulation, chemistry, and chemicals/troponin.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ECG came back "normal" at 23:59.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chemistry/troponin report was printed at 1:05 and states the result at less than 0.3. The scale on the printout indicates, with this result, no troponin is detected. Troponin is a cardiac enzyme that is released on the death or injury to heart muscle cells. It is useful for its specificity to the cardiac muscle and its sensitivity to minimal myocardial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troponin scale states that for a reading of 0.4 to 1.9, the test be repeated in 6 to 12 hours for trend; a reading of 2 to 10 supports an ischemic cardiac event; while a reading of more than 10 supports myocardial infarction. There is a note which reads: "Troponin 1 requires 4 to 6 hours to rise after cardiac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Dr. Ng stated the requisitions would be made after taking Mr. Bains' history and during a physical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the evening of 14 October 1999, Mr. Bains said in a telephone conversation with Ms. Athwal that he had thrown up his meal. Early in the morning of 15 October 1999, Mr. Bains returned to the emergency department at Surrey Memorial Hospital. He was admitted at 1:18 a.m. for "epigastric pain". I infer he was in no evident distress. He sat in the waiting room until his name was called at 2:03 a.m. At 2:05 a.m., a nurse went to the waiting room to call Mr. Bains and found him unresponsive and without a pulse, sitting up in his seat. It was said Mr. Bains had been snoring four minutes previous. Mr. Bains was wheeled to an acute treatment area and resuscitative efforts began at 2:08 a.m., without success. He was pronounced dead at 2:23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autopsy report of "Gross findings and provisional diagnosis" states that Mr. Bains' heart was a normal size and normal external configuration. The three main coronary arteries were severely and diffusely atherosclerotic with greater than 50% occlusion throughout much of their length and stenosis ranging up to 90% of the left anterior descending branch. No thrombi were found.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provisional autopsy diagnosis was ischemic heart disease with: (a) three vessel atherosclerosis, severe; and, (b) sudden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sum, the autopsy showed Mr. Bains' primary heart arteries were more than 50% clogged and the diminished blood flow resulted in his heart stopping. No definite evidence of an acute myocardial infarct (damage to the heart muscle) was found. While a toxicology report was done, no tropinin test was completed.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There is no post mortem evidence that Mr. Bains had, in fact, suffered a heart attack.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Ng wrote "addendum Notes" dated 15 October 1999, 18:30 hours. He recorded: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Bains presented to SMH emergency at 22:00 p.m. complaining of left chest pain which occurred at 21:00 hours. The previous day (October 12, 1999) he had two episodes of more severe chest pain while walking to and from the sky train.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saw his family MD (doctor Sachdev) the following day at his office. An ECG was done and was interpreted as "normal" by Dr. Sachdev on the evening of October 13, 1999. He experienced left chest pain and left arm pain. This pain was achey and of much less intensity compared to the previous day's chest pain. He did not experience any diaphoresis, nausea, dizziness or palpitation. He was pain free throughout his stay in the ER on the night of October 13, 1999. His past medical history revealed that he had elevated BP for which he was being treated over the past nine months with a medication which he was unable to recall at that night. He also claimed to have borderline cholesterol of 287 done six months ago. He does not smoke or drink alcohol. His family history was unremarkable.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His physical exam done at the ER bed was unremarkable. His vital signs were normal. Blood tests were done and was not suggestive of any cardiac event. His ECG was normal. He was monitored from 22:00 hours on October 13, 1999 until his discharge at 01:30 hours on October 14, 1999. This was again unremarkable.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was discharged by me at 01:20 hours and was advised to seek cardiology at the discretion of his MD Dr. Sachdev.</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was advised to take an aspirin daily and return if his chest pain recurred.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Diagnosis: chest pain NYD (not yet diagnosed).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his testimony, Dr. Ng described, in general terms, the process of a patient on presentment at the Surrey Memorial Hospital Emergency Department. First, a patient would be met by a triage nurse who would assess the severity of the illness and assign the patient to the appropriate bed. The cardiac beds are numbered 17 through 20 and Mr. Bains was put in bed 19 with a bedside cardiac monitor. It would appear one hour and 18 minutes elapsed between Mr. Bains' admission to his being seen by Dr. 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Ng then stated that his usual procedures in examining a patient include obtaining a history from the patient; seeking clarification; examination and taking the vital signs; and with respect to the chest area, palpitation, percussion, and listening for various indicative heart signs or other possible causes. Finding none, examining the abdomen, and inspecting the head and neck areas and extremities including pulse, muscle tone, and skin while maintaining conversation to assess mental status. He would advise of the possible problems and what tests he wanted, answer any questions, and then await the lab results.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Given the three episodes of chest pain, namely, (1) the 12 October 1999 event while walking to the Skytrain when Mr. Bains noted a wait of seven minutes to recover; (2) the evening chest and left side pain with activity though less intense; and, (3) the at rest event at 9:00 p.m. on 13 October 1999, Dr. Ng was working up a picture of vascular disorder. He therefore ordered cardiac blood tests and an ECG.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Asked the significance of the third event occurring at rest, Dr. Ng responded it was important to consider the character, duration and severity compared to prior events. There was complaint of pain to the left arm, but no shortness of breath, no sweating, no palpitation and no complaint of nausea, which was in contrast to the complaints of 12 October 1999. Dr. Ng believed he did not record the duration and severity of the second and third events as the patient did not make a particular note of it and he, therefore, concluded the second and third events were not as significant as the first.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He noted that Mr. Bains was on a heart monitor at all times while at the hospital. No abnormality showed and no pain complaint was made during hospitalization. The ECG came back showing some signs of arrhythmia but otherwise normal, and the chemistry result showed no troponin.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Based on the history that the first event was the most severe and the most recent event was of "minor degree," Dr. Ng believed the troponin test to be valid.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When asked if the general practice of the emergency doctors at Surrey Memorial Hospital in October 1999 would have been to order a repeat troponin test, he said not if the patient was pain free. However, if the patient complained of continuing chest pain, "we did serial testing."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Mr. Bains' case, he believed, after reviewing the ECG and blood tests, that Mr. Bains' cardiovascular system was stable. Dr. Ng said he explained to Mr. Bains his findings; that there was some form of heart problem but stated that he did not have a definite diagnosis. He advised Mr. Bains to see his doctor for a referral to a cardiologist, to take a daily aspirin, and return if the chest pain recurred.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terms of classification, he felt Mr. Bains presented as class 2, because there were only slight limitations, Mr. Bains had worked all day, and the principal event occurred while walking to the Skytrain the previous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cross-examination, Dr. Ng agreed he had no record of Mr. Bains "rushing" to the Skytrain, that it was his impression, and his note used the word "walking".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Ng agreed Mr. Bains presented with new onset angina but not class 3, and he did not agree Mr. Bains presented with unstable angina. Dr. Ng agreed Mr. Bains waited over an hour to see him and he could not say if the nurse saw Mr. Bains before, during, or after his attendance.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Dr. Ng confirmed the recorded steps taken from ordering an ECG at 23:50 p.m. to reassessment and discharge at 1:45 a.m., and that Mr. Bains was on a cardiac monitor for much of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Ng agreed on the need for a proper history of a chest pain complaint. He had noted Mr. Bains complained of seven minutes pain with the first event but he made no note of the distance walked, pace, slope, or usual activity. Nor could he say if he had asked Mr. Bains those questions. He agreed his notes stated the second event was "brought on by exertion," but could not say if it was more or less than the first event, and said he would only record the time of pain if significant. As to the third event of chest pain at rest, he agreed he had no record of the character of the pain, save the note of "achy". He agreed that was consistent with angina, but given Mr. Bains' presentation of the first event, he believed the pain was less than seven minutes on the second and third event. Dr. Ng did not know the nature of Mr. Bains'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Dr. Ng agreed chest pain of less than 20 minutes could be significant if accompanied by other indicia such as sweating, palpitations, or nausea. Also, chest pain at rest of 10 to 15 minutes duration could be significant.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Ng confirmed he prepared the addendum Notes after he was notified of Mr. Bains' death. He said he was asked to review the matter and agreed he noted some matters not on the original chart. He agreed chest pain at rest was important and said he was concerned about all three events of chest pain. He confirmed he was aware Mr. Bains had seen Dr. Sachdev, his family doctor, who had made a referral to a cardiologist.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When it was put to him that "mild pain at rest " could still be unstable angina, he disagreed. He did agree, however, that unstable angina has a wide spectrum, and that new onset angina is significant, of concern, and needs careful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He said Surrey Memorial Hospital began troponin testing close in time to Mr. Bains' presentation, and that instructions were given about the new test on hospital rounds. He agreed the patient chart was made to assist all treating professionals in the care of the patients.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Dr. Ng was not aware of reports that South Asian men have a different level of risk of heart disease, nor was it a factor he took into consideration in assessing Mr. Bains'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He agreed he found Mr. Bains had heart disease which required further investigation as an outpatient and was aware of the referral to the cardiologist. He confirmed a cardiologist was on call for matters of urgency and that, while stress testing could not be done in the emergency department, it could be done in the cardiology department.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1.</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Dr. Gareau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Dr. Gareau is the head of the Emergency Department at Vancouver General Hospital. She commented on: (1) Dr. Ng's assessment of Mr. Bains; (2) the timing of the blood test and its interpretation, specifically that a single negative triponin value less than six hours after the onset of chest pain is unreliable;(3) the failure of Dr. Ng to make a diagnosis of unstable angina instead of chest pain NYD; (4) that Dr. Ng's recommendation to use aspirin was appropriate for suspected coronary artery disease; and (5) her opinion that a reasonably conscientious emergency physician would have kept Mr. Bains in hospital for observation and repeated the diagnostic tests before discharging him from Emergency.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 Gareau is well qualified, a Royal College certified emergency physician; as are all the doctors at the Emergency Department at Vancouver General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her report, she addressed four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first question, as to Dr. Ng's October 13, 1999 assessment, asked her to "comment on the adequacy of the history obtained, in particular, the characteristics of the presenting chest pain, the history of hypertension and dyslipidemia."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Dr. Gareau indicated that Dr. Ng had taken an appropriate history, though the notes were, in her view, incomplete as to the patient's responses regarding chest pain. She pointed out that patients presenting with the same complaint (chest pain at rest) may have been involved in wholly different situations, for instance, from reading a book to watching an exciting hockey game. Dr. Ng's assessment of other factors (hypertension and dyslipidemia) was adequate, while his physical examination addressed the essentials.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second question went to the timing of the serum troponin and Dr. Ng's interpretation of its normality.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Dr. Gareau explained that cardiac troponins are selectively released by damaged heart muscle cells and their presence in the blood is an indication of heart cell damage. However, it takes some four to six hours for the cell wall to break down and the enzymes to be released and become detectable in the patient's blood. That is reason to test twice, on arrival at emergency department, and four to six hours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As noted by Hamm C., in the </w:t>
      </w:r>
      <w:r>
        <w:rPr>
          <w:rFonts w:ascii="arial" w:eastAsia="arial" w:hAnsi="arial" w:cs="arial"/>
          <w:b/>
          <w:i/>
          <w:color w:val="000000"/>
          <w:sz w:val="20"/>
          <w:lang w:val="en-US" w:eastAsia="en-US" w:bidi="ar-SA"/>
        </w:rPr>
        <w:t>American Heart Journal</w:t>
      </w:r>
      <w:r>
        <w:rPr>
          <w:rFonts w:ascii="arial" w:eastAsia="arial" w:hAnsi="arial" w:cs="arial"/>
          <w:color w:val="000000"/>
          <w:sz w:val="20"/>
          <w:lang w:val="en-US" w:eastAsia="en-US" w:bidi="ar-SA"/>
        </w:rPr>
        <w:t>, 1999, "A single test on arrival is much less predictive and is an inappropriate diagnostic tool." She noted the initial troponin finding for Mr. Bains was reported as negative but the laboratory report noted "Troponin I requires 4 to 6 hours to rise". Accordingly, a later test should have been performed.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third question related to the diagnosis of "chest pain NYD" and, in particular, whether Dr. Ng should have made a working diagnosis of unstable angina.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Dr. Gareau agreed with the Coroner's observation that symptoms of chest pain with physical exertion in a 46-year-old man should be an indicator of cardiac pain. She referred to Rosen: </w:t>
      </w:r>
      <w:r>
        <w:rPr>
          <w:rFonts w:ascii="arial" w:eastAsia="arial" w:hAnsi="arial" w:cs="arial"/>
          <w:b/>
          <w:i/>
          <w:color w:val="000000"/>
          <w:sz w:val="20"/>
          <w:lang w:val="en-US" w:eastAsia="en-US" w:bidi="ar-SA"/>
        </w:rPr>
        <w:t>Emergency Medicine</w:t>
      </w:r>
      <w:r>
        <w:rPr>
          <w:rFonts w:ascii="arial" w:eastAsia="arial" w:hAnsi="arial" w:cs="arial"/>
          <w:color w:val="000000"/>
          <w:sz w:val="20"/>
          <w:lang w:val="en-US" w:eastAsia="en-US" w:bidi="ar-SA"/>
        </w:rPr>
        <w:t>, 1998, Chapter 103, which states the appearance of chest pain or discomfort with modest exertion and disappearing with rest is characteristic of myocardial ischemia. As well, Mr. Bains' history showed two well known risk factors: hyper-tension and hypercholesterolemia.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She also took a definition from Dr. Braunwald E., </w:t>
      </w:r>
      <w:r>
        <w:rPr>
          <w:rFonts w:ascii="arial" w:eastAsia="arial" w:hAnsi="arial" w:cs="arial"/>
          <w:b/>
          <w:i/>
          <w:color w:val="000000"/>
          <w:sz w:val="20"/>
          <w:lang w:val="en-US" w:eastAsia="en-US" w:bidi="ar-SA"/>
        </w:rPr>
        <w:t>Heart Disease: A Textbook of Cardiovascular Medicine</w:t>
      </w:r>
      <w:r>
        <w:rPr>
          <w:rFonts w:ascii="arial" w:eastAsia="arial" w:hAnsi="arial" w:cs="arial"/>
          <w:color w:val="000000"/>
          <w:sz w:val="20"/>
          <w:lang w:val="en-US" w:eastAsia="en-US" w:bidi="ar-SA"/>
        </w:rPr>
        <w:t>, 1992, to define angina as "episodic chest pain often described by the patient as chest discomfort, pressure, heaviness, tightness, usually lasting 5 to 15 minutes, that the pain may radiate to the left arm, to the neck or jaw, that the patient usually tries to sit or rest and rest usually relieves the symptoms ... within 10 minutes." On that basis, her assessment was that the chest pain experienced by Mr. Bains was angina.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Dr. Braunwald, in an article in </w:t>
      </w:r>
      <w:r>
        <w:rPr>
          <w:rFonts w:ascii="arial" w:eastAsia="arial" w:hAnsi="arial" w:cs="arial"/>
          <w:i/>
          <w:color w:val="000000"/>
          <w:sz w:val="20"/>
          <w:lang w:val="en-US" w:eastAsia="en-US" w:bidi="ar-SA"/>
        </w:rPr>
        <w:t>Circulation</w:t>
      </w:r>
      <w:r>
        <w:rPr>
          <w:rFonts w:ascii="arial" w:eastAsia="arial" w:hAnsi="arial" w:cs="arial"/>
          <w:color w:val="000000"/>
          <w:sz w:val="20"/>
          <w:lang w:val="en-US" w:eastAsia="en-US" w:bidi="ar-SA"/>
        </w:rPr>
        <w:t xml:space="preserve"> in 1989, described unstable angina as: (1) progressive angina with a distinct increase in the frequency, severity, or duration of the chest pain, usually with relief by rest; (2) new-onset angina (less than two months); or (3) rest or nocturnal angina within one week of 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her view, Mr. Bains had features of unstable angina when he presented to the Emergency Department at Surrey Memorial Hospital on 13 October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With respect to Dr. Ng's recommendation of daily aspirin on discharge, she thought that appropriate, particularly if Mr. Bains was suspected of having coronary artery disease.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last question put to Dr. Gareau was, instead of a referral to a general practitioner for non-urgent consultation by a cardiologist, should Dr. Ng have requested an urgent cardiological consultation or recommended hospitalization?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In her view, patients with possible acute coronary syndrome whose initial EKG and markers are normal should continue to be observed in a facility with cardiac monitoring (those include Emergency Department, observation unit, or chest pain unit), and a repeat EKG and marker assays should be obtained 6-12 hours after symptom onset. In support of this conclusion, she made reference to Tatum et al., "Comprehensive Strategy for the Evaluation and Triage of the Chest Pain Patient" in the </w:t>
      </w:r>
      <w:r>
        <w:rPr>
          <w:rFonts w:ascii="arial" w:eastAsia="arial" w:hAnsi="arial" w:cs="arial"/>
          <w:b/>
          <w:i/>
          <w:color w:val="000000"/>
          <w:sz w:val="20"/>
          <w:lang w:val="en-US" w:eastAsia="en-US" w:bidi="ar-SA"/>
        </w:rPr>
        <w:t>Annals of Emergency Medicine</w:t>
      </w:r>
      <w:r>
        <w:rPr>
          <w:rFonts w:ascii="arial" w:eastAsia="arial" w:hAnsi="arial" w:cs="arial"/>
          <w:color w:val="000000"/>
          <w:sz w:val="20"/>
          <w:lang w:val="en-US" w:eastAsia="en-US" w:bidi="ar-SA"/>
        </w:rPr>
        <w:t>,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her direct examination, Dr. Gareau was referred to Dr. Berringer's report wherein he said that it was not standard to do serial troponin testing in 1999. She said she did not know if it was the standard in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With respect to the </w:t>
      </w:r>
      <w:r>
        <w:rPr>
          <w:rFonts w:ascii="arial" w:eastAsia="arial" w:hAnsi="arial" w:cs="arial"/>
          <w:b/>
          <w:i/>
          <w:color w:val="000000"/>
          <w:sz w:val="20"/>
          <w:lang w:val="en-US" w:eastAsia="en-US" w:bidi="ar-SA"/>
        </w:rPr>
        <w:t>American Heart Journal</w:t>
      </w:r>
      <w:r>
        <w:rPr>
          <w:rFonts w:ascii="arial" w:eastAsia="arial" w:hAnsi="arial" w:cs="arial"/>
          <w:color w:val="000000"/>
          <w:sz w:val="20"/>
          <w:lang w:val="en-US" w:eastAsia="en-US" w:bidi="ar-SA"/>
        </w:rPr>
        <w:t xml:space="preserve"> article, she agreed it was not a journal routinely read by emergency physicians.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With respect to a paragraph within the article which stated the use of cardiac troponins was currently (July, 1999) under intensive investigation because of its specificity to cardiac muscle and sensitivity to injury to the myocardium, she agreed with the general proposition. With respect to a further comment within the article that the diagnosis of an acute coronary syndrome in patients without testing segment elevation was more controversial and less standardized, she was unable to say if that was the case in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Dr. Gareau agreed with the proposition that patients who have two negative troponin tests represent a low risk population. And she agreed that such patients could be discharged safely, provided other life threatening conditions were excluded. She also agreed there could be time lapses between publication of an article with recommended protocols or treatments and when the medical profession started to employ those recommendations. She was unable to comment on how quickly a community hospital would pick up academic recommendations as compared to an academic teaching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It was put to Dr. Gareau that the article indicated four hours post-event would be the minimum time for blood testing. She indicated that, in her opinion, six hours should have been minimum, but she was unable to recall what the standard would have been in 1999. She further agreed she had very little knowledge of the prevailing standard in a community hospital as she had not worked there. She disagreed with the proposition that troponins could be identified in the blood sooner than four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When her attention was directed to Mr. Bains' complaints of two episodes of chest pain on 12 October 1999 as being possible myocardial infarctions, she agreed that his troponin level could have been elevated in the blood taken 14 October, though she stated seven minutes of chest pain was not long enough in duration to provoke a myocardial infarction. It was put to her she could also conclude that if the duration of the chest pain that occurred at 9:00 p.m. on 13 October was seven minutes or less, one could also conclude there was no myocardial infarction.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She agreed, noting the duration was not mentioned. She agreed, as she had stated in her report, that with a negative ECG and negative cardiac marker testing, the assessment of chest pain in the Emergency Department was essentially an exercise in clinical judgment based on the history and physical examination of the patient. She agreed that the coroner had concluded it was not unreasonable for Dr. Ng to discharge Mr. Bains, but said she disagreed with that opinion. She agreed that Mr. Bains' blood pressure readings at the hospital were within a normal range and, therefore, his medication was adequately controlling his hypertension. Further, the information regarding his cholesterol was of little assistance. There was no indication Mr. Bains was taking any medication regarding his cholesterol.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She agreed Mr. Bains' report of pain radiating to the leg was not consistent with a possible ischemic event, nor were the classic indicators of cardiac ideology, including sweating, palpitations, or shortness of breath,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Dr. Gareau was referred to the 1994 study entitled "Management of Unstable Angina" ("the Study") by the </w:t>
      </w:r>
      <w:r>
        <w:rPr>
          <w:rFonts w:ascii="arial" w:eastAsia="arial" w:hAnsi="arial" w:cs="arial"/>
          <w:b/>
          <w:color w:val="000000"/>
          <w:sz w:val="20"/>
          <w:lang w:val="en-US" w:eastAsia="en-US" w:bidi="ar-SA"/>
        </w:rPr>
        <w:t>Agency for Health Care Policy and Research</w:t>
      </w:r>
      <w:r>
        <w:rPr>
          <w:rFonts w:ascii="arial" w:eastAsia="arial" w:hAnsi="arial" w:cs="arial"/>
          <w:color w:val="000000"/>
          <w:sz w:val="20"/>
          <w:lang w:val="en-US" w:eastAsia="en-US" w:bidi="ar-SA"/>
        </w:rPr>
        <w:t xml:space="preserve"> ("AHCPR"), chaired by Dr. Braunwald, which defined unstable angina by three presentations, namely 1) symptoms of angina at rest, usually prolonged more than 20 minutes; 2) new onset (less than or equal to two months) exertional angina at least Class 3 (Class 3 being defined as marked limitations of ordinary physical activity where angina may occur on walking one to two blocks on the level, and climbing one flight of stairs in normal conditions and at normal pace); and 3) recent (in the last two months) acceleration of angina to at least Class 3 level. She agreed it was a more specific definition with a different threshold in terms of severity of complaints to make the diagnosis of unstable angina.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Dr. Gareau was referred the Study's following description of treatment of patients with unstable angina "... in general, patients with unremitting symptoms, for more than 20 minutes in duration, should be encouraged to go to the emergency department but that all other patients could initially be seen at an outpatients facility. With respect to management of unstable angina, patients suspected of having unstable angina can be discharged home after adequate initial evaluation. Further outpatient evaluation of low risk patients should be completed within 72 hours." Dr. Gareau acknowledged the recommendations were made by an authoritative body.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Dr. Gareau had cited in her opinion an article by Tatum in the </w:t>
      </w:r>
      <w:r>
        <w:rPr>
          <w:rFonts w:ascii="arial" w:eastAsia="arial" w:hAnsi="arial" w:cs="arial"/>
          <w:b/>
          <w:i/>
          <w:color w:val="000000"/>
          <w:sz w:val="20"/>
          <w:lang w:val="en-US" w:eastAsia="en-US" w:bidi="ar-SA"/>
        </w:rPr>
        <w:t>American Emergency Medicine Journal</w:t>
      </w:r>
      <w:r>
        <w:rPr>
          <w:rFonts w:ascii="arial" w:eastAsia="arial" w:hAnsi="arial" w:cs="arial"/>
          <w:color w:val="000000"/>
          <w:sz w:val="20"/>
          <w:lang w:val="en-US" w:eastAsia="en-US" w:bidi="ar-SA"/>
        </w:rPr>
        <w:t xml:space="preserve"> 1997, Vol. 29, at pp. 116-125, but when the article was provided to her, she was unable to find the reference she had alluded to. She agreed that no hospital in British Columbia has a chest pain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She further agreed that, given the article was dated 1997, it pre-dated the use of troponin markers or troponin enzyme blood tests. She could not find a reference to serial testing for serum markers.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Finally, she agreed she was only qualified to offer an opinion as to the standard found in an academic teaching hospital, and not a community hospital. She agreed that in 1999, an emergency room physician, dealing with a patient such as Mr. Bains, would have taken a proper history, a proper physical examination, ordered an ECG, ordered the appropriate blood tests/cardiac markers, (though she was unable to say what the standard was in 1999), and then the doctor would need to exercise his or her clinical judgment as whether or not it was appropriate to discharge the patient from emergency.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2.</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Dr. James A. Stone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cardiologist, Dr. Stone, opined: (1) the blood test for cardiac monitors would have been normal because it was taken little more than three hours from the episode of rest pain; (2) if Mr. Bains had been hospitalized on 14 October 1999, he would have avoided sudden death; (3) that virtually all patients admitted to a Emergency Department who are deemed to have a cardiac diagnosis should be placed on a cardiac monitor or otherwise kept within the monitored portion of the Emergency Department in visual observation of the medical/nursing stuff (this in reference to whether or not Mr. Bains was correctly triaged 15 October 1999, which is not in issue); and (4) that cardiac monitoring would have detected the heart arrhythmia, that prompt cardiopulmonary resuscitation would almost certainly have prevented his death, and that Mr. Bains would have survived to discharge from hospital. He put Mr. Bains' risk adjusted life expectancy after treatment in the range of 20 to 25 years with full quality of life and lifestyle.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Dr. Stone is a Clinical Associate Professor and Consultant Cardiologist at the University of Calgary. He is a highly qualified cardiologist with graduate degrees in Exercise Physiology and Cardiophysiology and is a past president of the Canadian Association of Cardiac Rehabilitation.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He was asked a series of questions, the first being, "With hindsight, is it more probable that Manjit Bains' October 13, 1999 enzyme profile would have been normal or abnormal?" Dr. Stone presumed Mr. Bains had had a episode of typical cardiac pain associated with exertion on the morning of 13 October 1999 and on the evening of 13 October, at approximately 9:00 p.m., and an additional episode of the same, though less severe, chest pain at 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 note that, in fact, the prior episodes had been two times on 12 October and then the 9:00 p.m. 13 October episode.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Dr. Stone noted the blood drawn for cardiac markers at 00:20 hours on 14 October was negative. He indicated most experts would expect cardiac markers be drawn six to twelve hours after an episode of chest discomfort. With respect to the episode of rest pain at 9:00 p.m., his expectation would be that the cardiac marker would be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second question asked Dr. Stone was, on balance of probabilities, could Mr. Bains' sudden death have been avoided if he had been hospitalized 14 October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His answer was: "Almost certainly." However, on examination it became apparent that Dr. Jones expected a high rate of resuscitation for a witnessed cardiac arrest if he were immediately at hand. He conceded exact statistics were extremely difficult to obtain.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Had Mr. Bains been hospitalized, he indicated standard hospital management would have been medications, including aspirin, anti-coagulant, and beta-blockade therapy to reduce heart 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He stated patients with an acute coronary syndrome are usually hospitalized in a coronary intensive care unit for 12-48 hours while additional ECGs and serum markers are drawn. Should a diagnosis of myocardial infarction be made, there will be further investigation and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Where there is no demonstrated myocardial infarction, there will be further investigation involving an exercise stress test to stratify the possible risk from coronary artery disease.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From Dr. Stone's (cardiology) perspective, the diagnosis of an acute coronary syndrome or unstable angina was not suitable for outpatient investigation and obligated the diagnosing physician to place the patient in the hospital. I do note that is the position of a cardiologist.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Thirdly, he was asked if Mr. Bains had died from a cardiac arrhythmia. He stated "we all die from an arrhythmia", i.e., lack of heart rhythm. In Mr. Bains' case, the cause of his arrhythmia was lack of oxygen caused by poor blood flow secondary to coronary artery disease. If Mr. Bains was being cardiac monitored, the arrhythmia would have been detected. He stated most persons suffering an episode of sudden cardiac arrest in emergency are almost always resuscitated.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Had Mr. Bains survived, he would have expected to have seen Mr. Bains discharged from hospital. He expected Mr. Bains would have undergone coronary artery angioplasty or coronary artery bypass surgery to the critical left anterior descending coronary artery identified at autopsy. He believed in those circumstances there was an 80% chance Mr. Bains would have been alive and well 15 years later. In the absence of a further heart attack, he indicated Mr. Bains might have lived another 20-25 years with a normal lifestyle and quality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Apart from the lack of factual assessment of the situation presented to the court, Dr. Stone failed to address another primary factor, namely that the blood markers in the blood that was taken from Mr. Bains failed to show any indication of injury to the heart.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Dr. Stone assumed Mr. Bains might be kept in the hospital for several days, but, as noted, it is very likely Mr. Bains would have been discharged the following morning, as he presented no further indications of ill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Furthermore, one of the obvious concerns I have with Dr. Stone's opinion regarding prompt cardiopulmonary resuscitation preventing death is the fact that it appears resuscitation was attempted on Mr. Bains within minutes of respiratory arrest without success. That was not addressed in his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Defendant's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1.</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Dr. David Esler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Dr. David Esler's practice has been confined to emergency medicine for 17 years. He has practiced full-time emergency medicine from 1988 and is a clinical instructor in emergency medicine at the University of British Columbia. He has provided emergency care to a number of community hospitals and enjoys privileges at Mount St. Joseph Hospital and various Vancouver area community hospitals.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He said chest pain is one of the most common problems causing patients to present to emergency departments for evaluation and that most do well and never receive a firm diagnosis for their chest pain. A minority have a serious disease and it is the emergency physician's role to differentiate the two groups.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He noted the most common serious cause of chest pain in emergency departments is ischemic heart disease, i.e., inadequate blood supply to the heart, usually caused by hardening and narrowing of the coronary arteries. Typically, a heart attack occurs when an artery becomes obstructed by a blood clot and the affected area of heart muscle dies (or infarcts) secondary to a lack of blood supply.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emergency physician's diagnosis is made on the basis of (1) the clinical history; (2) an ECG; and (3) cardiac markers. He noted that physical examinations are usually are of limited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He noted an ECG on presentation helps to determine if chest pain is significant, though a normal one is usually reassuring. Serial testing may assist if the patient's chest pain waxes and wanes while at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With respect to cardiac markers, Dr. Esler stated any patient with an elevated troponin reading should be hospitalized and serial troponin tests performed six hours apart. He noted that, following a heart attack, the troponin level becomes elevated in three to six hours and will persist for approximately seven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He divided cardiac patients into three groups, namely: (1) those that can be discharged without need for further testing; (2) those who should be hospitalized and receive cardiac medication; and (3) those that can be discharged but should receive follow up testing. In this third group, he listed patients with a history of risk factors and chest pain compatible with coronary disease but lacking an elevated troponin, ongoing chest pain, and ECG changes. Discharge normally is accompanied by a request for further cardiac testing, commonly an exercise stress test, and a recommendation to take daily aspirin.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After reviewing Mr. Bains' information, he placed Mr. Bains in the third patient grouping, i.e., where the patient would normally be discharged with a recommendation for follow up testing.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Dr. Esler addressed five questions. The first concerned the length of observation of Mr. Bains at hospital, and the immediacy of Dr. Ng's attendance on Mr. Bains. He noted Mr. Bains registered at the triage desk at 22:07 hours and was seen by Dr. Ng at 23:25 hours, one hour and 28 minutes later. Mr. Bains was discharged at 1:30 a.m., three hours and 23 minutes after arrival. Dr. Esler said the time from registration to physician assessment was typical, and not near the ideal guideline of 15 minutes. The actual time reflected a lack of equipment and staff due to resource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In response to the second question whether it was appropriate for Dr. Ng to discharge Mr. Bains following a normal ECG or whether serial ECGs should have been continued, Dr. Esler said serial assessment should occur with patients who had significant ongoing pain of recent onset, that is less than 6 to 12 hours, and whose initial ECG and troponin measurements were normal. He stated that the decision whether to initiate serial testing reflected differences in training, past experience, and intuition or gut feeling about a patient's relative risk, all factors that influence clinical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third question asked whether it was proper for Dr. Ng to discharge Mr. Bains following cardiac enzyme testing which was normal, or whether serial troponin testing should have been ordered. Dr. Esler opined that while some emergency physicians might have recommended serial clinical assessments and repeat ECGs and troponin evaluation for Mr. Bains, most would not, and either approach would been acceptable.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fourth question was whether it was appropriate for Dr. Ng to discharge Mr. Bains prior to consultation with a cardiologist Dr. Esler replied that few Emergency Physicians would have requested cardiac consultation on a patient presenting with Mr. Bains' history, and negative ECG and troponin testing.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He agreed with the Discharge plan prescribed for Mr. Bains, but noted that a minority of Emergency Physicians would have recommended more aggressive medicating.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Given Mr. Bains' clinical presentation, three hour pain free stay at the hospital, and discharge plan, he concluded Mr. Bains' tragic death, the following day, was not foreseeable. In his opinion, the medical treatment provided met the expected standard for a practicing Emergency Physician in all respects.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Dr Esler disagreed that a second troponin test would have given a higher reading. He said his experience is that complaints of chest pain at rest do not give rise to higher troponin findings. He disagreed with the suggestion Mr. Bains' presentation was unstable angina, stating that, in his opinion, there was not enough information and the picture "had not declared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In cross-examination, Dr. Esler agreed the majority of patients presenting with chest pain do not go on to have heart attacks, but the job of the doctor is to consider all causes of the patient's condition, especially possible life-threatening causes, and that with chest pain the priority is to determine whether the patient has ischemic heart disease.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Dr. Esler agreed that in any hospital, the emergency doctor needs to know the symptoms of ischemic heart disease, including atypical presentations, and to know how to use and interpret the diagnostic methods available. He agreed the doctor needs to address the risk in the patient and advise the patient what to watch for and what to do. He said emergency doctors routinely handle heart disease and need to determine whether there should be immediate hospital care, or follow-up care from a specialist. If the emergency doctor does not know, he may seek help from a specialist, but he said it is seldom the case in managing chest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Dr. Esler disagreed that the emergency doctor has to accept ischemic heart disease until proved otherwise; that while ischemic heart disease is high on the list, all factors need to be taken into account. He agreed Mr. Bains showed characteristics of cardiac pain which raised the question of ischemic heart disease, but noted the onset of pain was reported as beginning the previous day and the patient's signs were stable, as compared to a recent onset of escalating symptoms indicating the patient's situation was unstable. With respect to the ECG, he agreed the ECG was a snapshot in a fluid process but that the prognosis improved with a good ECG. He agreed if the patient's ischemia was unstable, one ECG might not help, but here there was a normal ECG and the patient was pain free, which was not compatible with unstable ischemia.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He agreed an enzyme marker is used as a diagnostic tool and generally troponin elevation shows three to six hours after a heart attack. That would have been known in 1999. He agreed the third event at rest was compatible with a finding of ischemia, but not of acute coronary disease, and there was a nonclassical complaint of pain radiation to Mr. Bains' left leg.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When asked to focus on the at rest incident, Dr. Esler said that required ignoring the previous 24 hours experience and that the issue was how significant the latest pain complaint was in context. Not every chest pain would result in increased findings of troponin. He agreed it was possible any of the three events might have given rise to released troponin. He said the need for serial troponin testing in an emergency medicine department was done selectively in 1999. Specifically, no test might be done where there were several days of chest pain complaint, as compared to one recent severe anginal pain where more than one test would be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He agreed part of the standard of care may be found in medical literature. He disagreed, however, that publication equated to practice. Generally, there is space and time between published articles on practice as compared to ongoing community practice standards. Thus he disagreed with the 1999 Hamm article suggesting a single troponin test was inadequate and said that such a decision depended on its clinical context, including consideration of time of onset and the severity of the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Dr. Esler also disagreed with a similar suggestion in the </w:t>
      </w:r>
      <w:r>
        <w:rPr>
          <w:rFonts w:ascii="arial" w:eastAsia="arial" w:hAnsi="arial" w:cs="arial"/>
          <w:i/>
          <w:color w:val="000000"/>
          <w:sz w:val="20"/>
          <w:lang w:val="en-US" w:eastAsia="en-US" w:bidi="ar-SA"/>
        </w:rPr>
        <w:t>New England Journal of Medicine</w:t>
      </w:r>
      <w:r>
        <w:rPr>
          <w:rFonts w:ascii="arial" w:eastAsia="arial" w:hAnsi="arial" w:cs="arial"/>
          <w:color w:val="000000"/>
          <w:sz w:val="20"/>
          <w:lang w:val="en-US" w:eastAsia="en-US" w:bidi="ar-SA"/>
        </w:rPr>
        <w:t xml:space="preserve"> in December 1997 that a single troponin test was inadequate, although he agreed the literature was suggesting the need for more than one test. He said that enzyme marker test was a case by case matter. Even with the prior enzyme marker (CKNB), serial testing was generally dependant on a high suspicion. While serial testing is common now, it was not in the 1980s and 1990s.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With respect to his opinion that Mr. Bains' death was not foreseeable, he agreed in 1999 it was known that 2 to 10% of emergency attendances discharged could later have a heart attack. He said it was a constant concern in emergency medicine and a constant issue as to how to diagnose. Commonly missed were young men with no prior history and no evidence of myocardial infarction. These were more difficult assessments which led to attempts to categorize appropriately, for not all can be hospitalized, creating a question of clinical judgement. He said the primary symptom for unstable angina is escalating chest pain. He agreed chest pain at rest is compatible with angina. A difficulty is that pain can be reported as discomfort and maybe described in different ways. An important factor is a patient reference to radiation of pain from the chest to the shoulder, back, or jaw.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It was suggested to Dr. Esler that on the discharge of Mr. Bains, a doctor would have a strong suspicion of ischemic heart disease. He said the case must be viewed in context of age, sex, risk factors, history, occurrence of pain, ECG and enzyme testing. He said the emergency doctor's question was whether to discharge or admit Mr. Bains. He agreed there was a real possibility Mr. Bains had ischemic heart disease and the family doctor had already recognized that with a cardiology referral. He said, in the circumstances, it was not unexpected for the emergency doctor (Dr. Ng) to find no immediate problem, but that heart disease had not been ruled out, and that Mr. Bains should return to emergency if more symptoms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In terms of Mr Bains' return to the hospital on 14 October 1999 the following night saying, "I was here last night with chest pains and now I have stomach pains", that was a question for the triage nurse. Had Mr. Bains complained of chest pain, the ideal would have been to promptly place him on heart monitor, but the reality was several hours wait. I note there was no evidence before me that on the night of 14 October 1999 Mr. Bains presented to the triage nurse and advised her he had attended the previous night with a complaint of chest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2.</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Dr. Ross Berringer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Dr. Ross Berringer, an Emergency Physician at St. Paul's Hospital, also provided an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Dr. Berringer, after summarising the history as presented to him, posed the question of whether Dr. Ng's assessment, treatment and discharge planning met the standard of care expected of a part-time certified emergency physician/general practitioner working in a community hospital in October 1999. He said the definitive clinical practice study was the Study authored by Dr. Braunwald.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Given the history taken by Dr. Ng, where there was no recorded chest pain exceeding 20 minutes, the possible risk factors of hypertension and cholesterol, no previous history of coronary artery disease, a normal physical examination, the patients overall appearance, a normal ECG, and a pain free 140 minute observation, Mr. Bains' guideline risk was 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Furthermore, Dr. Berringer was of the opinion that the risk of short term death was low, as that was classified in the Study.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In such case, he stated the Study indicates the patient can be safely evaluated as an outpatient. Prolonged and at rest angina were both defined in the Study as more than 20 minutes in the previous two weeks. He concluded that the decision to discharge Mr Bains was well within the accepted standard of care in October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With respect to troponin testing, he agreed paired troponin testing was now the current standard of care, but was not at the time the incident in 1999. He noted the significance of the negative troponin testing for Mr. Bains which ruled out myocardial infarction prior to 4:00 p.m. on 13 October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With respect to the chest pain episode that brought Mr. Bains to the emergency department, the troponin testing would rule out a myocardial infarction with only 40% certainty. But he noted the absence of infarction (heart damage) at the autopsy made it unlikely a second troponin testing would have been positive.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He did not doubt that if Mr. Bains had recorded a positive troponin test level at time of presentation, his management would have been altered either for a second testing, or referral and admittance for treatment and observation.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While the normal ECG did not rule out myocardial infarction or unstable angina, it did make either diagnosis less likely. He stated that it is a very small percentage of patients who present with normal ECG and troponin testing but who still have unstable angina.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Dr. Berringer noted that while chest pain units (which provide a temporary monitored environment for cardiac patients) have become more prevalent but not universal in the United States, there are none in Canada to his knowledge. He noted that even at St Pauls, a provincially designated Center for Excellence in cardiology, the best that can be offered is stress testing within 72 hours for low risk patients who have been ruled out for infarction.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Dr. Berringer concluded Dr. Ng's assessment and treatment of Mr. Bains met the standard of care expected of an emergency physician in a community hospital in October 1999. He concluded it was appropriate to discharge Mr. Bains with instructions to take aspirin daily, follow up with his family doctor/cardiologist, and return to the emergency department if the pain recurred.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With respect to Dr. Gareau's evidence, he said that the average emergency doctor did not read the </w:t>
      </w:r>
      <w:r>
        <w:rPr>
          <w:rFonts w:ascii="arial" w:eastAsia="arial" w:hAnsi="arial" w:cs="arial"/>
          <w:i/>
          <w:color w:val="000000"/>
          <w:sz w:val="20"/>
          <w:lang w:val="en-US" w:eastAsia="en-US" w:bidi="ar-SA"/>
        </w:rPr>
        <w:t>American Heart Journal</w:t>
      </w:r>
      <w:r>
        <w:rPr>
          <w:rFonts w:ascii="arial" w:eastAsia="arial" w:hAnsi="arial" w:cs="arial"/>
          <w:color w:val="000000"/>
          <w:sz w:val="20"/>
          <w:lang w:val="en-US" w:eastAsia="en-US" w:bidi="ar-SA"/>
        </w:rPr>
        <w:t>, that serial troponin testing depended on context, that the Hamm article would not have had an immediate effect on practice, and it was not necessary to require a repeat ECG unless there was an ongoing complaint of chest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In cross examination, Dr. Berringer stated Mr. Bains met the Study definition of angina but not unstable angina. He agreed a differential diagnosis needed to rule out unstable angina and that was a question of medical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He agreed that the Study referred to chest pain episodes of more than 20 minutes, but could be less. He agreed that a patient's risk of death was greatest in the first two weeks after onset of chest pain, but stated that Mr. Bains' risk was low. The only chest pain recorded was seven minutes in duration. He did not agree the duration of chest pain or the degree of risk assessment need be recorded by the emergency doctor. He did agree the positive and negative findings should be recorded as charting is necessary for all medical treating personnel to share information on the patient, and that the records should include a summary of the doctor's perception.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He said Mr. Bains did not fit the classification of Class 3 as there was not a marked limitation of his physical activity, though he agreed there was exertional chest pain and possible angina. In his view, this accorded with the Study recommendation that testing and observation and evaluation could be done as an outpatient.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With respect to Dr. Hamm's article, he said some doctors might be aware of the inadequacy of a single enzyme test on arrival at a hospital in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Dr. Berringer agreed troponin testing was new in 1999, and that it could identify an infarction or prolonged ischemia, or even a small infarction.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Dr. Berringer noted class 2 was equivalent to "slight limitations of activity". With respect to the suggestion of 24 hour outpatient observation, he said that was not standard emergency practice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3.</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Dr. Simon Rabkin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Dr. Rabkin is a specialist in Internal Medicine and Cardiology with an active clinical practice in cardiology and is a Professor of Medicine at the University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In his written opinion he stated it was more likely than not that had Mr. Bains had a repeat troponin test six hours after his chest pain, it would been normal. He premised his conclusion on the lack of pain reported by Mr. Bains, and the normal ECG. Further, on autopsy there was neither gross evidence nor microscopic evidence of myocardial infarction. He was of the opinion Mr. Bains did not have a myocardial infarction when he presented to the emergency department on 13 October 1999 as there was an absence of prolonged chest pain, nausea, or sweating, and the ECG was negative.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Secondly, he was asked had Mr. Bains coronary artery disease been diagnosed prior to his death on 15 October 1999, and appropriate investigation and treatment initiated, what would been the likely prognosis for his survival?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He noted a 2000 study finding hospital mortality of 27.4% with anterior wall myocardial infarction, and 9.8% without cardiac arrest (2002). Dr. Rabkin noted studies suggesting South Asian Canadians have a higher incidence of coronary artery disease and poorer long-term survival after manifestation of a heart attack. After making various assumptions, he estimated Mr. Bains would have had an 80% chance of living five years and a 50% likelihood of surviving 20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In direct examination, Dr. Rabkin disagreed with Dr. Stone's opinion that patients reporting at rest angina had elevated troponin, saying a literature evaluation of 10,000 cases showed findings of less than 30%. He also said Mr. Bains' autopsy results showing blockage of three principal vessels was significant and an indicator of future events. He had various (valid) criticisms of a study by Dr. Kavanaugh relied on by Dr. Stone.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In cross-examination, Dr. Rabkin agreed that an evolving pattern of discomfort that is new may be unstable angina, that unstable angina may be a harbinger of a myocardial infarction, and that a myocardial infarction reflects a relatively insufficient blood supply to the heart. He said angina is a common complaint. Coronary artery disease is a build up of plaque in the arteries and plaque is one of three mechanisms of myocardial infarction. He agreed new onset angina can equal unstable angina. He said it would commonly present with typical symptoms rather than atypical. He agreed angina on exertion and then at rest may indicate possible unstable angina and should be considered in a differential diagnosis. He agreed the various usual factors could raise the possibility of unstable angina which could require a cardiological investigation at some point, and Mr. Bains' South Asian ancestry, in his view as a cardiologist, would be a factor for greater suspicion.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With respect to a single ECG excluding heart disease with a patient otherwise asymptomatic, he said if there was significant chest pain and underlying ischemia, an ECG would reflect that. But when put that a patient could have unstable angina and a myocardial infarction and still have a negative ECG, he said that would be in less than 10% of the patients and more common with unstable angina. He agreed a stress test could be done to see if there was a different reading from an at rest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With respect to blood tests for enzyme markers taken to find if there was damage to the heart, he said the timing was important and that the sensitivity of the troponin testing would depend on the time passage from the pain event. He disagreed a single blood test amounted to diagnostic error; stating that the timing of the troponin testing from onset improved over 24 hours. A normal measure would indicate no myocardial infarction.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With respect to an incident of chest pain causing damage to heart muscle cells, he agreed it was possible an incident of chest pain would not be severe or long enough to generate a troponin marker. If a patient had three complaints over 24 hours, one or none might release troponin. If the most recent event was three hours previous, he disagreed a single troponin test would not record that, for the sensitivity of the test meant there was a 30% chance the cardiac enzyme might be found. He agreed the one test would not rule out a possible myocardial infarction, but stated he would look at that possibility in the whole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Troponin was introduced at Vancouver General Hospital in the summer 1999. The cardiologists and the lab personnel introduced the troponin testing in Emergency, comparing it to CKNB for 6 months and then discussed their findings in rounds with the emergency doctors and its use as a cardiac enzyme marker. He agreed the use of the new blood marker was to assist in the assessment of risk and could lead to possible referral to a cardiologist. In terms of time from referral, that depended on his schedule. If there was concern it might occur within a week, but he noted there was a staff cardiology clinic at VGH.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Reference was made to Mr. Bains' consultation with Dr. Sachdev on the morning of 13 October 1999, when Dr. Sachdev found possible angina, though there was a negative ECG, and made a referral to a cardiologist. The level of concern in his view would depend on the pain history given.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As to his opinion that a further enzyme test would have been negative, the autopsy supported his opinion. To find troponin there had to be a myocardial infarction. He said by definition, myocardial infarction means cell death. He agreed the death rate would be 5 to 8% higher with an elevated troponin reading. He said the chance of dying within 24 hours after a negative troponin test was just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With respect to the autopsy reference to vacuolation or holes found in the heart cells, he agreed they could represent ischemic damage. As to his references used in considering Mr Bains' possible life expectancy, he acknowledged that advances in medicine might improve the figures.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Carlsen v. Southerland</w:t>
      </w:r>
      <w:r>
        <w:rPr>
          <w:rFonts w:ascii="arial" w:eastAsia="arial" w:hAnsi="arial" w:cs="arial"/>
          <w:color w:val="000000"/>
          <w:sz w:val="20"/>
          <w:lang w:val="en-US" w:eastAsia="en-US" w:bidi="ar-SA"/>
        </w:rPr>
        <w:t xml:space="preserve">, </w:t>
      </w:r>
      <w:hyperlink r:id="rId845" w:history="1">
        <w:r>
          <w:rPr>
            <w:rFonts w:ascii="arial" w:eastAsia="arial" w:hAnsi="arial" w:cs="arial"/>
            <w:i/>
            <w:color w:val="0077CC"/>
            <w:sz w:val="20"/>
            <w:u w:val="single"/>
            <w:shd w:val="clear" w:color="auto" w:fill="FFFFFF"/>
            <w:lang w:val="en-US" w:eastAsia="en-US" w:bidi="ar-SA"/>
          </w:rPr>
          <w:t>[2005] B.C.J. No. 143</w:t>
        </w:r>
      </w:hyperlink>
      <w:r>
        <w:rPr>
          <w:rFonts w:ascii="arial" w:eastAsia="arial" w:hAnsi="arial" w:cs="arial"/>
          <w:color w:val="000000"/>
          <w:sz w:val="20"/>
          <w:lang w:val="en-US" w:eastAsia="en-US" w:bidi="ar-SA"/>
        </w:rPr>
        <w:t xml:space="preserve"> at para. 28 (S.C.), Bouck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Ter Neuzen v. Korn </w:t>
      </w:r>
      <w:hyperlink r:id="rId846" w:history="1">
        <w:r>
          <w:rPr>
            <w:rFonts w:ascii="arial" w:eastAsia="arial" w:hAnsi="arial" w:cs="arial"/>
            <w:i/>
            <w:color w:val="0077CC"/>
            <w:sz w:val="20"/>
            <w:u w:val="single"/>
            <w:shd w:val="clear" w:color="auto" w:fill="FFFFFF"/>
            <w:lang w:val="en-US" w:eastAsia="en-US" w:bidi="ar-SA"/>
          </w:rPr>
          <w:t>(1995), 11 B.C.L.R. (3d) 201</w:t>
        </w:r>
      </w:hyperlink>
      <w:r>
        <w:rPr>
          <w:rFonts w:ascii="arial" w:eastAsia="arial" w:hAnsi="arial" w:cs="arial"/>
          <w:color w:val="000000"/>
          <w:sz w:val="20"/>
          <w:lang w:val="en-US" w:eastAsia="en-US" w:bidi="ar-SA"/>
        </w:rPr>
        <w:t xml:space="preserve"> (S.C.C.), helpfully sets out seven principles and a summary that apply to a medical doctor's standard of care:</w:t>
      </w:r>
    </w:p>
    <w:p>
      <w:pPr>
        <w:numPr>
          <w:numId w:val="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Specialist's Standard of Care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A specialist, such as the respondent, who holds himself out as possessing a special degree of skill and knowledge, must exercise the degree of skill of an average specialist in his field: ... Ter Neuzen v. Korn at para. 33.</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Physician's Knowledge at the Time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conduct of physicians must be judged in the light of the knowledge that ought to have been reasonably possessed at the time of the alleged act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 Ter Neuzen v. Korn, at para. 34.</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Prevailing Standards at the Time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courts must not, with the benefit of hindsight, judge too harshly doctors who act in accordance with prevailing standards of professional knowledge: ... Ter Neuzen v. Korn, at para. 34.</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if Complying With Common Practices at the Time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generally accepted that when a doctor acts in accordance with a recognized and respectable practice of the profession, he or she will not be found to be negligent: ... Ter Neuzen v. Korn, at para. 38.</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Common Practices Not Always Determinative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The fact that a professional has followed the practice of his or her peers may be strong evidence of reasonable and diligent conduct, but it is not determinative. If the practice is not in accordance with the general standards of liability, i.e., that one must act in a reasonable manner, then the professional who adheres to such practice can be found liable, depending on the facts of each case: Ter Neuzen v. Korn, at para. 42.</w:t>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Common Practices Must Conform With Common Sense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Where a common and accepted course of conduct is adopted based on the specialized and technical expertise of professionals, it is unsatisfactory for a finder of fact to conclude that such a standard was inherently negligent. ... For example, where there are obvious existing alternatives which any reasonable person would utilize in order to avoid risk, one could conclude that the failure to adopt such measures is negligent notwithstanding that it is the prevailing practice among practitioners in that area: Ter Neuzen v. Korn, at para. 44.</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Experts Opinion As to Standard of Care Not Conclusive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General practice of the defendant and some others does not constitute a complete defence. It is some evidence to be taken into consideration on the question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it is not conclusive on Court or jury. If it were a defence conclusive on jury or Court, a group of operators by adopting some practice could legislate themselves out of liability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the public by adopting or continuing what was an obviously negligent practice, even though by a simple precaution, plainly capable of obviating danger which sometimes might result in death, was well known ... If a practitioner refuses to take an obvious precaution, he cannot exonerate himself by showing that others also neglect to take it: Ter Neuzen v. Korn, at para. 48.</w:t>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Summary - Common Practice - General Rule - Exception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conclude from the foregoing that, as a general rule, where a procedure involves difficult or uncertain medical treatment or complex, scientific or highly technical matters that are beyond the ordinary experience and understanding of a judge or jury, it will not be open to find a standard of medical practice negligent. On the other hand, as an exception to the general rule, if a standard practice fails to adopt obvious and reasonable precautions which are readily apparent to the ordinary finder of fact, then it is no excuse for a practitioner to claim that he or she was merely conforming to such a negligent common practice: Ter Neuzen v. Korn, at para. 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Argument and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Both parties provided written argument. I note my appreciation of the standard of counsel work on both sides.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 plaintiff's principal argument was that Dr. Ng did not meet the standard of care because he failed to use all clinical tests available, there was a failure to properly diagnose, and a failure to properly treat, i.e., to discharge.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The emergency presentation was a 46 year old man, in no obvious distress, but complaining of new onset chest pain. That complaint must initially be treated as potentially life threatening. But by 1:45 a.m., after some three hours of hospital assessment with negative ECG, blood tests, no physical complaint, normal cardiac readings, and a history (which I accept seemed to emphasize the pain felt while going to work the previous morning), Dr. Ng's medical judgment was that it was appropriate to discharge Mr. Bains for outpatient follow up, with a recommendation to take aspirin.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On this issue, I accept the opinions of Dr. Esler and Dr. Berringer, who have had much experience in community hospitals similar to Surrey Memorial Hospital. I should note I appreciated Dr. Gareau's straight forward acknowledgment that her experience was based on her level of training and the ancillary support to be found at the Emergency Department at VGH, a renowned teaching hospital, and not a suburban community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As can be seen from the evidence of the experts, much of the focus turned on the use of a single blood test, where the plaintiff asserts there should have been two, especially in light of the note on the blood test report saying that troponin took four to six hours to "rise".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However, in 1999, troponin was a new marker, still in its introduction at the major hospitals, and medical practice, lagging as it must behind medical research, had not settled on the need for serial testing. And while four hours had not passed from the at rest incident, some 3 hours and 20 minutes had, and that gave some 30% efficacy to the test. As well, the later autopsy found no gross or microscopic evidence of a myocardial infarction, and I favour Dr. Rabkin's opinion that no later test would have found elevated troponin. That would lead to the finding that even if Mr. Bains had stayed at the hospital overnight, been monitored, and had further tests, they would have been negative and likely he would have been discharged on 14 October 1999. His two conversations with his sister the morning of 14 October shows he felt well enough to go to work. The complaint he made to her in the evening of 14 October focussed on his gastric upset, and not on any complaint of how the day had gone.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I accept Dr. Ng's evidence, as reflected in his notes, as to the presentation of Mr. Bains at the Emergency Department on the evening of 13 October 1999. As well, some of the other evidence seemed to lend some credence to Dr. Ng's assessment of Mr. Bains that the event of the morning of the 13 October was the most acute. Mr. Hoonjan was present at what appears to be the second event, at Bear Creek Park. But Mr. Hoonjan's recollection was that Mr. Bains' complaint was of a lack of energy and not a complaint of pain. Mrs. Athwal spoke to Mr. Bains twice on the morning of the 14 October, after the "at rest" incident, yet she reported no specific reference to that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Further, the issue, as agreed on by all three emergency doctors, was one of clinical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An emergency patient presenting with chest pain must raise in an emergency doctor's mind the possibility of a heart attack and potentially sudden death. The doctor is obliged to consider the worst possible outcome for the patient. It was argued that Mr. Bains' presentation and history showed an escalation of his chest pain complaint that should have lead to a diagnosis of unstable angina, hospitalization, monitoring and testing of Mr. Bains until the possibility of unstable angina was ruled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But a diagnosis in the emergency department is based on patient history and the testing done. Mr. Bains did not present in any distress that is typically associated with cardiac disease, his ECG was normal, his blood pressure unremarkable, and, with respect to the events of chest pain, the first seemed to be the most acute (recorded at seven minutes). The enzyme testing that was done some three hours and twenty minutes post the third event was negative. The cardiac monitoring over several hours in the hospital showed nothing.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I do not find fault in Dr. Ng's decision the risk was low, and that Mr. Bains had seen his family doctor and a referral to a cardiologist was imminent. Further, though not necessarily conclusive, the autopsy findings were such to persuade me that, even if Mr. Bains had been hospitalized overnight, it is likely further ECG testing and blood enzyme testing would have been negative and, in all likelihood, Mr. Bains would have been released on the morning of 14 October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xml:space="preserve">  Stress testing might have, and invasive investigation would have, revealed blockage to Mr. Bains' heart arteries. Plainly that was the cause of Mr. Bains' untimely demise. But in terms of medical judgment I do not find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these particular circumstances, nor do I fault Dr. Ng's clinical judgment. Accordingly, the plaintiff's claim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The defendant is entitled to his costs if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CRAWFORD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September 20,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On page 2, paragraph 4, last word on third line of paragraph should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and if the doctor is found negligent for breaching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On page 49, paragraph 152, second line should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and that a myocardial infarction ..."</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0" style="position:absolute;z-index:2518005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47"/>
          <w:headerReference w:type="default" r:id="rId848"/>
          <w:footerReference w:type="even" r:id="rId849"/>
          <w:footerReference w:type="default" r:id="rId850"/>
          <w:headerReference w:type="first" r:id="rId851"/>
          <w:footerReference w:type="first" r:id="rId85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53" w:history="1">
        <w:r>
          <w:rPr>
            <w:rFonts w:ascii="arial" w:eastAsia="arial" w:hAnsi="arial" w:cs="arial"/>
            <w:b/>
            <w:bCs/>
            <w:i/>
            <w:color w:val="0077CC"/>
            <w:kern w:val="32"/>
            <w:sz w:val="28"/>
            <w:szCs w:val="32"/>
            <w:u w:val="single"/>
            <w:shd w:val="clear" w:color="auto" w:fill="FFFFFF"/>
            <w:lang w:val="en-US" w:eastAsia="en-US" w:bidi="ar-SA"/>
          </w:rPr>
          <w:t>Colson v. Vancouver Coastal Health, [2012] B.C.J. No. 1666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R.B.T. Goepel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24,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8,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11 2048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1666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1193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Kevin Colson, Plaintiff, and Vancouver Coastal Health, Paul Clarkson, Anthony Salvian, Jay Beverley Adlington, Mark McConkey, Jane Doe No. 1, Jane Doe No. 2, Edward Gofton, Chris Durkin,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(14 paras.)</w:t>
      </w:r>
    </w:p>
    <w:p>
      <w:pPr>
        <w:jc w:val="both"/>
        <w:rPr>
          <w:rFonts w:ascii="arial" w:eastAsia="arial" w:hAnsi="arial" w:cs="arial"/>
          <w:sz w:val="20"/>
          <w:lang w:val="en-US" w:eastAsia="en-US" w:bidi="ar-SA"/>
        </w:rPr>
      </w:pPr>
      <w:bookmarkStart w:id="191" w:name="Counsel_39"/>
      <w:bookmarkEnd w:id="19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1" style="position:absolute;z-index:2516992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G.T. Rhone.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Edward Gofton: N.L. Fishman.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2" w:name="Judgment_39"/>
      <w:bookmarkEnd w:id="192"/>
      <w:r>
        <w:pict>
          <v:line id="_x0000_s1172" style="position:absolute;z-index:25175040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93" w:name="R.B.T. GOEPEL J."/>
            <w:bookmarkEnd w:id="193"/>
            <w:r>
              <w:rPr>
                <w:rFonts w:ascii="arial" w:eastAsia="arial" w:hAnsi="arial" w:cs="arial"/>
                <w:b/>
                <w:color w:val="000000"/>
                <w:sz w:val="30"/>
                <w:lang w:val="en-US" w:eastAsia="en-US" w:bidi="ar-SA"/>
              </w:rPr>
              <w:t>R.B.T. GOEPEL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 medical malpractice case that arises out of a surgery that was performed on July 16, 2009. The applicant, Dr. Edward Gofton, was the anaesthetist for the plaintiff's surgery which is the subject matter of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notice of civil claim was filed on May 18, 2011. By order dated May 10, 2012, the plaintiff added Dr. Gofton and a second anaesthesiologist, Dr. Chris Durkin, as defendants in this proceeding. It was a term of the order that any person added to the proceeding could apply to vary or discharge the order within 21 days after the date on which they were served. Dr. Gofton now applies to be removed as a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Dr. Gofton notes that the two-year limitation period expired on July 16, 2011, approximately 10 months before he was added as a party. He submits that he is not a person who ought to have been joined as a party or whose participation in the proceeding is necessary to determine the existing litigation. He submits that the materials before the Court which form the basis of the application to join him as a defendant do not establish an issue between himself and another party relating to the relief, remedy or subject matter of the suit. He submits that the plaintiff's attempt to add him as a defendant in this proceeding is part of a shotgun approach to name the parties involved in the July 16, 2009 surgery without any consideration of their specific role in that surgery and whether they truly ought to be defendants. He relies on the decisions in </w:t>
      </w:r>
      <w:r>
        <w:rPr>
          <w:rFonts w:ascii="arial" w:eastAsia="arial" w:hAnsi="arial" w:cs="arial"/>
          <w:i/>
          <w:color w:val="000000"/>
          <w:sz w:val="20"/>
          <w:lang w:val="en-US" w:eastAsia="en-US" w:bidi="ar-SA"/>
        </w:rPr>
        <w:t>Forde v. Interior Health Authority</w:t>
      </w:r>
      <w:r>
        <w:rPr>
          <w:rFonts w:ascii="arial" w:eastAsia="arial" w:hAnsi="arial" w:cs="arial"/>
          <w:color w:val="000000"/>
          <w:sz w:val="20"/>
          <w:lang w:val="en-US" w:eastAsia="en-US" w:bidi="ar-SA"/>
        </w:rPr>
        <w:t xml:space="preserve">, </w:t>
      </w:r>
      <w:hyperlink r:id="rId854" w:history="1">
        <w:r>
          <w:rPr>
            <w:rFonts w:ascii="arial" w:eastAsia="arial" w:hAnsi="arial" w:cs="arial"/>
            <w:i/>
            <w:color w:val="0077CC"/>
            <w:sz w:val="20"/>
            <w:u w:val="single"/>
            <w:shd w:val="clear" w:color="auto" w:fill="FFFFFF"/>
            <w:lang w:val="en-US" w:eastAsia="en-US" w:bidi="ar-SA"/>
          </w:rPr>
          <w:t>2007 BCSC 1706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Forde No. 1</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Forde v. Interior Health Authority</w:t>
      </w:r>
      <w:r>
        <w:rPr>
          <w:rFonts w:ascii="arial" w:eastAsia="arial" w:hAnsi="arial" w:cs="arial"/>
          <w:color w:val="000000"/>
          <w:sz w:val="20"/>
          <w:lang w:val="en-US" w:eastAsia="en-US" w:bidi="ar-SA"/>
        </w:rPr>
        <w:t xml:space="preserve">, </w:t>
      </w:r>
      <w:hyperlink r:id="rId855" w:history="1">
        <w:r>
          <w:rPr>
            <w:rFonts w:ascii="arial" w:eastAsia="arial" w:hAnsi="arial" w:cs="arial"/>
            <w:i/>
            <w:color w:val="0077CC"/>
            <w:sz w:val="20"/>
            <w:u w:val="single"/>
            <w:shd w:val="clear" w:color="auto" w:fill="FFFFFF"/>
            <w:lang w:val="en-US" w:eastAsia="en-US" w:bidi="ar-SA"/>
          </w:rPr>
          <w:t>2008 BCSC 1013</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Jaholkowski v. Gascoyne</w:t>
      </w:r>
      <w:r>
        <w:rPr>
          <w:rFonts w:ascii="arial" w:eastAsia="arial" w:hAnsi="arial" w:cs="arial"/>
          <w:color w:val="000000"/>
          <w:sz w:val="20"/>
          <w:lang w:val="en-US" w:eastAsia="en-US" w:bidi="ar-SA"/>
        </w:rPr>
        <w:t xml:space="preserve"> (18 April 2012), Vancouver S092652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Plaintiff's counsel advises that it was only after the action was commenced that he learned from an expert with whom he was consulting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the anaesthetists could have caused or contributed to the plaintiff's damage. Shortly thereafter he moved to join Drs. Gofton and Durkin. While the plaintiff acknowledges that Dr. Gofton was served outside the limitation period, he notes there is limited prejudice because the writ was served within one year of the expiry of that period: </w:t>
      </w:r>
      <w:r>
        <w:rPr>
          <w:rFonts w:ascii="arial" w:eastAsia="arial" w:hAnsi="arial" w:cs="arial"/>
          <w:i/>
          <w:color w:val="000000"/>
          <w:sz w:val="20"/>
          <w:lang w:val="en-US" w:eastAsia="en-US" w:bidi="ar-SA"/>
        </w:rPr>
        <w:t>McIntosh v. Nilsson Bros. Inc.</w:t>
      </w:r>
      <w:r>
        <w:rPr>
          <w:rFonts w:ascii="arial" w:eastAsia="arial" w:hAnsi="arial" w:cs="arial"/>
          <w:color w:val="000000"/>
          <w:sz w:val="20"/>
          <w:lang w:val="en-US" w:eastAsia="en-US" w:bidi="ar-SA"/>
        </w:rPr>
        <w:t xml:space="preserve">, </w:t>
      </w:r>
      <w:hyperlink r:id="rId37" w:history="1">
        <w:r>
          <w:rPr>
            <w:rFonts w:ascii="arial" w:eastAsia="arial" w:hAnsi="arial" w:cs="arial"/>
            <w:i/>
            <w:color w:val="0077CC"/>
            <w:sz w:val="20"/>
            <w:u w:val="single"/>
            <w:shd w:val="clear" w:color="auto" w:fill="FFFFFF"/>
            <w:lang w:val="en-US" w:eastAsia="en-US" w:bidi="ar-SA"/>
          </w:rPr>
          <w:t>2005 BCCA 297</w:t>
        </w:r>
      </w:hyperlink>
      <w:r>
        <w:rPr>
          <w:rFonts w:ascii="arial" w:eastAsia="arial" w:hAnsi="arial" w:cs="arial"/>
          <w:color w:val="000000"/>
          <w:sz w:val="20"/>
          <w:lang w:val="en-US" w:eastAsia="en-US" w:bidi="ar-SA"/>
        </w:rPr>
        <w:t xml:space="preserve">. He says this case is distinguishable from the </w:t>
      </w:r>
      <w:r>
        <w:rPr>
          <w:rFonts w:ascii="arial" w:eastAsia="arial" w:hAnsi="arial" w:cs="arial"/>
          <w:i/>
          <w:color w:val="000000"/>
          <w:sz w:val="20"/>
          <w:lang w:val="en-US" w:eastAsia="en-US" w:bidi="ar-SA"/>
        </w:rPr>
        <w:t>Forde</w:t>
      </w:r>
      <w:r>
        <w:rPr>
          <w:rFonts w:ascii="arial" w:eastAsia="arial" w:hAnsi="arial" w:cs="arial"/>
          <w:color w:val="000000"/>
          <w:sz w:val="20"/>
          <w:lang w:val="en-US" w:eastAsia="en-US" w:bidi="ar-SA"/>
        </w:rPr>
        <w:t xml:space="preserve"> decisions because the pleadings in this case set out the specific allegations made against Dr. Gofton.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foundation for the plaintiff's application to join a party is Rule 6-2(7). The relevant portions of the Rule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6-2(7) At any stage of a proceeding, the court, on application by any person, may, subject to subrules (9) and (10),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be added or substituted as a party if</w:t>
      </w:r>
    </w:p>
    <w:p>
      <w:pPr>
        <w:numPr>
          <w:numId w:val="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person ought to have been joined as a party, or</w:t>
      </w:r>
    </w:p>
    <w:p>
      <w:pPr>
        <w:numPr>
          <w:numId w:val="3"/>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person's participation in the proceeding is necessary to ensure that all matters in the proceeding may be effectually adjudicated on,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be added as a party if there may exist, between the person and any party to the proceeding, a question or issue relating to or connected with</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any relief claimed in the proceeding, or</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subject matter of the proceeding</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that, in the opinion of the court, it would be just and convenient to determine as between the person and that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wording of Rule 6-2(7) is substantially similar to its predecessor, Rule 15(5).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authorities indicate that Rule 6-2(7)(b) is to be interpreted narrowly. The leading authority is </w:t>
      </w:r>
      <w:r>
        <w:rPr>
          <w:rFonts w:ascii="arial" w:eastAsia="arial" w:hAnsi="arial" w:cs="arial"/>
          <w:i/>
          <w:color w:val="000000"/>
          <w:sz w:val="20"/>
          <w:lang w:val="en-US" w:eastAsia="en-US" w:bidi="ar-SA"/>
        </w:rPr>
        <w:t>Enterprise Realty Ltd. v. Barnes Lake Cattle Co. Ltd.</w:t>
      </w:r>
      <w:r>
        <w:rPr>
          <w:rFonts w:ascii="arial" w:eastAsia="arial" w:hAnsi="arial" w:cs="arial"/>
          <w:color w:val="000000"/>
          <w:sz w:val="20"/>
          <w:lang w:val="en-US" w:eastAsia="en-US" w:bidi="ar-SA"/>
        </w:rPr>
        <w:t xml:space="preserve"> </w:t>
      </w:r>
      <w:hyperlink r:id="rId39" w:history="1">
        <w:r>
          <w:rPr>
            <w:rFonts w:ascii="arial" w:eastAsia="arial" w:hAnsi="arial" w:cs="arial"/>
            <w:i/>
            <w:color w:val="0077CC"/>
            <w:sz w:val="20"/>
            <w:u w:val="single"/>
            <w:shd w:val="clear" w:color="auto" w:fill="FFFFFF"/>
            <w:lang w:val="en-US" w:eastAsia="en-US" w:bidi="ar-SA"/>
          </w:rPr>
          <w:t>(1979), 13 B.C.L.R. 293</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Enterprise</w:t>
      </w:r>
      <w:r>
        <w:rPr>
          <w:rFonts w:ascii="arial" w:eastAsia="arial" w:hAnsi="arial" w:cs="arial"/>
          <w:color w:val="000000"/>
          <w:sz w:val="20"/>
          <w:lang w:val="en-US" w:eastAsia="en-US" w:bidi="ar-SA"/>
        </w:rPr>
        <w:t xml:space="preserve">"). The circumstances where the rule applies were discussed in </w:t>
      </w:r>
      <w:r>
        <w:rPr>
          <w:rFonts w:ascii="arial" w:eastAsia="arial" w:hAnsi="arial" w:cs="arial"/>
          <w:i/>
          <w:color w:val="000000"/>
          <w:sz w:val="20"/>
          <w:lang w:val="en-US" w:eastAsia="en-US" w:bidi="ar-SA"/>
        </w:rPr>
        <w:t>Letvad v. Fenwick</w:t>
      </w:r>
      <w:r>
        <w:rPr>
          <w:rFonts w:ascii="arial" w:eastAsia="arial" w:hAnsi="arial" w:cs="arial"/>
          <w:color w:val="000000"/>
          <w:sz w:val="20"/>
          <w:lang w:val="en-US" w:eastAsia="en-US" w:bidi="ar-SA"/>
        </w:rPr>
        <w:t xml:space="preserve">, </w:t>
      </w:r>
      <w:hyperlink r:id="rId38" w:history="1">
        <w:r>
          <w:rPr>
            <w:rFonts w:ascii="arial" w:eastAsia="arial" w:hAnsi="arial" w:cs="arial"/>
            <w:i/>
            <w:color w:val="0077CC"/>
            <w:sz w:val="20"/>
            <w:u w:val="single"/>
            <w:shd w:val="clear" w:color="auto" w:fill="FFFFFF"/>
            <w:lang w:val="en-US" w:eastAsia="en-US" w:bidi="ar-SA"/>
          </w:rPr>
          <w:t>2000 BCCA 630</w:t>
        </w:r>
      </w:hyperlink>
      <w:r>
        <w:rPr>
          <w:rFonts w:ascii="arial" w:eastAsia="arial" w:hAnsi="arial" w:cs="arial"/>
          <w:color w:val="000000"/>
          <w:sz w:val="20"/>
          <w:lang w:val="en-US" w:eastAsia="en-US" w:bidi="ar-SA"/>
        </w:rPr>
        <w:t xml:space="preserve"> at paras. 16-18: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 Whatever the exact meaning of the passage, it demonstrates in my view that the chambers judge erred in principle in failing to have regard to the fundamental limitation on subrule (ii) which is that it is intended only to remedy defects in the "proceeding" as it stood prior to the application to add parties. The source of the judge's error may be that in quoting subrule (ii) in her reasons, she omitted the words "... or whose participation in the proceeding is necessary to ensure that all matters in the proceeding ..." She made no reference in her reasons to the concept of necessity embodied in those words.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The leading authority on this rule is </w:t>
      </w:r>
      <w:r>
        <w:rPr>
          <w:rFonts w:ascii="arial" w:eastAsia="arial" w:hAnsi="arial" w:cs="arial"/>
          <w:i/>
          <w:color w:val="000000"/>
          <w:sz w:val="20"/>
          <w:lang w:val="en-US" w:eastAsia="en-US" w:bidi="ar-SA"/>
        </w:rPr>
        <w:t>Enterprise Realty Ltd. v. Barnes Lake Cattle Co. Ltd.</w:t>
      </w:r>
      <w:r>
        <w:rPr>
          <w:rFonts w:ascii="arial" w:eastAsia="arial" w:hAnsi="arial" w:cs="arial"/>
          <w:color w:val="000000"/>
          <w:sz w:val="20"/>
          <w:lang w:val="en-US" w:eastAsia="en-US" w:bidi="ar-SA"/>
        </w:rPr>
        <w:t xml:space="preserve"> </w:t>
      </w:r>
      <w:hyperlink r:id="rId39" w:history="1">
        <w:r>
          <w:rPr>
            <w:rFonts w:ascii="arial" w:eastAsia="arial" w:hAnsi="arial" w:cs="arial"/>
            <w:i/>
            <w:color w:val="0077CC"/>
            <w:sz w:val="20"/>
            <w:u w:val="single"/>
            <w:shd w:val="clear" w:color="auto" w:fill="FFFFFF"/>
            <w:lang w:val="en-US" w:eastAsia="en-US" w:bidi="ar-SA"/>
          </w:rPr>
          <w:t>(1979), 13 B.C.L.R. 293</w:t>
        </w:r>
      </w:hyperlink>
      <w:r>
        <w:rPr>
          <w:rFonts w:ascii="arial" w:eastAsia="arial" w:hAnsi="arial" w:cs="arial"/>
          <w:color w:val="000000"/>
          <w:sz w:val="20"/>
          <w:lang w:val="en-US" w:eastAsia="en-US" w:bidi="ar-SA"/>
        </w:rPr>
        <w:t xml:space="preserve"> (C.A.), which settled the question whether the rule should be given a broad or a narrow construction. Lambert J.A. for the court held that the narrow construction must continue to prevail. In so doing, he applied the reasoning of Devlin J. (as he then was) in </w:t>
      </w:r>
      <w:r>
        <w:rPr>
          <w:rFonts w:ascii="arial" w:eastAsia="arial" w:hAnsi="arial" w:cs="arial"/>
          <w:i/>
          <w:color w:val="000000"/>
          <w:sz w:val="20"/>
          <w:lang w:val="en-US" w:eastAsia="en-US" w:bidi="ar-SA"/>
        </w:rPr>
        <w:t>Amon v. Raphael Tuck &amp; Sons Ltd.</w:t>
      </w:r>
      <w:r>
        <w:rPr>
          <w:rFonts w:ascii="arial" w:eastAsia="arial" w:hAnsi="arial" w:cs="arial"/>
          <w:color w:val="000000"/>
          <w:sz w:val="20"/>
          <w:lang w:val="en-US" w:eastAsia="en-US" w:bidi="ar-SA"/>
        </w:rPr>
        <w:t>, [1956] 1 Q.B. 357. Lambert J.A. said at 298: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propose to turn first to the English cases. In </w:t>
      </w:r>
      <w:r>
        <w:rPr>
          <w:rFonts w:ascii="arial" w:eastAsia="arial" w:hAnsi="arial" w:cs="arial"/>
          <w:i/>
          <w:color w:val="000000"/>
          <w:sz w:val="20"/>
          <w:lang w:val="en-US" w:eastAsia="en-US" w:bidi="ar-SA"/>
        </w:rPr>
        <w:t>Amon v. Raphael Tuck &amp; Sons Ltd.</w:t>
      </w:r>
      <w:r>
        <w:rPr>
          <w:rFonts w:ascii="arial" w:eastAsia="arial" w:hAnsi="arial" w:cs="arial"/>
          <w:color w:val="000000"/>
          <w:sz w:val="20"/>
          <w:lang w:val="en-US" w:eastAsia="en-US" w:bidi="ar-SA"/>
        </w:rPr>
        <w:t>, [1956] 1 Q.B. 357, [1956] 1 All E.R. 273, in a most thorough historical analysis of the jurisprudence, Devlin J. concluded that the first condition, "ought to have been joined", had its origin in common law, with its relatively simple remedies, and applied to cases such as joint contractors and that the second condition, "necessary that all matters in the proceeding be effectually adjudicated", had its origin in equity, with its more complex remedies, and that it covered cases where a remedy such as specific performance could not be awarded without additional parties being added to make the remedy effective. Devlin J. then traced the two lines of authority and decided that the narrow construction was to be preferred. He did so for what I consider to be five reasons.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passage illustrates the kind of issues which may be taken into account in deciding whether the application is within subrule (ii). The gist of the matter is that the plaintiff must establish either that the persons sought to be added "ought to have been joined as a party" or that their "participation in the proceeding is necessary" in order to permit the issues between the existing parties to be effectually adjudicated. Here, the issues to the point of the application were, as between the plaintiff and Dr. Finley, whether the latter had been negligent and, as between the plaintiff and the Hospital, whether it was vicariously liable for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perhaps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others. Those issues could have been effectually adjudicated between the original parties.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That is not to say that if Drs. Fenwick and Evans had been joined as defendants at the outset, that would have been an improper joinder. But that is an entirely different question from that as to whether they ought to have been joined or whether their joinder was necessary in order for the issues between the original parties to be adjudicated upon. The chambers judge having erred in holding that subrule (ii) applied, no element of discretion arises. That finding must be set aside on the basis that there was no jurisdiction to add the parties under subrule (ii).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Different considerations apply with respect to Rule 6-2(7)(c). That rule was introduced in 1980 shortly after the Court of Appeal's decision in </w:t>
      </w:r>
      <w:r>
        <w:rPr>
          <w:rFonts w:ascii="arial" w:eastAsia="arial" w:hAnsi="arial" w:cs="arial"/>
          <w:i/>
          <w:color w:val="000000"/>
          <w:sz w:val="20"/>
          <w:lang w:val="en-US" w:eastAsia="en-US" w:bidi="ar-SA"/>
        </w:rPr>
        <w:t>Enterprise.</w:t>
      </w:r>
      <w:r>
        <w:rPr>
          <w:rFonts w:ascii="arial" w:eastAsia="arial" w:hAnsi="arial" w:cs="arial"/>
          <w:color w:val="000000"/>
          <w:sz w:val="20"/>
          <w:lang w:val="en-US" w:eastAsia="en-US" w:bidi="ar-SA"/>
        </w:rPr>
        <w:t xml:space="preserve"> Rule 6-2(7)(c) allows the Court to join a party if it determines in the exercise of its discretion that it would be just and convenient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Rule 6-2(7)(c) contains a two-part test for the addition of parties. The first branch of the test will be met when a plaintiff can show that he has a possible cause of action against a proposed defendant. The threshold at this stage is low and the evidence is not to be analyzed: </w:t>
      </w:r>
      <w:r>
        <w:rPr>
          <w:rFonts w:ascii="arial" w:eastAsia="arial" w:hAnsi="arial" w:cs="arial"/>
          <w:i/>
          <w:color w:val="000000"/>
          <w:sz w:val="20"/>
          <w:lang w:val="en-US" w:eastAsia="en-US" w:bidi="ar-SA"/>
        </w:rPr>
        <w:t>Forde No. 1</w:t>
      </w:r>
      <w:r>
        <w:rPr>
          <w:rFonts w:ascii="arial" w:eastAsia="arial" w:hAnsi="arial" w:cs="arial"/>
          <w:color w:val="000000"/>
          <w:sz w:val="20"/>
          <w:lang w:val="en-US" w:eastAsia="en-US" w:bidi="ar-SA"/>
        </w:rPr>
        <w:t xml:space="preserve"> at para.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Dr. Gofton argues that the material before the Court does not establish an issue between Dr. Gofton and the plaintiff. He submits that the notice of civil claim applies a shotgun approach without any consideration to the specific roles played by the various parties in the surgery. He notes that the particulars set out in the amended notice of civil claim are identical for each of the defendants. There is no differentiation between the Health Authority, the anaesthesiologist, the resident anaesthesiologist and the surgeons involved in the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Dr. Gofton relies on the comments in </w:t>
      </w:r>
      <w:r>
        <w:rPr>
          <w:rFonts w:ascii="arial" w:eastAsia="arial" w:hAnsi="arial" w:cs="arial"/>
          <w:i/>
          <w:color w:val="000000"/>
          <w:sz w:val="20"/>
          <w:lang w:val="en-US" w:eastAsia="en-US" w:bidi="ar-SA"/>
        </w:rPr>
        <w:t>Forde No. 1</w:t>
      </w:r>
      <w:r>
        <w:rPr>
          <w:rFonts w:ascii="arial" w:eastAsia="arial" w:hAnsi="arial" w:cs="arial"/>
          <w:color w:val="000000"/>
          <w:sz w:val="20"/>
          <w:lang w:val="en-US" w:eastAsia="en-US" w:bidi="ar-SA"/>
        </w:rPr>
        <w:t xml:space="preserve"> at para. 18 where Russell J.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 It is impossible to discern on what basis each of the proposed defendants could be held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This is further complicated by the fact that affidavit evidence of some of the respondent physicians suggests that they had nothing to do with the plaintiff's care at the relevant time. Thus, I agree with the respondents that merely setting out a list of negligent actions that may or may not be applicable to each of the defendants on an individual level is so imprecise that it fails to give rise to a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There is a major distinction between the pleadings in the </w:t>
      </w:r>
      <w:r>
        <w:rPr>
          <w:rFonts w:ascii="arial" w:eastAsia="arial" w:hAnsi="arial" w:cs="arial"/>
          <w:i/>
          <w:color w:val="000000"/>
          <w:sz w:val="20"/>
          <w:lang w:val="en-US" w:eastAsia="en-US" w:bidi="ar-SA"/>
        </w:rPr>
        <w:t>Forde</w:t>
      </w:r>
      <w:r>
        <w:rPr>
          <w:rFonts w:ascii="arial" w:eastAsia="arial" w:hAnsi="arial" w:cs="arial"/>
          <w:color w:val="000000"/>
          <w:sz w:val="20"/>
          <w:lang w:val="en-US" w:eastAsia="en-US" w:bidi="ar-SA"/>
        </w:rPr>
        <w:t xml:space="preserve"> cases and the case at bar. In </w:t>
      </w:r>
      <w:r>
        <w:rPr>
          <w:rFonts w:ascii="arial" w:eastAsia="arial" w:hAnsi="arial" w:cs="arial"/>
          <w:i/>
          <w:color w:val="000000"/>
          <w:sz w:val="20"/>
          <w:lang w:val="en-US" w:eastAsia="en-US" w:bidi="ar-SA"/>
        </w:rPr>
        <w:t>Forde</w:t>
      </w:r>
      <w:r>
        <w:rPr>
          <w:rFonts w:ascii="arial" w:eastAsia="arial" w:hAnsi="arial" w:cs="arial"/>
          <w:color w:val="000000"/>
          <w:sz w:val="20"/>
          <w:lang w:val="en-US" w:eastAsia="en-US" w:bidi="ar-SA"/>
        </w:rPr>
        <w:t xml:space="preserve">, the 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indicated that they applied to one, several or all of the defendants. That is not the situation in the case at bar. In this case, the pleadings specifically set out that the 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apply to each of the defendants. Each defendant knows precisely what has been alleged against them. I find that the proposed pleadings are sufficient to establish a potential cause of action against Dr. Gofton.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Dr. Gofton's counsel conceded that if I found the pleadings sufficient, he could not seriously contend that it was not just and convenient to add Dr. Gofton as a defendant. That concession is well founded. The claim against Dr. Gofton arises out of the same surgery which gives rise to the claims against the other defendants. Dr. Gofton was joined shortly after the plaintiff became aware of a potential claim. The delay in joining Dr. Gofton is less than a year after the expiry of the limitation period. In all the circumstances it is just and convenient that the claim against Dr. Gofton continue in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find that the joinder of Dr. Gofton is proper. His application to set aside the joinder is dismissed. Costs of the application will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R.B.T. GOEPEL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3" style="position:absolute;z-index:2518016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56"/>
          <w:headerReference w:type="default" r:id="rId857"/>
          <w:footerReference w:type="even" r:id="rId858"/>
          <w:footerReference w:type="default" r:id="rId859"/>
          <w:headerReference w:type="first" r:id="rId860"/>
          <w:footerReference w:type="first" r:id="rId86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62" w:history="1">
        <w:r>
          <w:rPr>
            <w:rFonts w:ascii="arial" w:eastAsia="arial" w:hAnsi="arial" w:cs="arial"/>
            <w:b/>
            <w:bCs/>
            <w:i/>
            <w:color w:val="0077CC"/>
            <w:kern w:val="32"/>
            <w:sz w:val="28"/>
            <w:szCs w:val="32"/>
            <w:u w:val="single"/>
            <w:shd w:val="clear" w:color="auto" w:fill="FFFFFF"/>
            <w:lang w:val="en-US" w:eastAsia="en-US" w:bidi="ar-SA"/>
          </w:rPr>
          <w:t>Cridge v. de Vooght, [2004] B.C.J. No. 130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Satanove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17 - 21 and 24 - 28,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27,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C960559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130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101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128 A.C.W.S. (3d) 594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Josephine Lovey Cridge, plaintiff, and Peter J. De Vooght, Harper Grey Easton &amp; Company, Margaret Smyth and Doig Baily McLean Greenbank &amp; Murdoch, Peter Kravchuke, Richard Turner, John White and Connell Lightbody,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(71 paras.)</w:t>
      </w:r>
    </w:p>
    <w:p>
      <w:pPr>
        <w:jc w:val="both"/>
        <w:rPr>
          <w:rFonts w:ascii="arial" w:eastAsia="arial" w:hAnsi="arial" w:cs="arial"/>
          <w:sz w:val="20"/>
          <w:lang w:val="en-US" w:eastAsia="en-US" w:bidi="ar-SA"/>
        </w:rPr>
      </w:pPr>
      <w:bookmarkStart w:id="194" w:name="Counsel_40"/>
      <w:bookmarkEnd w:id="19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4" style="position:absolute;z-index:2517002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appeared in person. I.D. Mackie and C. Potzold,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5" w:name="Judgment_40"/>
      <w:bookmarkEnd w:id="195"/>
      <w:r>
        <w:pict>
          <v:line id="_x0000_s1175" style="position:absolute;z-index:25175142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96" w:name="SATANOVE J."/>
            <w:bookmarkEnd w:id="196"/>
            <w:r>
              <w:rPr>
                <w:rFonts w:ascii="arial" w:eastAsia="arial" w:hAnsi="arial" w:cs="arial"/>
                <w:b/>
                <w:color w:val="000000"/>
                <w:sz w:val="30"/>
                <w:lang w:val="en-US" w:eastAsia="en-US" w:bidi="ar-SA"/>
              </w:rPr>
              <w:t>SATANOVE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August 6, 1964 the plaintiff and her husband were found by Wooten J. to be the unsuccessful defendants in a law suit over an aborted house sale. The appeal from the decision of Wooten J. was dismissed on April 23, 1965.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To this day, the plaintiff does not accept her loss in either court. In 1967 she decided to sue Marney Stevenson, the counsel who represented the plaintiff and her husband at trial and on appeal. After being turned away by about a dozen lawyers, she was referred to Peter De Vooght of Harper, Gilmore, Grey &amp; Company (now known as the defendant, Harper Grey Easton &amp;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De Vooght kept the plaintiff's file for approximately 18 years. During that time the action against Ms. Stevenson never progressed past the issuance of a writ of summons.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After having passed through several more law firms, the plaintiff's action against Ms. Stevenson was dismissed for want of prosecution in 1994. The plaintiff then commenced this action against Mr. De Vooght, Harper Grey Easton &amp; Company, Margaret Smyth, Doig Baily McLean Greenbank &amp; Murdoch, Peter Kravchuke, Richard Turner, John White and Connell Lightbody. In November 2003, all the parties consented to an order dismissing the action against all defendants except Harper Grey Easton &amp; Company. Harper Grey Easton &amp; Company in turn waived any defences under the Limitation Act, </w:t>
      </w:r>
      <w:hyperlink r:id="rId453"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xml:space="preserve"> or in laches.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the meantime, the solicitor who represented the plaintiff on the original house transaction, William Moresby, has died. Ms. Stevenson has been diagnosed with diffuse cerebral vascular disease which has worsened over the years. She is now cognitively impaired and incompetent to testify. Mr. De Vooght has died, as has his law partner Mr. McDonald, who was assisting him at the outset of the litigation. The plaintiff's husband has died. Judge Wooten has died. In short, most of the persons involved in the original litigation and the litigation against Ms. Stevenson have died or are unavailable to testify. The only witnesses at the trial before me were the plaintiff; Mr. McJannet, the defendant's nominal representative; Dennis Milne, who represented Ms. Stevenson in the 1980s; Ms. Stevenson's trustee in bankruptcy; a representative of the Law Society; and a representative of Jardine Lloyd Thompson Canada Inc., who is the Law Society's insurance broker.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had no legal representation at trial, although I allowed her friend Mr. Kennedy to assist her with leading her evidence and examining witnesses. Unfortunately, the plaintiff was not a reliable witness. As discussed later in my judgment, in her oral opening she misstated the basis on which she was seeking to hold Ms. Stevenson liable. Throughout her cross-examination she contradicted prior statements made during examinations for discovery. Most importantly, over the years she has lost all objectivity about her claim and the ability to recall facts about the claim clearly without reconstruction or bias.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McJannet, on behalf of the defendant, was not much help either. He had little or no knowledge of the plaintiff's file with the defendant and made little effort to inform himself of relevant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Thus, I was left with a documentary trail that commenced in November 1962. Fortunately, the record appears to be more or less complete and I am confident that the documents provided a sufficiently reliable basis on which to form my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courts have often referred to lawyers'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cases as containing a "trial within a trial". Simply put, in order to assess damages caused by a lawyer's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context of litigation, a plaintiff must show that if the lawyer had exercised a reasonable degree of skill and care the plaintiff would have had a reasonable prospect of success in the litigation (Hagblom v. Henderson, </w:t>
      </w:r>
      <w:hyperlink r:id="rId863" w:history="1">
        <w:r>
          <w:rPr>
            <w:rFonts w:ascii="arial" w:eastAsia="arial" w:hAnsi="arial" w:cs="arial"/>
            <w:i/>
            <w:color w:val="0077CC"/>
            <w:sz w:val="20"/>
            <w:u w:val="single"/>
            <w:shd w:val="clear" w:color="auto" w:fill="FFFFFF"/>
            <w:lang w:val="en-US" w:eastAsia="en-US" w:bidi="ar-SA"/>
          </w:rPr>
          <w:t>[2003] 7 W.W.R. 590</w:t>
        </w:r>
      </w:hyperlink>
      <w:r>
        <w:rPr>
          <w:rFonts w:ascii="arial" w:eastAsia="arial" w:hAnsi="arial" w:cs="arial"/>
          <w:color w:val="000000"/>
          <w:sz w:val="20"/>
          <w:lang w:val="en-US" w:eastAsia="en-US" w:bidi="ar-SA"/>
        </w:rPr>
        <w:t xml:space="preserve"> (Sask. C.A.); Gorieu v. Simonot, </w:t>
      </w:r>
      <w:hyperlink r:id="rId864" w:history="1">
        <w:r>
          <w:rPr>
            <w:rFonts w:ascii="arial" w:eastAsia="arial" w:hAnsi="arial" w:cs="arial"/>
            <w:i/>
            <w:color w:val="0077CC"/>
            <w:sz w:val="20"/>
            <w:u w:val="single"/>
            <w:shd w:val="clear" w:color="auto" w:fill="FFFFFF"/>
            <w:lang w:val="en-US" w:eastAsia="en-US" w:bidi="ar-SA"/>
          </w:rPr>
          <w:t>[1982] 6 W.W.R. 221</w:t>
        </w:r>
      </w:hyperlink>
      <w:r>
        <w:rPr>
          <w:rFonts w:ascii="arial" w:eastAsia="arial" w:hAnsi="arial" w:cs="arial"/>
          <w:color w:val="000000"/>
          <w:sz w:val="20"/>
          <w:lang w:val="en-US" w:eastAsia="en-US" w:bidi="ar-SA"/>
        </w:rPr>
        <w:t xml:space="preserve"> (Sask. Q.B.); Prior v. McNab </w:t>
      </w:r>
      <w:hyperlink r:id="rId865" w:history="1">
        <w:r>
          <w:rPr>
            <w:rFonts w:ascii="arial" w:eastAsia="arial" w:hAnsi="arial" w:cs="arial"/>
            <w:i/>
            <w:color w:val="0077CC"/>
            <w:sz w:val="20"/>
            <w:u w:val="single"/>
            <w:shd w:val="clear" w:color="auto" w:fill="FFFFFF"/>
            <w:lang w:val="en-US" w:eastAsia="en-US" w:bidi="ar-SA"/>
          </w:rPr>
          <w:t>(1976), 16 O.R. (2d) 380</w:t>
        </w:r>
      </w:hyperlink>
      <w:r>
        <w:rPr>
          <w:rFonts w:ascii="arial" w:eastAsia="arial" w:hAnsi="arial" w:cs="arial"/>
          <w:color w:val="000000"/>
          <w:sz w:val="20"/>
          <w:lang w:val="en-US" w:eastAsia="en-US" w:bidi="ar-SA"/>
        </w:rPr>
        <w:t xml:space="preserve"> (H.C.J.)).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However, where the original litigation from which the plaintiff has been foreclosed from pursuing is also based on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then there must be "a trial within a trial within a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Accordingly, in the case before me, I must first decide if Mr. De Vooght and the defendant, jointly or vicariously, breached their contract with or duty of care to the plaintiff. If so, then I must assess what, if any, damages were caused by this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damages arising from either breach by the defendant will be measured by the value of the plaintiff's lost chance to prove Ms. Stevenson liable to her in breach of contract or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assess this value, I cannot simply hold a "second trial" because given the unavailability of oral evidence, the issue of Ms. Stevenson's liability is not capable of being fully tried. However, the purpose of the second trial is not to determine conclusively whether Ms. Stevenson breached her contract or duty of care or whether such a breach caused loss to the plaintiff. The plaintiff need only prove that but for Ms. Stevenson's conduct, the plaintiff had a reasonable probability of realizing an advantage of real monetary value (Pan-Asia Development Corp. v. Smith </w:t>
      </w:r>
      <w:hyperlink r:id="rId866" w:history="1">
        <w:r>
          <w:rPr>
            <w:rFonts w:ascii="arial" w:eastAsia="arial" w:hAnsi="arial" w:cs="arial"/>
            <w:i/>
            <w:color w:val="0077CC"/>
            <w:sz w:val="20"/>
            <w:u w:val="single"/>
            <w:shd w:val="clear" w:color="auto" w:fill="FFFFFF"/>
            <w:lang w:val="en-US" w:eastAsia="en-US" w:bidi="ar-SA"/>
          </w:rPr>
          <w:t>(1996), 31 C.C.L.T. (2d) 82</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Similarly, the value of the plaintiff's lost chance to recover damages from a trial of the Cridge v. Stevenson action will be measured by the value of the plaintiff and her husband's lost chance to to successfully defend the action Mr. &amp; Mrs. Riche brought against them in 1962 Riches v. Cridge, the "third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To complicate matters further, the third trial, Riches v. Cridge, has already been heard by Wooten J. It is not my role to determine whether or not the result in Riches v. Cridge was correct, nor is it my role to retry it. The only purpose of reviewing the trial of Riches v. Cridge is to determine whether Ms. Stevenson breached her contract with or duty of care to the plaintiff; and if so, to determine what, if any, damages were caused by that breach (Kitchen v. Royal Airforces Association, [1958] 2 All E.R. 241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LIABILITY OF MR. DE VOOGHT AND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Mr. De Vooght was a partner at the defendant law firm. He practised in the area of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June 1967, following her letter of complaint about Ms. Stevenson to the Law Society the plaintiff sought advice from Mr. De Vooght.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documents in Mr. De Vooght's file disclose the following:</w:t>
      </w:r>
      <w:r>
        <w:rPr>
          <w:rFonts w:ascii="arial" w:eastAsia="arial" w:hAnsi="arial" w:cs="arial"/>
          <w:sz w:val="20"/>
          <w:lang w:val="en-US" w:eastAsia="en-US" w:bidi="ar-SA"/>
        </w:rPr>
        <w:cr/>
      </w:r>
    </w:p>
    <w:p>
      <w:pPr>
        <w:numPr>
          <w:numId w:val="1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met with the plaintiff in June 1967 to discuss a "problem arising out of litigation involving a real estate transaction". He billed the plaintiff five dollars for this initial consultation, which suggests that the plaintiff found Mr. De Vooght through the Lawyers Referral Plan and not directly from the Law Society as she alleges.</w:t>
      </w:r>
    </w:p>
    <w:p>
      <w:pPr>
        <w:numPr>
          <w:numId w:val="1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Mr. De Vooght's memorandum to his partner Mr. McDonald, he indicates that the plaintiff was sent to him through the Lawyers Referral Plan. His understanding from the initial consultation with the plaintiff was that:</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husband, Mr. Cridge, was a railway employee who had been transferred from Victoria to Vancouver.</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Cridges agreed to purchase a property from the Riches on Blue Mountain Road in Coquitlam in exchange for the Cridges' house in Victoria, plus $1,500 cash, with each couple to assume the other's mortgage. There was a dispute over the statement of adjustments, but the Cridges took possession of the Blue Mountain property in the meantime. The dispute remained unresolved. The Cridges moved out and the Riches sued them for specific performance.</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trial took place before Wooten J. who ordered specific performance.</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Cridges had been advised by Ms. Stevenson that it was not necessary to pay the Blue Mountain mortgage. The mortgagee foreclosed. Therefore, the Cridges lost the Blue Mountain property to the mortgagee and they lost the Victoria property to the Riches.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Understandably, Mr. De Vooght was appalled that the Cridges had not been advised to protect their position vis-à-vis the Blue Mountain property. He was not as concerned with the alleged mismanagement of the litigation by Ms. Stevenson as he was with the poor advice on the foreclosure. I say understandably because the plaintiff in her opening stated that Ms. Stevenson had not carried out the specific performance order and the Blue Mountain property was subsequently lost on foreclosure, which caused me concern initially.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However, the plaintiff's twisted rendition of what happened has no factual basis. The documents show that the foreclosure procedures commenced in March 1965, many months after Judge Wooten's decision. The appeal of Judge Wooten's decision was dismissed a month later, on April 23, 1965. On April 26, 1965 Ms. Stevenson advised the Cridges that they should proceed to take possession of the Blue Mountain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Cridges then retained another lawyer, Mr. McCullough, to represent them on the accounting and closing of the sale. He strongly urged them to retain Vancouver solicitors to advise them on the foreclosure. They did so and were advised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summary then, Ms. Stevenson had nothing to do with either the execution of the order for specific performance or the foreclosure. Her involvement ceased at the end of April 1965. Any complaints that the plaintiff may have regarding the completion of the sale or the foreclosure cannot be laid at Ms. Stevenson's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De Vooght's memo to file states that he thought he would discourage the plaintiff from proceeding. He told her he would have to charge up to $750 for an opinion. She provided him with a $1,000 retainer and he told her he would deliver an opinion to her by the end of August, 1967.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De Vooght sought the assistance of Mr. MacDonald who appears to have reviewed documents provided by the plaintiff. He concluded that the plaintiff had no claim against Ms. Stevenson for the loss of the Blue Mountain property.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would appear that the Cridges either did not want to pay or did not have the money to prevent the foreclosure.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MacDonald also concluded that the plaintiff's other claims against Ms. Stevenson were unfounded. In particular, he noted conflicting evidence before Judge Wooten regarding the Riches' alleged misrepresentation about the condition of the property and about the mortgage. The Judge chose to believe the Riches over the Cridges. The other witnesses, of whom the plaintiff complained were available but not called, could only have testified as to whether or not the alleged representations were false, not as to whether or not they were made in the first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MacDonald also noted that there was no documentation of any purported advice by Ms. Stevenson to the effect that it was to late to settle, as alleged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essence of Mr. MacDonald's opinion to Mr. De Vooght was that the plaintiff's claim against Ms. Stevenson was unlikely to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De Vooght met with the plaintiff at least once in December 1967 and again in January 1968. On January 19, 1968 he wrote to Ms. Stevenson to inform her that the Cridges were claiming that she gave them "bad advice", particularly with regard to the appeal. Mr. De Vooght suggested that Ms. Stevenson meet with him to discuss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It appears that they did not meet until August 21, 1968. The matter never settled and Mr. De Vooght issued a writ of summons in October 1969, which was served in November 1969. Ms. Stevenson filed an appearance and asked Mr. De Vooght to make a settlement offer. There is no documentation indicating that he complied with Mr. Stevenson's request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Over the next couple of years the plaintiff contacted Mr. De Vooght several times insisting that he set down examination for discovery dates and to obtain a trial date. She expressed annoyance at the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De Vooght did not pursue the claim. He did not file a statement of claim, did not issue a demand for discovery of documents, and did not set down a trial date. He met with Ms. Stevenson on January 20, 1972 to try and settle with her for $3,500 but to no avail.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contacted Mr. De Vooght again in January 1973 urging him to speed up the case by setting down discovery dates and a trial date. He did nothing. In June 1973 he told the plaintiff's matrimonial lawyer that it was doubtful the plaintiff would ever recover anything from Ms. Stevenson.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For reasons of her own the plaintiff placed a "stall" on the action after November 1973.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De Vooght met with the plaintiff in January 1978 and advised her that she did not have a good case and that she should abandon her claim. He also told her that he would need Mr. Cridge's consent to proceed further. Mr. Cridge wrote to Mr. De Vooght on August 10, 1978 advising that any expenses or any recoveries were for the plaintiff's account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next entry in the defendant's file is a letter dated February 1, 1984 to the defendant from Mr. De Vooght, who by this time was practicing at Beck Robinson and Company, and was sending back his file with documents from the Riches v. Cridge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De Vooght's letter to the defendant triggered the discovery of $995 in trust attributable to the plaintiff's file. The defendant applied at that time $49.60 of those funds to cover the expense of issuing and serving the writ.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No one from the defendant firm contacted the plaintiff until after she had written to Mr. De Vooght, care of the defendant, in October 1985. Mr. Whitworth, another partner of the defendant, replied to the plaintiff that Mr. De Vooght had had a stroke five years before and that the plaintiff's case had not progressed beyond the filing of an appearance by Ms. Stevenson. He also advised the plaintiff that Ms. Stevenson had gone into bankruptcy some time ago and he returned $945.40 of the plaintiff's retainer.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 demanded the return of her file. She received part of it from the defendant in November 1985. On January 22, 1986 the plaintiff's new solicitor, Margaret Smyth, filed a notice of change of solicitor and a notice of intention to proceed against Ms. Stevenson.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On March 8, 1988, Ms. Smyth recommended that the plaintiff abandon her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On April 29, 1988, Mr. Whitworth delivered to the plaintiff some transcripts and an appeal book that had been found at the defendant's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September 1988 the plaintiff's new solicitor, Peter Kravchuke, served a notice of intention to proceed and statement of claim on Ms. Stevenson. She filed a statement of defence and a demand for discovery of documents in June 1989. Then the plaintiff replaced Mr. Kravchuke with Mr. McClellan, whom she later replaced with Mr. Shuchat.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Eventually the Cridge v. Stevenson action was dismissed for want of prosecution in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plaintiff submits that Mr. De Vooght's failure to file and serve a statement of claim and demand for discovery of documents, and his failure to set down discovery dates or a trial date despite her repeated requests was in breach of his retainer and in breach of the standard of care. I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Furthermore, at no time did Mr. De Vooght or the defendant advise the plaintiff they would no longer act for her or that she should get new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There is no evidence that prior to January 1978 Mr. De Vooght ever told the plaintiff that she had no case and that she should abandon her action. He never took any steps to sever his retainer with her. The defendant never advised the plaintiff of Mr. De Vooght's illness or made arrangements to transfer her file to another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This is not a case that requires me to examine Mr. De Vooght's conduct minutely in light of the circumstances, or make reference to certain practice standards prevalent in the 1960's and 1970's. This is not a case of error in judgment. This is not a case where I am applying a higher standard of care retroactively or reconstructing a preferable course of action with the wisdom of hindsight. This is a straightforward case of inexcusable delay, procrastination and neglect of the plaintiff as a client, which did not meet the standard of care of the ordinary, prudent solicitor. A plaintiff's claim cannot be allowed to languish for 18 years. It must be dealt with in a reasonably timely manner, either by proceeding to settlement, trial or discontinuance.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defendant submitted that the plaintiff never retained Mr. De Vooght to litigate the claim but only to provide an initial opinion and later to attempt a settlement. This submission fails on the evidence. The documents I have reviewed indicate quite clearly that Mr. De Vooght had been instructed to proceed with the litigation if no settlement were forthcoming.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defendant also submitted that the plaintiff was responsible in whole or in part for the delay. Once again this submission fails on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Although the plaintiff admitted to having placed a "stall" on the litigation from late 1973 to 1977, that is no excuse for the lack of meaningful action on the file from the time of filing the writ in 1969 until 1973. Furthermore, it does not appear that Mr. De Vooght advised the plaintiff of the potential consequences of "stalling" the action. If, in his view, the plaintiff's instructions would render the claim no longer viable, why did he not tell her? Instead, he continued to act for her until his stroke in 1980. It was incumbent on the defendant by that time to advise the plaintiff to find a new lawyer or to abandon her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plaintiff retained Mr. De Vooght and the defendant to exercise due care, skill and judgment in the delivery of legal advice and legal services. I find that they did not do so and the defendant is liable to the plaintiff for breach of contract. Needless to say their relationship was of sufficient proximity that Mr. De Vooght and the defendant also owed the plaintiff a duty of care on the standard of a reasonably competent, or ordinary prudent solicitor (Central Trust v. Rafuse, </w:t>
      </w:r>
      <w:hyperlink r:id="rId867" w:history="1">
        <w:r>
          <w:rPr>
            <w:rFonts w:ascii="arial" w:eastAsia="arial" w:hAnsi="arial" w:cs="arial"/>
            <w:i/>
            <w:color w:val="0077CC"/>
            <w:sz w:val="20"/>
            <w:u w:val="single"/>
            <w:shd w:val="clear" w:color="auto" w:fill="FFFFFF"/>
            <w:lang w:val="en-US" w:eastAsia="en-US" w:bidi="ar-SA"/>
          </w:rPr>
          <w:t>[1986] 2 S.C.R. 147</w:t>
        </w:r>
      </w:hyperlink>
      <w:r>
        <w:rPr>
          <w:rFonts w:ascii="arial" w:eastAsia="arial" w:hAnsi="arial" w:cs="arial"/>
          <w:color w:val="000000"/>
          <w:sz w:val="20"/>
          <w:lang w:val="en-US" w:eastAsia="en-US" w:bidi="ar-SA"/>
        </w:rPr>
        <w:t>). I find that they did not meet that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Unfortunately for the plaintiff, proving that Mr. De Vooght and the defendant breached their retainer and the standard of care is only the first step in the litigation. She also has to prove that the breach caused her loss and that the loss has a real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loss caused by the breaches of Mr. De Vooght and the defendant was the dismissal of the action against Ms. Stevenson for want of prosecution. The question then arises whether the claim against Ms. Stevenson had any value, or any reasonable prospect of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One of the difficulties in this case was that the plaintiff's allegations against Ms. Stevenson kept changing.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her March 25, 1967 letter of complaint to the Law Society, the plaintiff listed 27 items which she alleged Ms. Stevenson had done improperly. In her statement of claim filed on April 6, 1989 she claimed that Ms. Stevenson was negligent by having failed to:</w:t>
      </w:r>
      <w:r>
        <w:rPr>
          <w:rFonts w:ascii="arial" w:eastAsia="arial" w:hAnsi="arial" w:cs="arial"/>
          <w:sz w:val="20"/>
          <w:lang w:val="en-US" w:eastAsia="en-US" w:bidi="ar-SA"/>
        </w:rPr>
        <w:cr/>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call witnesses who could testify about the defects in the Blue Mountain Property, both as to their seriousness and their being known to the Riches;</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advise the Cridges as to their responsibility regarding mortgage payments on the Victoria and Blue Mountain properties;</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ensure that mortgage payments on the Blue Mountain property were made on a timely basis;</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offset payments made by the Cridges on the Victoria property mortgage against amounts due to the Riches for the Blue Mountain property; and</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advise the Cridges of the unlikelihood of success on appeal or to plead bias on the part of the Supreme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By the time she reached trial before me, the plaintiff seemed to have abandoned most of the allegations made in the letter to the Law Society and the allegations made in paragraphs (b) through (d) of the statement of claim. As mentioned above, in her opening the plaintiff blamed the loss of both houses on Ms. Stevenson because Ms. Stevenson lost the trial and failed to ensure that the Blue Mountain property was properly transferred to the Cridges. In her written submissions tendered after trial the plaintiff complained of:</w:t>
      </w:r>
      <w:r>
        <w:rPr>
          <w:rFonts w:ascii="arial" w:eastAsia="arial" w:hAnsi="arial" w:cs="arial"/>
          <w:sz w:val="20"/>
          <w:lang w:val="en-US" w:eastAsia="en-US" w:bidi="ar-SA"/>
        </w:rPr>
        <w:cr/>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assemble or tender available evidence to establish that the Blue Mountain property was unfit for occupancy; and</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advise the plaintiff of the courses of action open to her and her "prospects of success absence [sic]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note that the plaintiff no longer complains that Ms. Stevenson commenced the appeal without instructions. The plaintiff admitted in cross-examination that she did not accept either Judge Wooten's decision or the decision of the Court of Appeal and wanted to appeal to the Supreme Court of Canada. She gave Ms. Stevenson a $1,000 retainer to conduct the appeal. Ms. Stevenson may have filed the notice of appeal without express instructions from the plaintiff, but there is no doubt that the plaintiff wished it to proceed and that Ms. Stevenson was acting on instructions at the appeal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also note that the plaintiff's complaint about Ms. Stevenson's failure to call relevant and available evidence has changed substantially. Initially, the complaint was that Ms. Stevenson failed to prove fraudulent misrepresentation as alleged in the statement of defence. Now the plaintiff complains that Ms. Stevenson failed to prove the Blue Mountain home was unfit for occupancy. The first time the plaintiff claimed that the Blue Mountain property was unfit for occupancy (which, if proven, could amount to a fundamental breach of the contract of purchase and sale and justify the contract's termination) was in her written submission of December 8,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This scattered approach, accusing Ms. Stevenson of all manner of misconduct without factual basis, reflects the plaintiff's willingness to blame others and refusal to accept the consequences of her own actions. Her disappointment at losing the Riches v. Cridge action is so keen she is still trying to re-litigate the case 30 years later. Over the years, her vexation over Ms. Stevenson's decision not to call the Simon Fraser Health Authority, B.C. Hydro and neighbours of the Riches has grown all-consuming and it is this allegation on which the plaintiff focused at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However, as noted by Mr. MacDonald back in 1967, these witnesses could only speak to whether or not the septic tank, furnace and basement all exhibited problems in the spring of 1963. Their evidence could not have anything to do with whether or not the Riches had made any misrepresentations to the Cridges before November 15, 1962, as pleaded in the statement of defence. The only witness who might have been able to speak on the misrepresentation issue besides the Cridges was the plaintiff's father, who apparently had been present while some of the alleged representations had been made. However, he had been ill and the plaintiff instructed Ms. Stevenson not to call him at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do not accept that the plaintiff was not told, either by Ms. Stevenson or her subsequent lawyers, that the witnesses she suggested calling would not assist in proving the issues as pleaded. She herself stated in her letter to Ms. Stevenson of February 11, 1964 that her solicitor, Mr. Moresby, was the only witness who really mattered. Ms. Stevenson called Mr. Moresby and he testified at trial on behalf of the Cridges.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real unsurmountable problem facing the plaintiff on the misrepresentation issue is that Judge Wooten chose to believe the Riches, not the Cridges.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was careful to have regard of the parties as they gave their evidence. I am of the opinion that where the evidence of the plaintiffs [Riches] is in conflict with the evidence of the defendants [Cridges], the former is to be preferred and I find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From my review of the transcript of the trial of Riches v. Cridge I cannot find Ms. Stevenson at fault for the failure of the defence. Her conduct did not fall below the standard of the ordinary or reasonably competent solicitor. In every trial there will be a losing litigant who will be unhappy with the result and will wish things had gone differently.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This is not a case where I need to consider the existence of barrister's immunity in Canada, or whether Ms. Stevenson was acting in the capacity of a solicitor or a barrister, because I do not find any conduct on her part in the preparation for trial or at the trial itself which fell below the requisite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Further, I cannot find that Ms. Stevenson breached the standard of care in advising the plaintiff because there is no reliable evidence as to what that advice was, when it was given and in what context. The documentary evidence discloses that Ms. Stevenson did not become involved in the case until November 1963, a year after the Cridges had signed the November 15, 1962 agreement and six months after the Cridges had moved out of the Blue Mountain property. The Cridges discharged Ms. Stevenson in April 1965 before both the accounting and the foreclosure took place. Her last documented advice to them was to take possession of the Blue Mountain property which they failed to do. The Cridges were represented by other lawyers with respect to the specific performance of the sale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Similarly, I do not find that Ms. Stevenson breached her retainer or duty of care with respect to the appeal. She wished to persuade the Court of Appeal that the Riches had not met their obligation to show they were ready willing and able to complete the transaction and that the contract was not binding as a result. This was not an unreasonable or imprudent step to take, given the Cridges' distress at having lost at trial and their resolve not to fulfill their part of the sale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evidence also discloses a course of conduct by the plaintiff that suggests she was unwilling to accept the advice of her lawyers. She ignored Mr. Moresby's advice not to take possession of the Blue Mountain property before the Riches signed the transfer documents, and she ignored Ms. Stevenson's advice to re-take possession after having lost the appeal. She ignored Mr. Paterson's advice in September 1965 to clean up and repair the Blue Mountain property to increase its marketability. She ignored the advice of Mr. De Vooght and the advice of many of her subsequent lawyers that she did not have a good claim against Ms. Stevenson.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Thus I infer that whether or not Ms. Stevenson had advised the plaintiff to settle with the Riches it would have made no difference. The plaintiff would have proceeded to trial because she was unable to accept even partial responsibility for her actions with respect to the property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conclusion, I do not find that the Cridge v. Stevenson action had any merit or any reasonable prospect of success. I would even go so far as to say it belonged in the "certain to fail" category referred in the Ontario decision of Prior v. McNab,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Notwithstanding that the passage of time made it impossible to fully try Cridge v. Stevenson, in my view there remains sufficient evidence to determine that the action had no value beyond nuisance value, for which compensation is not available (Kitchen, supra, at 250).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do not need to assess the value of the Riches v. Cridge action, because I have found Ms. Stevenson did not breach her obligations in contract or in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 cannot find that the plaintiff suffered any loss arising from the breach of duty of care Mr. De Vooght and Harper Grey Easton &amp; Company owed to the plaintiff. The defendant cannot be held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if there are no resulting damages in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However actual damages are not an essential element to liability for breach of contract. The plaintiff is entitled to nominal damages (Fisher v. Knibbe </w:t>
      </w:r>
      <w:hyperlink r:id="rId868" w:history="1">
        <w:r>
          <w:rPr>
            <w:rFonts w:ascii="arial" w:eastAsia="arial" w:hAnsi="arial" w:cs="arial"/>
            <w:i/>
            <w:color w:val="0077CC"/>
            <w:sz w:val="20"/>
            <w:u w:val="single"/>
            <w:shd w:val="clear" w:color="auto" w:fill="FFFFFF"/>
            <w:lang w:val="en-US" w:eastAsia="en-US" w:bidi="ar-SA"/>
          </w:rPr>
          <w:t>(1992), 125 A.R. 219</w:t>
        </w:r>
      </w:hyperlink>
      <w:r>
        <w:rPr>
          <w:rFonts w:ascii="arial" w:eastAsia="arial" w:hAnsi="arial" w:cs="arial"/>
          <w:color w:val="000000"/>
          <w:sz w:val="20"/>
          <w:lang w:val="en-US" w:eastAsia="en-US" w:bidi="ar-SA"/>
        </w:rPr>
        <w:t xml:space="preserve"> (C.A.); Gouzenko v. Harris </w:t>
      </w:r>
      <w:hyperlink r:id="rId869" w:history="1">
        <w:r>
          <w:rPr>
            <w:rFonts w:ascii="arial" w:eastAsia="arial" w:hAnsi="arial" w:cs="arial"/>
            <w:i/>
            <w:color w:val="0077CC"/>
            <w:sz w:val="20"/>
            <w:u w:val="single"/>
            <w:shd w:val="clear" w:color="auto" w:fill="FFFFFF"/>
            <w:lang w:val="en-US" w:eastAsia="en-US" w:bidi="ar-SA"/>
          </w:rPr>
          <w:t>(1977), 13 O.R. (2d) 730</w:t>
        </w:r>
      </w:hyperlink>
      <w:r>
        <w:rPr>
          <w:rFonts w:ascii="arial" w:eastAsia="arial" w:hAnsi="arial" w:cs="arial"/>
          <w:color w:val="000000"/>
          <w:sz w:val="20"/>
          <w:lang w:val="en-US" w:eastAsia="en-US" w:bidi="ar-SA"/>
        </w:rPr>
        <w:t xml:space="preserve"> (H.C.J.)). I assess these nominal damages at $100.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 will not award the plaintiff her costs because her success was nominal only. I will not award the defendant its costs because of the disrespectful manner in which it handled the plaintiff's 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SATANOVE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6" style="position:absolute;z-index:2518026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70"/>
          <w:headerReference w:type="default" r:id="rId871"/>
          <w:footerReference w:type="even" r:id="rId872"/>
          <w:footerReference w:type="default" r:id="rId873"/>
          <w:headerReference w:type="first" r:id="rId874"/>
          <w:footerReference w:type="first" r:id="rId87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76" w:history="1">
        <w:r>
          <w:rPr>
            <w:rFonts w:ascii="arial" w:eastAsia="arial" w:hAnsi="arial" w:cs="arial"/>
            <w:b/>
            <w:bCs/>
            <w:i/>
            <w:color w:val="0077CC"/>
            <w:kern w:val="32"/>
            <w:sz w:val="28"/>
            <w:szCs w:val="32"/>
            <w:u w:val="single"/>
            <w:shd w:val="clear" w:color="auto" w:fill="FFFFFF"/>
            <w:lang w:val="en-US" w:eastAsia="en-US" w:bidi="ar-SA"/>
          </w:rPr>
          <w:t>Cunningham v. Greer, [2019] B.C.J. No. 1378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P.K. Shergill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7-11, 15-17, July 26-27, 2018; January 17-18,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24,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M87707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Kelowna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1378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1208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Gordon Mark Cunningham, Plaintiff, and David James Greer and Jocelyn Marie Greer, Defendants And between Gordon Mark Cunningham, Plaintiff, and Anna C. Schlingermann and Ulrich Schilling,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(189 paras.)</w:t>
      </w:r>
    </w:p>
    <w:p>
      <w:pPr>
        <w:jc w:val="both"/>
        <w:rPr>
          <w:rFonts w:ascii="arial" w:eastAsia="arial" w:hAnsi="arial" w:cs="arial"/>
          <w:sz w:val="20"/>
          <w:lang w:val="en-US" w:eastAsia="en-US" w:bidi="ar-SA"/>
        </w:rPr>
      </w:pPr>
      <w:bookmarkStart w:id="197" w:name="Counsel_41"/>
      <w:bookmarkEnd w:id="19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7" style="position:absolute;z-index:2517012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appearing in person: G.M. Cunningham.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D. Graves.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8" w:name="Judgment_41"/>
      <w:bookmarkEnd w:id="198"/>
      <w:r>
        <w:pict>
          <v:line id="_x0000_s1178" style="position:absolute;z-index:25175244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THE FIRST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THE SECOND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PRE-EXISTING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 INJURIES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Right Rib Fracture and Costochondral Dysfunction</w:t>
      </w:r>
    </w:p>
    <w:p>
      <w:pPr>
        <w:numPr>
          <w:numId w:val="1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Onset of Symptoms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Causation</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w:t>
      </w:r>
    </w:p>
    <w:p>
      <w:pPr>
        <w:numPr>
          <w:numId w:val="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Musculoskeletal and Soft Tissue Injuries</w:t>
      </w:r>
    </w:p>
    <w:p>
      <w:pPr>
        <w:numPr>
          <w:numId w:val="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Injuries</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Bruising and Contusions</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Insomnia</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Depression</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Chronic Pain</w:t>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Intervening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VIII.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General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Special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Past Income Loss</w:t>
      </w:r>
    </w:p>
    <w:p>
      <w:pPr>
        <w:numPr>
          <w:numId w:val="1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Causation</w:t>
      </w:r>
    </w:p>
    <w:p>
      <w:pPr>
        <w:numPr>
          <w:numId w:val="1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Pre-Accident Earnings</w:t>
      </w:r>
    </w:p>
    <w:p>
      <w:pPr>
        <w:numPr>
          <w:numId w:val="1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Calculating Losses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 Impairment of Earning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 Future Cost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IX. BAD FAITH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 COSTS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99" w:name="P.K. SHERGILL J."/>
            <w:bookmarkEnd w:id="199"/>
            <w:r>
              <w:rPr>
                <w:rFonts w:ascii="arial" w:eastAsia="arial" w:hAnsi="arial" w:cs="arial"/>
                <w:b/>
                <w:color w:val="000000"/>
                <w:sz w:val="30"/>
                <w:lang w:val="en-US" w:eastAsia="en-US" w:bidi="ar-SA"/>
              </w:rPr>
              <w:t>P.K. SHERGILL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Gordon Mark Cunningham, claims for damages and losses flowing from injuries sustained in two separate motor vehicle collisions, dated June 16, 2008 (the "first collision"), and October 6, 2013 (the "second collision"). Though separate actions were commenced for each collision, both were tried together by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Liability has been admitted in both actions. Remaining for my determination is the amount of compensation payable to Mr. Cunningham as a result of damages and losses arising from each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alleges that the first collision caused him significant injuries to the right side of his body (including broken ribs) and depression. Consequently, he has been permanently disabled from working. Mr. Cunningham further claims that the second collision aggravated the injuries sustained in the first collision, and also caused him new injuries to the left side of his body.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addition to damages for pain and suffering, the plaintiff seeks past wage loss, future loss of earning capacity, costs of future care, and special damages. The plaintiff also seeks punitive damages for bad faith, arguing that the manner in which he was treated by the Insurance Corporation of British Columbia (ICBC) is deserving of sanction.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defendants admit that the plaintiff suffered soft tissue injuries in both collisions, but that these were an aggravation of a pre-existing condition. They further say that Mr. Cunningham's most debilitating injury (rib fractures) was not caused by either accident, and as such, he is not entitled to wage loss, future loss of earning capacity, or costs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trial of this matter commenced in May 2018. However, due to Mr. Cunningham's health and medical issues during the trial, the trial did not complete until January 2019.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Though he had legal counsel to assist him in the early stages of litigation, Mr. Cunningham was self-represented through most of the pre-trial proceedings and at the trial. In addition to testifying on his own behalf, Mr. Cunningham called a number of lay and expert witnesses in support of his claims. While Mr. Cunningham presented as intelligent and capable of representing his own interests, he was not well versed in the trial process and procedure, which resulted in some delays in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Defence counsel has urged me to find that Mr. Cunningham lacks credibility. This is largely based on alleged inconsistencies between Mr. Cunningham's evidence at trial and information provided by him to various healthcare professionals. I agree that there appear to be contradictions between Mr. Cunningham's evidence and some of the entries in the medical records. However, I am not swayed that these apparent contradictions indicate that Mr. Cunningham is attempting to exaggerate his current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As noted in </w:t>
      </w:r>
      <w:r>
        <w:rPr>
          <w:rFonts w:ascii="arial" w:eastAsia="arial" w:hAnsi="arial" w:cs="arial"/>
          <w:i/>
          <w:color w:val="000000"/>
          <w:sz w:val="20"/>
          <w:lang w:val="en-US" w:eastAsia="en-US" w:bidi="ar-SA"/>
        </w:rPr>
        <w:t>Edmondson v. Payer</w:t>
      </w:r>
      <w:r>
        <w:rPr>
          <w:rFonts w:ascii="arial" w:eastAsia="arial" w:hAnsi="arial" w:cs="arial"/>
          <w:color w:val="000000"/>
          <w:sz w:val="20"/>
          <w:lang w:val="en-US" w:eastAsia="en-US" w:bidi="ar-SA"/>
        </w:rPr>
        <w:t xml:space="preserve">, </w:t>
      </w:r>
      <w:hyperlink r:id="rId104" w:history="1">
        <w:r>
          <w:rPr>
            <w:rFonts w:ascii="arial" w:eastAsia="arial" w:hAnsi="arial" w:cs="arial"/>
            <w:i/>
            <w:color w:val="0077CC"/>
            <w:sz w:val="20"/>
            <w:u w:val="single"/>
            <w:shd w:val="clear" w:color="auto" w:fill="FFFFFF"/>
            <w:lang w:val="en-US" w:eastAsia="en-US" w:bidi="ar-SA"/>
          </w:rPr>
          <w:t>2011 BCSC 118</w:t>
        </w:r>
      </w:hyperlink>
      <w:r>
        <w:rPr>
          <w:rFonts w:ascii="arial" w:eastAsia="arial" w:hAnsi="arial" w:cs="arial"/>
          <w:color w:val="000000"/>
          <w:sz w:val="20"/>
          <w:lang w:val="en-US" w:eastAsia="en-US" w:bidi="ar-SA"/>
        </w:rPr>
        <w:t xml:space="preserve"> at para. 34, aff'd </w:t>
      </w:r>
      <w:hyperlink r:id="rId105" w:history="1">
        <w:r>
          <w:rPr>
            <w:rFonts w:ascii="arial" w:eastAsia="arial" w:hAnsi="arial" w:cs="arial"/>
            <w:i/>
            <w:color w:val="0077CC"/>
            <w:sz w:val="20"/>
            <w:u w:val="single"/>
            <w:shd w:val="clear" w:color="auto" w:fill="FFFFFF"/>
            <w:lang w:val="en-US" w:eastAsia="en-US" w:bidi="ar-SA"/>
          </w:rPr>
          <w:t>2012 BCCA 114</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The difficulty with statements in clinical records is that, because they are only a brief summary or paraphrase, there is no record of anything else that may have been said and which might in some way explain, expand upon or qualify a particular doctor's note. The plaintiff will usually have no specific recollection of what was said and, when shown the record on cross- examination, can rarely do more than agree that he or she must have said what the doctor wrote.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observations in </w:t>
      </w:r>
      <w:r>
        <w:rPr>
          <w:rFonts w:ascii="arial" w:eastAsia="arial" w:hAnsi="arial" w:cs="arial"/>
          <w:i/>
          <w:color w:val="000000"/>
          <w:sz w:val="20"/>
          <w:lang w:val="en-US" w:eastAsia="en-US" w:bidi="ar-SA"/>
        </w:rPr>
        <w:t>Edmondson</w:t>
      </w:r>
      <w:r>
        <w:rPr>
          <w:rFonts w:ascii="arial" w:eastAsia="arial" w:hAnsi="arial" w:cs="arial"/>
          <w:color w:val="000000"/>
          <w:sz w:val="20"/>
          <w:lang w:val="en-US" w:eastAsia="en-US" w:bidi="ar-SA"/>
        </w:rPr>
        <w:t xml:space="preserve"> are fitting in this case, and apply equally to consultation reports and hospital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Cunningham testified that he provided more fulsome histories to the various healthcare professionals that treated him, than appear in the records. As he did not author the records, understandably, he had no explanation for why other information provided by him was not recorded.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 also note that it has been over ten years since the first collision. During that time, Mr. Cunningham has seen a number of different healthcare professionals for a myriad of health issues. It is not surprising that there is some variation between Mr. Cunningham's testimony and the entries in the clinical records or histories recorded in the consultation reports, given the "human tendency to reconsider, review and summarize history in light of new information" (</w:t>
      </w:r>
      <w:r>
        <w:rPr>
          <w:rFonts w:ascii="arial" w:eastAsia="arial" w:hAnsi="arial" w:cs="arial"/>
          <w:i/>
          <w:color w:val="000000"/>
          <w:sz w:val="20"/>
          <w:lang w:val="en-US" w:eastAsia="en-US" w:bidi="ar-SA"/>
        </w:rPr>
        <w:t>Burke-Pietramala v. Samad</w:t>
      </w:r>
      <w:r>
        <w:rPr>
          <w:rFonts w:ascii="arial" w:eastAsia="arial" w:hAnsi="arial" w:cs="arial"/>
          <w:color w:val="000000"/>
          <w:sz w:val="20"/>
          <w:lang w:val="en-US" w:eastAsia="en-US" w:bidi="ar-SA"/>
        </w:rPr>
        <w:t xml:space="preserve">, </w:t>
      </w:r>
      <w:hyperlink r:id="rId255" w:history="1">
        <w:r>
          <w:rPr>
            <w:rFonts w:ascii="arial" w:eastAsia="arial" w:hAnsi="arial" w:cs="arial"/>
            <w:i/>
            <w:color w:val="0077CC"/>
            <w:sz w:val="20"/>
            <w:u w:val="single"/>
            <w:shd w:val="clear" w:color="auto" w:fill="FFFFFF"/>
            <w:lang w:val="en-US" w:eastAsia="en-US" w:bidi="ar-SA"/>
          </w:rPr>
          <w:t>2004 BCSC 470</w:t>
        </w:r>
      </w:hyperlink>
      <w:r>
        <w:rPr>
          <w:rFonts w:ascii="arial" w:eastAsia="arial" w:hAnsi="arial" w:cs="arial"/>
          <w:color w:val="000000"/>
          <w:sz w:val="20"/>
          <w:lang w:val="en-US" w:eastAsia="en-US" w:bidi="ar-SA"/>
        </w:rPr>
        <w:t xml:space="preserve"> at para. 104).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Having regard to the whole of the evidence, I am unable to conclude that Mr. Cunningham was engaged in a conscious effort to mislead the Court, or that he exaggerated or embellished the extent of his injuries to advance his litigation goals.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To the contrary, I found Mr. Cunningham to be a credible witness. Though he was sometimes vague on detail, Mr. Cunningham gave his evidence in a forthright manner. He made admissions against self-interest, and readily acknowledged that he may have been mistaken when confronted with documentary evidence that contradicted him. Much of his evidence about his pre- and post-collision functioning was also corroborated by a number of the lay witnesses. Notably, none of the physicians who assessed Mr. Cunningham found him to exhibit signs of exaggerated pain behaviour.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 also note that rather than being outcome focussed, Mr. Cunningham admitted his own limitations in properly assessing his losses, and asked the Court to only award him "whatever is fair".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However, Mr. Cunningham was not an entirely reliable witness. His memory and recall of specific events was poor. He easily got confused and overwhelmed. His evidence was sometimes coloured by his personal view that ICBC (through its agents and employees) had dealt with him in bad faith. This has affected the amount of weight I can place on some of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THE FIRST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June 16, 2008, Mr. Cunningham was travelling northbound in the inside left hand lane on Channel Parkway in Penticton, B.C., while riding a 1987 Harley-Davidson motorcycle. As he approached Warren Avenue, the defendant, Jocelyn Marie Greer, suddenly pulled in front of Mr. Cunningham. Ms. Greer was riding her scooter, which collided with Mr. Cunningham's motorcycle on the right hand side. The impact caused Mr. Cunningham to swerve his motorcycle towards the left hand side of the road, into the meridian dividing the northbound and southbound lanes on Channel Parkway. Mr. Cunningham managed to keep the motorcycle upright and bring it to a full stop. However, the collision caused Ms. Greer to fall to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Cunningham's motorcycle weighs approximately 700 pounds. It was with considerable effort that he was able to keep it upright and prevent it, and himself, from falling. Mr. Cunningham describes doing a "hard" and "deep ab crunch" by digging his elbows into the sides of his body, while he was trying to keep the handlebars straight so that he would not be knocked down when he hit the meridian. The crash bar of the motorcycle twisted around and hit his foot. It came off during the collision, with photographs showing additional damage to the bottom fender of the motorcycle.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Emergency vehicles attended at the scene. Mr. Cunningham was examined by paramedics. Mr. Cunningham was able to drive his motorcycle home. Later that day he attended at the emergency ward of the Penticton Regional Hospital ("PRH") for treatment for injuries sustained in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THE SECOND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October 6, 2013, Mr. Cunningham was driving his motorcycle with his common law wife, Cheryl Engemoen, who was seated in the back. They were heading northbound on Main Street in Penticton, B.C., when they entered the intersection with Eckhardt Street on a green light. The defendant, Ulrich Schilling, was travelling east on Eckhardt Street, and failed to stop on the red light, thereby colliding first with a motor vehicle and second with Mr. Cunningham's motorcycle. As a result of the collision, Mr. Cunningham's motorcycle fell over on the left side, taking Mr. Cunningham and his passenger down with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There was some damage to Mr. Cunningham's motorcycle, but he was able to drive it home. He had pain in the left side of his body including the left foot and left hip. The plaintiff attended his family doctor for treatment for injuries from the second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PRE-EXISTING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Cunningham was suffering from a myriad of conditions, ailments, and injuries prior to the events of June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January 9, 2006, Mr. Cunningham completed an application with the British Columbia Ministry of Human Resources for a "Persons with Disabilities Designation". Although the application was rejected, Mr. Cunningham does not dispute the accuracy of the information supplied by him in the application, which references amongst other things, a recent heart attack, arthritis, carpal tunnel in both hands, left and right shoulder dislocations, rheumatoid arthritis, a compacted disc in the lower back and neck, and intermittent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Cunningham testified that he recovered sufficiently from these physical problems such that he was able to resume his regular work duties by 2006. This is consistent with the information contained in his income tax records (see Table 1 -Summary of Pre-Accident Earnings).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Dr. Vallentyne is a physical medicine and rehabilitation specialist who testified on behalf of the plaintiff. In his medical legal report dated May 19, 2012, Dr. Vallentyne opined that at the time of the first collision, Mr. Cunningham was suffering from the following pre-existing conditions:</w:t>
      </w:r>
      <w:r>
        <w:rPr>
          <w:rFonts w:ascii="arial" w:eastAsia="arial" w:hAnsi="arial" w:cs="arial"/>
          <w:sz w:val="20"/>
          <w:lang w:val="en-US" w:eastAsia="en-US" w:bidi="ar-SA"/>
        </w:rPr>
        <w:cr/>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history of heart attack with elevated cholesterol and high blood pressure;</w:t>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primary diffuse arthritis, including mild degenerative arthritis of the cervical spine, knees, ankles and feet;</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symptomatic pain and stiffness of the neck, knees, ankles, and feet;</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intermittent pain and swelling of the right ankle;</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left shoulder stiffness following a shoulder stabilization procedure;</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intermittent right wrist pain due to a prior wrist fracture that required pinning for stabilization; and</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low back pain due to spondylolisthesis at the lumbosacral junction of the low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Despite these ailments, Mr. Cunningham was independent in his activities of daily living and gainfully employed at the time of the first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 claims that he suffered the following injuries as a result of the June 2008 collision:</w:t>
      </w:r>
      <w:r>
        <w:rPr>
          <w:rFonts w:ascii="arial" w:eastAsia="arial" w:hAnsi="arial" w:cs="arial"/>
          <w:sz w:val="20"/>
          <w:lang w:val="en-US" w:eastAsia="en-US" w:bidi="ar-SA"/>
        </w:rPr>
        <w:cr/>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soft tissue injuries to the right side of his body, including the neck, back, and ribs;</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right side rib fractures and costochondral injury;</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injury to his right ankle, knee, and foot;</w:t>
      </w:r>
    </w:p>
    <w:p>
      <w:pPr>
        <w:numPr>
          <w:numId w:val="2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chronic pain;</w:t>
      </w:r>
    </w:p>
    <w:p>
      <w:pPr>
        <w:numPr>
          <w:numId w:val="2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bruises and contusions;</w:t>
      </w:r>
    </w:p>
    <w:p>
      <w:pPr>
        <w:numPr>
          <w:numId w:val="2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nausea and insomnia; and</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Cunningham claims that the second collision aggravated the injuries sustained in the first collision, and also caused him new injuries to the left side of his body, including his left hip, leg, knee, and foot.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 Right Rib Fracture and Costochondral Dysfunction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Cunningham seeks compensation for fracture of the right ribs and costochondral dysfunction. The defendants submit that this injury is not causally related to either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 April 8, 2009, the plaintiff attended at the emergency ward of PRH due to symptoms of severe right-sided rib pain following a hacking cough. He was examined by Dr. Staples, an internal medicine specialist who was on call duties at PRH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Dr. Staples wrote the following in his consultation report dated April 8, 2009: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HISTORY OF PRESENT ILLNESS: Mr. Cunningham is a long time smoker and has a chronic cough. He produces whitish sputum on a daily basis. He struggled with quitting over the years and particularly so over the last couple of months. In an attempt at exposure therapy, he smoked somewhere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20 and 40 cigarettes in a short period of time about 2 weeks ago. He developed quite a significant cough after this event and in one particularly dramatic paroxysm, he heard a "click" at his right costal margin. This was accompanied by extreme pleuritic pain. He has had severe pain at the site since, both point tenderness and on deep inspiration. He has also developed some overlying ecchymoses. It sounds as though he has fractured some ribs. He clearly denies antecedent trauma.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Dr. Staples could not recall if Mr. Cunningham had provided him with the "history" recorded in his consultation report, saying only that the information had either come from Mr. Cunningham, or from another medical professional who met with Mr. Cunningham that day. Mr. Cunningham was cross-examined on this reported history, and did not deny its general accuracy.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Despite Dr. Staples' suspicion, a CT scan performed on April 9, 2009 did not show any rib fractures.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Cunningham's pain persisted, and on May 26, 2009, he had a follow-up CT scan. This time, a fracture of the right 7th rib was visible. A subsequent x-ray, taken on July 7, 2009, showed fractures of the right 7th and 8th ribs. A November 4, 2009 chest x-ray revealed fractures involving the right 6th, 7th, and 8th ribs.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As the rib fractures were not healing well, Mr. Cunningham was seen by Dr. Luoma, a thoracic surgeon, in January 2010. Dr. Luoma performed surgery on Mr. Cunningham in November 2010 and removed a portion of his costochondral margin.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Though there was improvement after the surgery, Mr. Cunningham continued to have pain on activity. He was referred to Dr. Nelems, a thoracic surgeon and colleague of Dr. Luoma, to consider alternative therapies. Dr. Nelems commenced prolotherapy treatments around the spring of 2013 to address the right-sided costochondral injury. Subsequently, Mr. Cunningham developed pain involving the left costochondral cartilages at around the 7th rib level, for which he also received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Cunningham found the prolotherapy injections beneficial in relieving both his chest pain and his back pain. However, the relief is temporary, and he continues to experience ongoing pain and limitations from the right rib fractures and bilateral costochondral injuries.</w:t>
      </w:r>
      <w:r>
        <w:rPr>
          <w:rFonts w:ascii="arial" w:eastAsia="arial" w:hAnsi="arial" w:cs="arial"/>
          <w:sz w:val="20"/>
          <w:lang w:val="en-US" w:eastAsia="en-US" w:bidi="ar-SA"/>
        </w:rPr>
        <w:cr/>
      </w:r>
    </w:p>
    <w:p>
      <w:pPr>
        <w:numPr>
          <w:numId w:val="2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Onset of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Cunningham testified that he experienced immediate onset of symptoms in the right side of his chest/rib area, following the first collision. He stated that pain in this region persisted through to the following year, worsening around February 2009 after a severe bout of coughing.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Cunningham's testimony was supported in part by Edward McHollister, a heavy duty mechanic and friend of Mr. Cunningham's, who had known Mr. Cunningham for a number of years prior to the subject collisions. Mr. McHollister described the plaintiff as a strong, stoic man. He saw Mr. Cunningham regularly before and after the first collision. Mr. McHollister recalled seeing the plaintiff holding the right side of his ribs shortly after the June 2008 collision. He stated that Mr. Cunningham seemed to be in pain and agony. Some weeks after the first collision, he told Mr. Cunningham to seek medical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However, during the eight months following the first collision, the clinical records do not document complaints of pain to the right side of Mr. Cunningham's rib or chest area. The defence argues that the lack of documented complaints of pain in the right side chest/rib area, indicates that the rib fractures and costochondral injuries are not related to the first collision. Mr. Cunningham explains the absence of documented right side rib pain by the fact that he is stoic by nature, and that his rib pain was being overshadowed by other more prominent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Cunningham testified that immediately following the first collision, he was sore all over, experiencing pain in his back, feet, knee, ankles, and the right side of his chest/rib area. He attended on June 16, 2008, at PRH with various complaints of pain. His right ankle was x-rayed and he was prescribed painkillers and sent home for follow-up care with his family physician. Although Mr. Cunningham says that he reported all of his pain complaints to the emergency room physician, his back, feet, and legs hurt the most. The Emergency Outpatient records only note injury to the right ankle.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On June 17, 2008, Mr. Cunningham completed a CL24 Insurance Claim Application. He noted injuries to his right ankle, lower leg, knee, and lower back. There is no mention of a rib or chest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On June 20, 2008, Mr. Cunningham was examined at the Apple Plaza Walk-In Clinic in Penticton ("Apple Clinic"). The records only note complaints of leg injury and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Cunningham was examined by Dr. Seger, his GP, on June 23, 2008, for injuries sustained in the first collision. The physical examination conducted by Dr. Seger entailed spinal movement. However, while complaints of right ankle and lower back pain are noted, there is no mention of rib or chest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Cunningham attended at the Apple Clinic again in August 2008, to seek treatment for a hacking cough. He admitted under cross-examination that he did not report experiencing any chest pain while coughing.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Cunningham testified that though his symptoms of right-sided rib/chest pain continued, they seemed to improve after a few months following the first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Sometime in February 2009, Mr. Cunningham caught a cold. He noticed a marked increase in pain in his right side rib area after a severe bout of coughing. His chest was x-rayed and he was diagnosed with pneumonia in March 2009. X-rays taken on March 28, 2009, and April 3, 2009, do not reveal any rib fractures.</w:t>
      </w:r>
      <w:r>
        <w:rPr>
          <w:rFonts w:ascii="arial" w:eastAsia="arial" w:hAnsi="arial" w:cs="arial"/>
          <w:sz w:val="20"/>
          <w:lang w:val="en-US" w:eastAsia="en-US" w:bidi="ar-SA"/>
        </w:rPr>
        <w:cr/>
      </w:r>
    </w:p>
    <w:p>
      <w:pPr>
        <w:numPr>
          <w:numId w:val="2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Cunningham argues that he fractured his ribs and suffered a costochondral injury at the time of the first collision. Alternatively, he submits that his ribs were weakened due to the injuries sustained in the first collision, thereby making them susceptible to fracture after a severe bout of coughing.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Cunningham relies on the expert opinions of Dr. Nelems and Dr. Vallentyne to establish a causal connection between the first collision and the rib and costochondral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Tragically, Dr. Nelems passed away in March 2017. For reasons provided in my mid-trial ruling, I accepted Dr. Nelems consultation report dated May 13, 2013, as expert opinion evidence. In his consultation report, Dr. Nelems opines: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this man seems to have had an involvement initially at a motor vehicle accident injury. He then aggravated this syndrome with violent coughing. We have seen this syndrome phenomenon before.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think that the right sided injury is due to the initial disturbance at the time of the accident, although the left side is unrelated to the accident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Dr. Nelems' opinion does not assist Mr. Cunningham in meeting the burden of proof required in order to establish causation. First, Dr. Nelems' opinion lacks detail and analysis such that it is not clear why or how Dr. Nelems arrived at his conclusion that the right-sided rib injury is connected to the first collision. Terms such as "involvement", "this syndrome phenomenon", and "initial disturbance" are not explained in his report. In addition, Dr. Nelems does not set out the facts and assumptions relied upon in support of his opinion. It is unknown whether Dr. Nelems had reviewed (or even had access to) Mr. Cunningham's complete post-accident clinical records prior to preparing the consultation report. All of these frailties are compounded by the fact that Dr. Nelems could not be cross-examined on his opinion, such that I am able to put very little weight on Dr. Nelems'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Vallentyne's evidence also does not support Mr. Cunningham's position that the first collision caused the right rib and costochondral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Dr. Vallentyne is a physical medicine and rehabilitation specialist who provided an opinion at the plaintiff's request. In his first medical legal report dated May 19, 2012, Dr. Vallentyne opines: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it is quite conceivable that Mr. Cunningham might have sustained rib injuries due to ramming of his elbows against the chest wall when trying to stabilize his motorcycle after impact, a rib fracture should have caused immediate pain but this is not recorded in the clinical records. The right-sided chest wall bruising that Mr. Cunningham developed after a prolonged severe bout of coughing in February/09 suggests that the rib fracture occurred around this time. ... The absence of documented symptoms of right-sided chest wall pain after the 2008 MVA up until the time of the coughing spasm in February/09 suggests that the costochondral dysfunction also stemmed from the bout of coughing.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Vallentyne provided a supplemental medical legal report on July 19, 2013, after reviewing consultation reports from Dr. Broder and Dr. Nelems. Dr. Vallentyne opines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If I assume</w:t>
      </w:r>
      <w:r>
        <w:rPr>
          <w:rFonts w:ascii="arial" w:eastAsia="arial" w:hAnsi="arial" w:cs="arial"/>
          <w:color w:val="000000"/>
          <w:sz w:val="20"/>
          <w:lang w:val="en-US" w:eastAsia="en-US" w:bidi="ar-SA"/>
        </w:rPr>
        <w:t xml:space="preserve"> that Mr. Cunningham is truthful in his report that he developed right-sided chest wall pain soon after the index accident, </w:t>
      </w:r>
      <w:r>
        <w:rPr>
          <w:rFonts w:ascii="arial" w:eastAsia="arial" w:hAnsi="arial" w:cs="arial"/>
          <w:color w:val="000000"/>
          <w:sz w:val="20"/>
          <w:u w:val="single"/>
          <w:lang w:val="en-US" w:eastAsia="en-US" w:bidi="ar-SA"/>
        </w:rPr>
        <w:t>if I assume</w:t>
      </w:r>
      <w:r>
        <w:rPr>
          <w:rFonts w:ascii="arial" w:eastAsia="arial" w:hAnsi="arial" w:cs="arial"/>
          <w:color w:val="000000"/>
          <w:sz w:val="20"/>
          <w:lang w:val="en-US" w:eastAsia="en-US" w:bidi="ar-SA"/>
        </w:rPr>
        <w:t xml:space="preserve"> that there was underreporting of right-sided chest wall pain in this clinical records due to focus on other injuries, </w:t>
      </w:r>
      <w:r>
        <w:rPr>
          <w:rFonts w:ascii="arial" w:eastAsia="arial" w:hAnsi="arial" w:cs="arial"/>
          <w:color w:val="000000"/>
          <w:sz w:val="20"/>
          <w:u w:val="single"/>
          <w:lang w:val="en-US" w:eastAsia="en-US" w:bidi="ar-SA"/>
        </w:rPr>
        <w:t>and if I assume</w:t>
      </w:r>
      <w:r>
        <w:rPr>
          <w:rFonts w:ascii="arial" w:eastAsia="arial" w:hAnsi="arial" w:cs="arial"/>
          <w:color w:val="000000"/>
          <w:sz w:val="20"/>
          <w:lang w:val="en-US" w:eastAsia="en-US" w:bidi="ar-SA"/>
        </w:rPr>
        <w:t xml:space="preserve"> that imaging studies of the chest wall were not undertaken prior to the coughing spasms due to the underreporting of symptoms, then I agree with Dr. Nelems that </w:t>
      </w:r>
      <w:r>
        <w:rPr>
          <w:rFonts w:ascii="arial" w:eastAsia="arial" w:hAnsi="arial" w:cs="arial"/>
          <w:color w:val="000000"/>
          <w:sz w:val="20"/>
          <w:u w:val="single"/>
          <w:lang w:val="en-US" w:eastAsia="en-US" w:bidi="ar-SA"/>
        </w:rPr>
        <w:t>it is possible</w:t>
      </w:r>
      <w:r>
        <w:rPr>
          <w:rFonts w:ascii="arial" w:eastAsia="arial" w:hAnsi="arial" w:cs="arial"/>
          <w:color w:val="000000"/>
          <w:sz w:val="20"/>
          <w:lang w:val="en-US" w:eastAsia="en-US" w:bidi="ar-SA"/>
        </w:rPr>
        <w:t xml:space="preserve"> that Mr. Cunningham sustained an injury to the right side of this chest wall as a result of the motorcycle accident in 2008. If that is correct, then it is possible that the coughing spasm that occurred [tilde]8 months post-MVA aggravated this right-sided chest wall injury resulting in full-blown right 6th, 7th, and 8th rib fractures.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An updated medical legal opinion was prepared by Dr. Vallentyne dated October 14, 2018. However, as all of the experts had already testified in May 2018, including Dr. Vallentyne, and the defence had no advance notice of this opinion, I did not permit Mr. Cunningham to tender the report into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At trial, Dr. Vallentyne stated that while Mr. Cunningham may have suffered soft tissue injuries to the right ribs during the first collision, his opinion that the rib fractures were not related to the first collision remained unchanged even after reviewing Dr. Nelems' consultation report. There were several factors which he took into consideration when arriving at his opinion, for example, the lack of medical documentation indicating immediate onset of pain in the right ribs. According to Dr. Vallentyne, rib fractures are usually quite painful and one would expect to have immediate onset of pain, i.e., within minutes of the fracture occurring.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Taken at its best, Dr. Vallentyne's opinion still fails to meet the burden of proof of "but for" causation on a balance of probabilities. At most, Dr. Vallentyne opines that the first collision may have been a </w:t>
      </w:r>
      <w:r>
        <w:rPr>
          <w:rFonts w:ascii="arial" w:eastAsia="arial" w:hAnsi="arial" w:cs="arial"/>
          <w:i/>
          <w:color w:val="000000"/>
          <w:sz w:val="20"/>
          <w:lang w:val="en-US" w:eastAsia="en-US" w:bidi="ar-SA"/>
        </w:rPr>
        <w:t>possible</w:t>
      </w:r>
      <w:r>
        <w:rPr>
          <w:rFonts w:ascii="arial" w:eastAsia="arial" w:hAnsi="arial" w:cs="arial"/>
          <w:color w:val="000000"/>
          <w:sz w:val="20"/>
          <w:lang w:val="en-US" w:eastAsia="en-US" w:bidi="ar-SA"/>
        </w:rPr>
        <w:t xml:space="preserve"> cause of the rib fractures and costochondral injury. To establish causation, the plaintiff needs to establish </w:t>
      </w:r>
      <w:r>
        <w:rPr>
          <w:rFonts w:ascii="arial" w:eastAsia="arial" w:hAnsi="arial" w:cs="arial"/>
          <w:i/>
          <w:color w:val="000000"/>
          <w:sz w:val="20"/>
          <w:lang w:val="en-US" w:eastAsia="en-US" w:bidi="ar-SA"/>
        </w:rPr>
        <w:t>probable</w:t>
      </w:r>
      <w:r>
        <w:rPr>
          <w:rFonts w:ascii="arial" w:eastAsia="arial" w:hAnsi="arial" w:cs="arial"/>
          <w:color w:val="000000"/>
          <w:sz w:val="20"/>
          <w:lang w:val="en-US" w:eastAsia="en-US" w:bidi="ar-SA"/>
        </w:rPr>
        <w:t xml:space="preserve"> cause, i.e., that it is more probable than not that he would not have suffered his injuries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111"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Dr. Reebye is a physical medicine and rehabilitation specialist retained by the defendants. While acknowledging that the plaintiff may have sustained a soft tissue injury to the right chest during the first collision, Dr. Reebye opines that this injury was highly unlikely to have caused fractures or weakening of his ribs. Dr. Reebye acknowledged under cross-examination that while uncommon, bouts of cough can result in a fracture to the ribs if they are severe and persistent. He also agreed that any condition that weakens the bones, such as arthritis, osteoporosis, or smoking, can cause the ribs to be more susceptible to fracture. However, Dr. Reebye was firm in his opinion that the first collision was not of causative significance to the right rib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Dr. Connell is a musculoskeletal radiologist retained by the defendants. He provided an expert opinion report dated December 6, 2009, and also testified at the trial. After reviewing Mr. Cunningham's x-ray and CT scans, Dr. Connell concludes that the rib fractures are not related to the collision of June 16, 2008. In support of this opinion, Dr. Connell points to the lack of radiological evidence prior to the CT scan of May 2009. While he admits that it is possible that a rib fracture may not have been visible on the March and April 2009 chest x-rays, had there been a rib fracture prior to May 2009, it would have been visible on the CT scan conducted in April 2009.</w:t>
      </w:r>
      <w:r>
        <w:rPr>
          <w:rFonts w:ascii="arial" w:eastAsia="arial" w:hAnsi="arial" w:cs="arial"/>
          <w:sz w:val="20"/>
          <w:lang w:val="en-US" w:eastAsia="en-US" w:bidi="ar-SA"/>
        </w:rPr>
        <w:cr/>
      </w:r>
    </w:p>
    <w:p>
      <w:pPr>
        <w:numPr>
          <w:numId w:val="2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Having regard to all the evidence in this case, the plaintiff has failed to prove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his rib fractures and costochondral injury. In arriving at this conclusion, I accept Mr. Cunningham's evidence that he developed right-sided chest wall pain soon after the first collision, and that he underreported his symptoms of right-sided chest wall pain due to focus on other injuries. However, the evidence supports a finding that the chest pain complained of by Mr. Cunningham was due to soft tissue injuries, and not rib fractures.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There is insufficient evidence to conclude that Mr. Cunningham's rib fractures occurred on June 16, 2008 as a result of the first collision. Both Dr. Vallentyne and Dr. Reebye testified that a rib fracture is extremely painful and would result in immediate onset of severe pain. Yet there was over an eight-month gap between the first collision and documented reports of right-sided chest/rib pain. I find it improbable that if Mr. Cunningham had fractured one or more ribs during the June 16, 2008 collision, this pain would have been overshadowed by his other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Dr. Vallentyne testified that a rib fracture would be aggravated by spinal movement and coughing. Despite having his spine manipulated during the physical examination by Dr. Seger a week after the first collision, there is no notation of chest pain. Similarly, though the plaintiff presented at the Apple Clinic in August with a hacking cough, no complaints of chest or rib pain are noted.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first documented notation of right-sided rib pain is during the plaintiff's April 2009 visit with Dr. Staples at PRH. Dr. Staples' clinical records detail a significant history of heavy smoking in the weeks leading up to the appointment, followed by a significant cough and "one particularly dramatic paroxysm" where Mr. Cunningham was reported to have heard a "click" at his right costal margin, which "was accompanied by extreme pleuritic pain" and "severe pain at the site since, both point tenderness and on deep inspiration". Mr. Cunningham did not deny this sequence of events. The evidence supports a finding that the right rib fracture seen on the May 2009 CT scan most probably occurred sometime during this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There is also insufficient medical evidence to support a finding that the soft tissue injuries suffered by Mr. Cunningham during the first collision weakened his ribs and made them susceptible to later fracture. I accept that in theory it is </w:t>
      </w:r>
      <w:r>
        <w:rPr>
          <w:rFonts w:ascii="arial" w:eastAsia="arial" w:hAnsi="arial" w:cs="arial"/>
          <w:i/>
          <w:color w:val="000000"/>
          <w:sz w:val="20"/>
          <w:lang w:val="en-US" w:eastAsia="en-US" w:bidi="ar-SA"/>
        </w:rPr>
        <w:t>possible</w:t>
      </w:r>
      <w:r>
        <w:rPr>
          <w:rFonts w:ascii="arial" w:eastAsia="arial" w:hAnsi="arial" w:cs="arial"/>
          <w:color w:val="000000"/>
          <w:sz w:val="20"/>
          <w:lang w:val="en-US" w:eastAsia="en-US" w:bidi="ar-SA"/>
        </w:rPr>
        <w:t xml:space="preserve"> for such a medical phenomenon to occur. However, the medical evidence falls far short of establishing that injuries sustained in the first collision weakened his ribs and made them susceptible to fracture or costochondral injury.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 Musculoskeletal and Soft Tissue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parties also disagree on which musculoskeletal and soft tissue injuries are compensable. Mr. Cunningham submits that the collisions caused him to suffer soft tissue injuries to his neck, back, chest/rib area, right ankle, both knees, both feet, and left hip. In addition, he submits that the collisions caused a permanent aggravation of pre-existing degenerative arthritis and lumbar spondylolisthesis.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defendants submit that Mr. Cunningham only suffered injuries in the first collision, which were to his right knee, ankle, foot, and lower back. They maintain that these injuries were soft tissue in nature and that he recovered from them fully within a few short months of the first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During his physical examination of Mr. Cunningham in February 2012, Dr. Reebye noted decreased range of movement in the neck and right ankle, with pain and tightness in the right hip, noting further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Movements of his lower back are limited in all directions with limited toe-touching, reporting of pain in his lower ribs and his lower back. Leaning backwards, leaning to the right and left and twisting to the right and left are all limited because of stiffness and pain in his lower back and in his ribs.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his medical legal report dated May 19, 2012, Dr. Vallentyne states the following:</w:t>
      </w:r>
      <w:r>
        <w:rPr>
          <w:rFonts w:ascii="arial" w:eastAsia="arial" w:hAnsi="arial" w:cs="arial"/>
          <w:sz w:val="20"/>
          <w:lang w:val="en-US" w:eastAsia="en-US" w:bidi="ar-SA"/>
        </w:rPr>
        <w:cr/>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Symptomatic Enhancement of Pre-existing Degenerative Arthritis. It is my opinion that Mr. Cunningham sustained a soft tissue injury and contusion of the right knee, ankle, and foot as a result of the 2008 accident. The motorcycle accident resulted in symptomatic worsening of the pre-existing degenerative arthritis of the knees and ankles. Given that the increased pain has been persistent, this represents a permanent enhancement as opposed to a temporary aggravation of this pre-existing condition. The enhancement has been of a symptomatic nature without evidence of increased signs of arthritis on x-rays. No late complications are expected. Specifically, although arthritis is a chronic and progressive condition, the rate of deterioration will not be accelerated as a result of motorcycle accident in question.</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Symptomatic Enhancement of Pre-existing Lumbar Spondylolisthesis. It is difficult to differentiate between chronic soft tissue injury of the low back versus symptomatic enhancement of the pre-existing spondylolisthesis (slippage of one vertebra on top of another). In any case, there has been persistent worsening of pre-existing low back pain as a result of the 2008 MVA. X-rays did not reveal any anatomic progression of the lumbar slippage. No late complications are expected as a result of the accident although the pre-existing spondylolisthesis will accelerate degeneration at the level of involvement.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following summarizes Dr. Reebye's opposing opinion as expressed in his medical legal report dated May 1, 2012:</w:t>
      </w:r>
      <w:r>
        <w:rPr>
          <w:rFonts w:ascii="arial" w:eastAsia="arial" w:hAnsi="arial" w:cs="arial"/>
          <w:sz w:val="20"/>
          <w:lang w:val="en-US" w:eastAsia="en-US" w:bidi="ar-SA"/>
        </w:rPr>
        <w:cr/>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Cunningham suffered soft tissue injuries of mild-to-moderate intensity in his ankles, legs, back and torso, which should have healed within about six weeks, although aches and pains can be experienced for longer periods due to a number of factors such as physical, environmental, and psychological;</w:t>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Cunningham suffered mild-to-moderate soft tissue injuries in both ankles, which were responsible for aches and pains with some limitation of activities for a few months;</w:t>
      </w:r>
    </w:p>
    <w:p>
      <w:pPr>
        <w:numPr>
          <w:numId w:val="3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ongoing aches and pains in his right ankle and limited range of movements are more likely from Mr. Cunningham's pre-existing history of a right ankle injury rather than injury sustained in the 2008 collision;</w:t>
      </w:r>
    </w:p>
    <w:p>
      <w:pPr>
        <w:numPr>
          <w:numId w:val="3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2008 collision did not cause acceleration of Mr. Cunningham's pre-existing degenerative changes in his spine and other joints;</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Cunningham may have suffered mild soft tissue injuries on the right side of his chest;</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unlikely that Mr. Cunningham has or will suffer permanent physical impairment from the 2008 collision; and</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Cunningham's ongoing present disability is not related to the June 2008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Dr. Vallentyne addressed Dr. Reebye's opinion in a subsequent medical legal report dated May 19, 2012, noting:</w:t>
      </w:r>
      <w:r>
        <w:rPr>
          <w:rFonts w:ascii="arial" w:eastAsia="arial" w:hAnsi="arial" w:cs="arial"/>
          <w:sz w:val="20"/>
          <w:lang w:val="en-US" w:eastAsia="en-US" w:bidi="ar-SA"/>
        </w:rPr>
        <w:cr/>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Cunningham's increase in joint pain stemming from the MVA is unlikely to get much better in the future (i.e, he will remain worse since the accident);</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majority of cases of soft tissue injuries settle down quickly, although Dr. Reebye suggests that this occurs within six weeks whereas Dr. Vallentyne estimates 3-6 months; and</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small subgroup of whiplash survivors who progress from acute soft tissue injuries to chronic pain syndromes, and persistent symptoms of this subgroup relate to a mix of physical, ergonomic, and psychological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main area of disagreement between Dr. Vallentyne and Dr. Reebye is whether or not the 2008 collision caused any worsening of Mr. Cunningham's underlying arthritis. After having regard to all of the evidence, I conclude that it did. In arriving at this conclusion, I have given careful consideration to all of the evidence, including the testimony of the plaintiff and various lay witnesses, the medical experts, and the documentary evidence. I have given more weight to Dr. Vallentyne's opinion than that of Dr. Reebye, as I found Dr. Vallentyne's opinion to be more thorough, medically sound, and balanced. The facts and assumptions upon which Dr. Vallentyne relies are also supported by the evidence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Dr. Unger is Mr. Cunningham's family doctor. He assumed care of Mr. Cunningham from his previous GP, Dr. Allen, in October 2017. Dr. Unger's report, dated February 26, 2018, was accepted into evidence at trial. The defendants did not object to the admissibility of Dr. Unger's report, nor did they seek to cross examine Dr. Unger. In his report, Dr. Unger provides an update of Mr. Cunningham's current condition. The update is taken from a history provided to him by Mr. Cunningham during his clinical visits.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Dr. Unger notes that Mr. Cunningham has received only short-lived benefit from pain relief using prolotherapy. Though tramacet offers some additional pain relief, he uses it only occasionally as it compounds his low mood and lack of energy. Mr. Cunningham suffers from poor sleep and libido, and continues to have functional limitations. Simple tasks such as wiping his backside while going to the toilet are difficult due to pain and poor thoracic and spinal mobility. Dr. Unger notes that Mr. Cunningham has also reported functional limitations with bending, lifting, and basic yard-work and housework.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According to Dr. Unger, Mr. Cunningham's functional limitations are compounded by his physical deconditioning and weight gain since the initial injuries. Since 2013, the plaintiff has gained 26 pounds. Though his affect appeared to be mildly depressed and reactive, his depression rating score indicates moderately severe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Dr. Unger noted ongoing tenderness over the costochondral joints, more so on the right side, with notable crepitus. Thoracic and lumbar spinal range of motion testing shows limitations in his right lateral flexion with restriction also in the C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After having regard to the whole of the evidence, I find that the second collision caused further injury to Mr. Cunningham such that he has not returned to his pre-2013 collision 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Though relatively minor in terms of physical damage to the motorcycle that Mr. Cunningham was riding, the impact of the second collision was sufficient to cause Mr. Cunningham to lose control of his motorcycle, causing both passengers and the motorcycle to fall to the ground to the left hand side. The mechanism of this accident was such that Mr. Cunningham's left foot and hip were underneath the motorcycle when Mr. Cunningham fell, hitting the cement. Mr. Cunningham testified that the second collision aggravated his back injury from the first collision, as well as caused injury to his left hip and foot.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 Cunningham was examined by his GP on October 23, 2013, for injuries sustained in the second collision. Notations in the GP clinical records record low back and left-sided pain. Subsequent visits note "pain in the chest from the new mva" and "very painful ribs" and complaints of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Defence counsel argues that there is no evidence that Mr. Cunningham was injured in the second collision. In his written submissions, Mr. Graves writes: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In regard to MVA #2, there is no medical opinion as to what injuries the Plaintiff suffered in that Accident. In his direct examination, when asked by the Court as to whether or not MVA #2 worsened his complaints, the Plaintiff answered "</w:t>
      </w:r>
      <w:r>
        <w:rPr>
          <w:rFonts w:ascii="arial" w:eastAsia="arial" w:hAnsi="arial" w:cs="arial"/>
          <w:i/>
          <w:color w:val="000000"/>
          <w:sz w:val="20"/>
          <w:lang w:val="en-US" w:eastAsia="en-US" w:bidi="ar-SA"/>
        </w:rPr>
        <w:t>maybe a little worse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First, I do not find the plaintiff's response that the second collision "maybe" made the injuries from his first collision "a little worse" as an indication that he was not injured in the second collision. The plaintiff's testimony is more consistent with his evidence that he found it difficult to distinguish between the injuries and pain from the first collision and those from the second collision. This is understandable, given the passage of time between the second collision and his testimony at trial, and the plaintiff's state of mind following the second collision. The plaintiff testified that after the second collision occurred, "My first reaction was to get on my bike and get away. I did not want anything to do with ICBC... I had already been driven half crazy from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Second, it is a well established legal principle that recovery for a physical injury does not require the plaintiff to adduce expert evidence: </w:t>
      </w:r>
      <w:r>
        <w:rPr>
          <w:rFonts w:ascii="arial" w:eastAsia="arial" w:hAnsi="arial" w:cs="arial"/>
          <w:i/>
          <w:color w:val="000000"/>
          <w:sz w:val="20"/>
          <w:lang w:val="en-US" w:eastAsia="en-US" w:bidi="ar-SA"/>
        </w:rPr>
        <w:t>Saadati v. Moorhead</w:t>
      </w:r>
      <w:r>
        <w:rPr>
          <w:rFonts w:ascii="arial" w:eastAsia="arial" w:hAnsi="arial" w:cs="arial"/>
          <w:color w:val="000000"/>
          <w:sz w:val="20"/>
          <w:lang w:val="en-US" w:eastAsia="en-US" w:bidi="ar-SA"/>
        </w:rPr>
        <w:t xml:space="preserve">, </w:t>
      </w:r>
      <w:hyperlink r:id="rId114" w:history="1">
        <w:r>
          <w:rPr>
            <w:rFonts w:ascii="arial" w:eastAsia="arial" w:hAnsi="arial" w:cs="arial"/>
            <w:i/>
            <w:color w:val="0077CC"/>
            <w:sz w:val="20"/>
            <w:u w:val="single"/>
            <w:shd w:val="clear" w:color="auto" w:fill="FFFFFF"/>
            <w:lang w:val="en-US" w:eastAsia="en-US" w:bidi="ar-SA"/>
          </w:rPr>
          <w:t>2017 SCC 28</w:t>
        </w:r>
      </w:hyperlink>
      <w:r>
        <w:rPr>
          <w:rFonts w:ascii="arial" w:eastAsia="arial" w:hAnsi="arial" w:cs="arial"/>
          <w:color w:val="000000"/>
          <w:sz w:val="20"/>
          <w:lang w:val="en-US" w:eastAsia="en-US" w:bidi="ar-SA"/>
        </w:rPr>
        <w:t xml:space="preserve"> at para. 2. It is open to the court, in the absence of a medical opinion, to find that the plaintiff has suffered injuries due to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evidence in this case supports such a finding.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plaintiff has established on a balance of probabilities that as a result of the first collision, he suffered moderate to severe soft tissue injuries to his neck, low back, and the right side of his body, including the chest and rib area, right ankle, right knee, and right foot. These injuries continue to be symptomatic. I find that the plaintiff is amongst the small percentage of people that do not recover from these types of soft tissue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addition, I find that the first motor vehicle collision caused a permanent symptomatic worsening of the pre-existing degenerative arthritis of both knees and ankles. I also accept Dr. Vallentyne's opinion that there has been a permanent worsening of the plaintiff's pre-existing low back pain, bearing in mind that it is difficult to differentiate between chronic soft tissue injury of the low back versus symptomatic enhancement of the pre-existing spondylolisthesis.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plaintiff has also established on a balance of probabilities, that as a result of the second collision, he suffered injuries to the left side of his body, including his left hip, left leg, left knee, and left foot, as well as aggravation of his pre-existing injuries from the first collision, particularly his low back. While these injuries are less significant than those suffered from the first collision, they continue to cause him pain and disability.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 Other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Mr. Cunningham also seeks damages for nausea, bruises and contusions, insomnia, depression and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There was no evidence of Mr. Cunningham experiencing nausea following either collision; therefore, I do not find that he did.</w:t>
      </w:r>
      <w:r>
        <w:rPr>
          <w:rFonts w:ascii="arial" w:eastAsia="arial" w:hAnsi="arial" w:cs="arial"/>
          <w:sz w:val="20"/>
          <w:lang w:val="en-US" w:eastAsia="en-US" w:bidi="ar-SA"/>
        </w:rPr>
        <w:cr/>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Bruising and Contusions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While there was insufficient evidence of contusions, there was evidence that the plaintiff had some bruising after each collision. These bruises were minor in nature and appear to have healed within a few weeks after each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 reject Mr. Cunningham's allegation that Dr. Reebye caused a bruise to the plaintiff's torso during a physical examination of Mr. Cunningham. Dr. Reebye denied that he inflicted enough force to cause such a bruise, and I am not swayed by Mr. Cunningham's contrary assertion. I find that Mr. Cunningham's view of what occurred during the examination by Dr. Reebye was coloured by his frustration and anger at the events immediately preceding the appointment. Apparently defence counsel's office had mixed-up the dates for the appointment, causing Mr. Cunningham to miss a prior commitment to pick Ms. Engemoen up from the hospital following a medical procedure.</w:t>
      </w:r>
      <w:r>
        <w:rPr>
          <w:rFonts w:ascii="arial" w:eastAsia="arial" w:hAnsi="arial" w:cs="arial"/>
          <w:sz w:val="20"/>
          <w:lang w:val="en-US" w:eastAsia="en-US" w:bidi="ar-SA"/>
        </w:rPr>
        <w:cr/>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Insomnia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There is evidence that Mr. Cunningham suffered insomnia due to his injuries. The injuries and pain made it difficult for him to find a comfortable sleeping position. This difficulty continues to date. There is no evidence that Mr. Cunningham suffered from any sleep-related difficulties prior to the first collision.</w:t>
      </w:r>
      <w:r>
        <w:rPr>
          <w:rFonts w:ascii="arial" w:eastAsia="arial" w:hAnsi="arial" w:cs="arial"/>
          <w:sz w:val="20"/>
          <w:lang w:val="en-US" w:eastAsia="en-US" w:bidi="ar-SA"/>
        </w:rPr>
        <w:cr/>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The plaintiff asks me to find that he suffered depression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though depression was not specifically pleaded in the pleadings. I will therefore first address whether the claim is properly brought.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defendants did not object to the plaintiff advancing this claim for psychological injury at trial. They also did not make any submissions on whether psychological injury had been 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Though the pleadings do not specify depression, the pleadings are broad and general. In the pleadings for the first action, the plaintiff seeks damages for "physical injuries and other loss and damage". The plaintiff specifies a claim for chronic pain (a form of psychological injury) and notes "further particulars of injuries to be determined". The plaintiff also claims that the injuries have caused him "pain, suffering, loss of enjoyment of life...". In the pleadings for the second action, the plaintiff seeks compensation for aggravation to existing injuries, and claims for "pain, suffering and loss of enjoyment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Saadati</w:t>
      </w:r>
      <w:r>
        <w:rPr>
          <w:rFonts w:ascii="arial" w:eastAsia="arial" w:hAnsi="arial" w:cs="arial"/>
          <w:color w:val="000000"/>
          <w:sz w:val="20"/>
          <w:lang w:val="en-US" w:eastAsia="en-US" w:bidi="ar-SA"/>
        </w:rPr>
        <w:t>, the Court found that similarly worded pleadings were sufficient to advance a claim for psychological injury, noting at para. 10 that "[i]n claims for negligently caused mental injury, it is generally sufficient that the pleadings allege some form of such injury (</w:t>
      </w:r>
      <w:r>
        <w:rPr>
          <w:rFonts w:ascii="arial" w:eastAsia="arial" w:hAnsi="arial" w:cs="arial"/>
          <w:i/>
          <w:color w:val="000000"/>
          <w:sz w:val="20"/>
          <w:lang w:val="en-US" w:eastAsia="en-US" w:bidi="ar-SA"/>
        </w:rPr>
        <w:t>Odhavji Estate v. Woodhouse</w:t>
      </w:r>
      <w:r>
        <w:rPr>
          <w:rFonts w:ascii="arial" w:eastAsia="arial" w:hAnsi="arial" w:cs="arial"/>
          <w:color w:val="000000"/>
          <w:sz w:val="20"/>
          <w:lang w:val="en-US" w:eastAsia="en-US" w:bidi="ar-SA"/>
        </w:rPr>
        <w:t xml:space="preserve">, </w:t>
      </w:r>
      <w:hyperlink r:id="rId632" w:history="1">
        <w:r>
          <w:rPr>
            <w:rFonts w:ascii="arial" w:eastAsia="arial" w:hAnsi="arial" w:cs="arial"/>
            <w:i/>
            <w:color w:val="0077CC"/>
            <w:sz w:val="20"/>
            <w:u w:val="single"/>
            <w:shd w:val="clear" w:color="auto" w:fill="FFFFFF"/>
            <w:lang w:val="en-US" w:eastAsia="en-US" w:bidi="ar-SA"/>
          </w:rPr>
          <w:t>2003 SCC 69</w:t>
        </w:r>
      </w:hyperlink>
      <w:r>
        <w:rPr>
          <w:rFonts w:ascii="arial" w:eastAsia="arial" w:hAnsi="arial" w:cs="arial"/>
          <w:color w:val="000000"/>
          <w:sz w:val="20"/>
          <w:lang w:val="en-US" w:eastAsia="en-US" w:bidi="ar-SA"/>
        </w:rPr>
        <w:t xml:space="preserve">, </w:t>
      </w:r>
      <w:hyperlink r:id="rId632" w:history="1">
        <w:r>
          <w:rPr>
            <w:rFonts w:ascii="arial" w:eastAsia="arial" w:hAnsi="arial" w:cs="arial"/>
            <w:i/>
            <w:color w:val="0077CC"/>
            <w:sz w:val="20"/>
            <w:u w:val="single"/>
            <w:shd w:val="clear" w:color="auto" w:fill="FFFFFF"/>
            <w:lang w:val="en-US" w:eastAsia="en-US" w:bidi="ar-SA"/>
          </w:rPr>
          <w:t>[2003] 3 S.C.R. 263</w:t>
        </w:r>
      </w:hyperlink>
      <w:r>
        <w:rPr>
          <w:rFonts w:ascii="arial" w:eastAsia="arial" w:hAnsi="arial" w:cs="arial"/>
          <w:color w:val="000000"/>
          <w:sz w:val="20"/>
          <w:lang w:val="en-US" w:eastAsia="en-US" w:bidi="ar-SA"/>
        </w:rPr>
        <w:t>, at para. 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I also note that the plaintiff testified about the depression without any objection from counsel. Further, Dr. Reebye's and Dr. Vallentyne's expert opinion reports both note the existence of psychological issues which require treatment. As in </w:t>
      </w:r>
      <w:r>
        <w:rPr>
          <w:rFonts w:ascii="arial" w:eastAsia="arial" w:hAnsi="arial" w:cs="arial"/>
          <w:i/>
          <w:color w:val="000000"/>
          <w:sz w:val="20"/>
          <w:lang w:val="en-US" w:eastAsia="en-US" w:bidi="ar-SA"/>
        </w:rPr>
        <w:t>Saadati</w:t>
      </w:r>
      <w:r>
        <w:rPr>
          <w:rFonts w:ascii="arial" w:eastAsia="arial" w:hAnsi="arial" w:cs="arial"/>
          <w:color w:val="000000"/>
          <w:sz w:val="20"/>
          <w:lang w:val="en-US" w:eastAsia="en-US" w:bidi="ar-SA"/>
        </w:rPr>
        <w:t xml:space="preserve">, the many allegations of depression contained in Mr. Cunningham's evidence and closing submissions, combined with the broad heads of damage alleged in the pleadings, provide ample notice to the defendants: </w:t>
      </w:r>
      <w:r>
        <w:rPr>
          <w:rFonts w:ascii="arial" w:eastAsia="arial" w:hAnsi="arial" w:cs="arial"/>
          <w:i/>
          <w:color w:val="000000"/>
          <w:sz w:val="20"/>
          <w:lang w:val="en-US" w:eastAsia="en-US" w:bidi="ar-SA"/>
        </w:rPr>
        <w:t>Saadati</w:t>
      </w:r>
      <w:r>
        <w:rPr>
          <w:rFonts w:ascii="arial" w:eastAsia="arial" w:hAnsi="arial" w:cs="arial"/>
          <w:color w:val="000000"/>
          <w:sz w:val="20"/>
          <w:lang w:val="en-US" w:eastAsia="en-US" w:bidi="ar-SA"/>
        </w:rPr>
        <w:t xml:space="preserve"> at para.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 will now turn to an analysis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At the outset, I note the lack of expert evidence regarding the existence of a depressive illness. However, while expert evidence can assist in determining whether a mental injury has been proven, it is not necessary to have expert evidence to prove such a claim. Rather, it is open to the trial judge to find, on other evidence adduced by the plaintiff, that he or she has proven on a balance of probabilities the occurrence of the mental injury: </w:t>
      </w:r>
      <w:r>
        <w:rPr>
          <w:rFonts w:ascii="arial" w:eastAsia="arial" w:hAnsi="arial" w:cs="arial"/>
          <w:i/>
          <w:color w:val="000000"/>
          <w:sz w:val="20"/>
          <w:lang w:val="en-US" w:eastAsia="en-US" w:bidi="ar-SA"/>
        </w:rPr>
        <w:t>Saadati</w:t>
      </w:r>
      <w:r>
        <w:rPr>
          <w:rFonts w:ascii="arial" w:eastAsia="arial" w:hAnsi="arial" w:cs="arial"/>
          <w:color w:val="000000"/>
          <w:sz w:val="20"/>
          <w:lang w:val="en-US" w:eastAsia="en-US" w:bidi="ar-SA"/>
        </w:rPr>
        <w:t xml:space="preserve"> at para.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Saadati</w:t>
      </w:r>
      <w:r>
        <w:rPr>
          <w:rFonts w:ascii="arial" w:eastAsia="arial" w:hAnsi="arial" w:cs="arial"/>
          <w:color w:val="000000"/>
          <w:sz w:val="20"/>
          <w:lang w:val="en-US" w:eastAsia="en-US" w:bidi="ar-SA"/>
        </w:rPr>
        <w:t>, the Court was asked to determine whether recovery for mental injury requires a plaintiff to prove, through expert medical opinion evidence, a "recognizable [or recognized] psychiatric illness". In overturning the appeal court decision, and restoring the trial judge's award for damages to the plaintiff for psychological injuries, the Court held that "a finding of legally compensable mental injury need not rest, in whole or in part, on the claimant proving a recognized psychiatric illness" (</w:t>
      </w:r>
      <w:r>
        <w:rPr>
          <w:rFonts w:ascii="arial" w:eastAsia="arial" w:hAnsi="arial" w:cs="arial"/>
          <w:i/>
          <w:color w:val="000000"/>
          <w:sz w:val="20"/>
          <w:lang w:val="en-US" w:eastAsia="en-US" w:bidi="ar-SA"/>
        </w:rPr>
        <w:t>Saadati</w:t>
      </w:r>
      <w:r>
        <w:rPr>
          <w:rFonts w:ascii="arial" w:eastAsia="arial" w:hAnsi="arial" w:cs="arial"/>
          <w:color w:val="000000"/>
          <w:sz w:val="20"/>
          <w:lang w:val="en-US" w:eastAsia="en-US" w:bidi="ar-SA"/>
        </w:rPr>
        <w:t xml:space="preserve"> at para.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Court noted that "the trier of fact's inquiry should be directed to the level of harm that the claimant's particular symptoms represent, not to whether a label could be attached to them" (para.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To establish mental injury, the plaintiff must show that the mental disturbance she is suffering is "serious and prolonged and rise[s] above the ordinary annoyances, anxieties and fears" which come with living in civil society (</w:t>
      </w:r>
      <w:r>
        <w:rPr>
          <w:rFonts w:ascii="arial" w:eastAsia="arial" w:hAnsi="arial" w:cs="arial"/>
          <w:i/>
          <w:color w:val="000000"/>
          <w:sz w:val="20"/>
          <w:lang w:val="en-US" w:eastAsia="en-US" w:bidi="ar-SA"/>
        </w:rPr>
        <w:t>Mustapha v. Culligan of Canada Ltd.</w:t>
      </w:r>
      <w:r>
        <w:rPr>
          <w:rFonts w:ascii="arial" w:eastAsia="arial" w:hAnsi="arial" w:cs="arial"/>
          <w:color w:val="000000"/>
          <w:sz w:val="20"/>
          <w:lang w:val="en-US" w:eastAsia="en-US" w:bidi="ar-SA"/>
        </w:rPr>
        <w:t xml:space="preserve">, </w:t>
      </w:r>
      <w:hyperlink r:id="rId795" w:history="1">
        <w:r>
          <w:rPr>
            <w:rFonts w:ascii="arial" w:eastAsia="arial" w:hAnsi="arial" w:cs="arial"/>
            <w:i/>
            <w:color w:val="0077CC"/>
            <w:sz w:val="20"/>
            <w:u w:val="single"/>
            <w:shd w:val="clear" w:color="auto" w:fill="FFFFFF"/>
            <w:lang w:val="en-US" w:eastAsia="en-US" w:bidi="ar-SA"/>
          </w:rPr>
          <w:t>2008 SCC 27</w:t>
        </w:r>
      </w:hyperlink>
      <w:r>
        <w:rPr>
          <w:rFonts w:ascii="arial" w:eastAsia="arial" w:hAnsi="arial" w:cs="arial"/>
          <w:color w:val="000000"/>
          <w:sz w:val="20"/>
          <w:lang w:val="en-US" w:eastAsia="en-US" w:bidi="ar-SA"/>
        </w:rPr>
        <w:t xml:space="preserve"> at para. 9; </w:t>
      </w:r>
      <w:r>
        <w:rPr>
          <w:rFonts w:ascii="arial" w:eastAsia="arial" w:hAnsi="arial" w:cs="arial"/>
          <w:i/>
          <w:color w:val="000000"/>
          <w:sz w:val="20"/>
          <w:lang w:val="en-US" w:eastAsia="en-US" w:bidi="ar-SA"/>
        </w:rPr>
        <w:t>Saadati</w:t>
      </w:r>
      <w:r>
        <w:rPr>
          <w:rFonts w:ascii="arial" w:eastAsia="arial" w:hAnsi="arial" w:cs="arial"/>
          <w:color w:val="000000"/>
          <w:sz w:val="20"/>
          <w:lang w:val="en-US" w:eastAsia="en-US" w:bidi="ar-SA"/>
        </w:rPr>
        <w:t xml:space="preserve"> at para.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While there is a lack of opinion evidence from a qualified expert supporting a formal diagnosis of depression, there is ample evidence that Mr. Cunningham experienced a serious and prolonged disruption to his mental state that has transcended ordinary emotional upset or mental distress: </w:t>
      </w:r>
      <w:r>
        <w:rPr>
          <w:rFonts w:ascii="arial" w:eastAsia="arial" w:hAnsi="arial" w:cs="arial"/>
          <w:i/>
          <w:color w:val="000000"/>
          <w:sz w:val="20"/>
          <w:lang w:val="en-US" w:eastAsia="en-US" w:bidi="ar-SA"/>
        </w:rPr>
        <w:t>Saadati</w:t>
      </w:r>
      <w:r>
        <w:rPr>
          <w:rFonts w:ascii="arial" w:eastAsia="arial" w:hAnsi="arial" w:cs="arial"/>
          <w:color w:val="000000"/>
          <w:sz w:val="20"/>
          <w:lang w:val="en-US" w:eastAsia="en-US" w:bidi="ar-SA"/>
        </w:rPr>
        <w:t xml:space="preserve"> at para. 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When he was assessed in 2012, Dr. Reebye opined that Mr. Cunningham needed treatment for "improvement of his emotional problems". Around the same time period, Dr. Vallentyne noted symptoms of anxiety and depression in the moderate to severe range following testing of Mr. Cunningham in May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Mr. Cunningham's mood worsened after the second collision and around December 2013, he was given anti-depressants by his GP. Mr. Cunningham took the anti-depressants for a short while, but discontinued, stating that "he was sick of pills" and did not want to take them anymore.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Dan Valgardson is a work colleague and friend of Mr. Cunningham's. They have known each other since 1988. Though they had a good relationship prior to the first collision, Mr. Valgardson described Mr. Cunningham following his first collision as "pretty miserable, difficult to get along with, irritable, and always in pain". Their friendship became strained as a result, and they parted around 2013 on bad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Having regard to the whole of the evidence, I am satisfied that on a balance of probabilities Mr. Cunningham has suffered mental and psychological injury caused by the tortious acts of the defendants. The injury has manifested itself as long periods of very low mood, irritability and anxiety, with tearfulness and thoughts of hopelessness. These symptoms have impacted his day-to-day functioning, and have had a negative impact on his personal and professional relationships. Though the mental and psychological injury seems to have waxed and waned over time, it continues to date. Indeed, Mr. Cunningham's poor psychological state was evident throughout the trial. He broke down crying a number of times while testifying; at other times he choked up in tears while examining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Though he had some prior history of depression, there is no indication that the plaintiff was getting treatment for, or suffering from, depression or symptoms of psychological or mental disturbance at the time of the first collision or that he would have suffered from them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w:t>
      </w:r>
      <w:r>
        <w:rPr>
          <w:rFonts w:ascii="arial" w:eastAsia="arial" w:hAnsi="arial" w:cs="arial"/>
          <w:sz w:val="20"/>
          <w:lang w:val="en-US" w:eastAsia="en-US" w:bidi="ar-SA"/>
        </w:rPr>
        <w:cr/>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Although Dr. Vallentyne references chronic pain syndrome in his medical legal report dated May 19, 2012, he does not specifically make such a diagnosis in relation to Mr. Cunningham. Nor is there any expert evidence that Mr. Cunningham is suffering from a recognized psychological pain condition or pain disorder. However, as I have already noted, such a diagnosis is not necessary. My concern is to determine the level of harm that the pain symptoms represent.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evidence supports a finding that the injuries suffered by Mr. Cunningham due to the collisions were significant and continue to cause him severe pain and restriction. The plaintiff's pain is chronic, in that it is ongoing, substantively interferes in his day-to-day function, and is unlikely to resolve in the future.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 Intervening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Mr. Cunningham had pneumonia in early 2009, and was in and out of hospital for several months. A severe coughing episode during this time caused fracture of some ribs on the right side of his body. He also suffered a costochondral injury. He experienced severe right-sided chest pain, aggravated with movement and coughing, which was only minimally relieved by surgery in November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Around April 2011, Mr. Cunningham injured the left side of his chest when he fell over on a propane tank. He attended at the emergency ward of PRH and was given chest x-rays. He was released the same day. There is indication that he continued to have symptoms in the left side of his chest area for the ensuing eight months. However, there is no indication that this injury aggravated or otherwise impacted the injuries sustained in either collision, or caused a permanent new injury which is of causative significance in Mr. Cunningham's ongoing symptomology.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chest/rib pain was treated with prolotherapy injections commencing in the spring of 2013. The treatments were beneficial and provided substantial pain reduction and improved function in the chest/rib area and back. However, the rib and costochondral injuries continue to impair Mr. Cunningham's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Around May 2017, Mr. Cunningham had a minor heart attack which was detected by his cardiologist during some testing. Mr. Cunningham is on medication for his heart condition and continues to be under the regular care of a doctor. Though Mr. Cunningham claims that the heart attack was caused by the stress associated with this litigation, this is not supported by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VIII.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I was not provided with any submissions relating to the apportionment of damages between the defendants in the two collisions. This may be because the parties view the injuries as being "indivisible". As a general principle, tortfeasors whose tortious acts combine to produce indivisible injuries are jointly and severally liable for the full extent of the injury: </w:t>
      </w:r>
      <w:r>
        <w:rPr>
          <w:rFonts w:ascii="arial" w:eastAsia="arial" w:hAnsi="arial" w:cs="arial"/>
          <w:i/>
          <w:color w:val="000000"/>
          <w:sz w:val="20"/>
          <w:lang w:val="en-US" w:eastAsia="en-US" w:bidi="ar-SA"/>
        </w:rPr>
        <w:t>Siddall v. Bencherif</w:t>
      </w:r>
      <w:r>
        <w:rPr>
          <w:rFonts w:ascii="arial" w:eastAsia="arial" w:hAnsi="arial" w:cs="arial"/>
          <w:color w:val="000000"/>
          <w:sz w:val="20"/>
          <w:lang w:val="en-US" w:eastAsia="en-US" w:bidi="ar-SA"/>
        </w:rPr>
        <w:t xml:space="preserve">, </w:t>
      </w:r>
      <w:hyperlink r:id="rId877" w:history="1">
        <w:r>
          <w:rPr>
            <w:rFonts w:ascii="arial" w:eastAsia="arial" w:hAnsi="arial" w:cs="arial"/>
            <w:i/>
            <w:color w:val="0077CC"/>
            <w:sz w:val="20"/>
            <w:u w:val="single"/>
            <w:shd w:val="clear" w:color="auto" w:fill="FFFFFF"/>
            <w:lang w:val="en-US" w:eastAsia="en-US" w:bidi="ar-SA"/>
          </w:rPr>
          <w:t>2016 BCSC 1662</w:t>
        </w:r>
      </w:hyperlink>
      <w:r>
        <w:rPr>
          <w:rFonts w:ascii="arial" w:eastAsia="arial" w:hAnsi="arial" w:cs="arial"/>
          <w:color w:val="000000"/>
          <w:sz w:val="20"/>
          <w:lang w:val="en-US" w:eastAsia="en-US" w:bidi="ar-SA"/>
        </w:rPr>
        <w:t xml:space="preserve"> at para. 212 citing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07"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467-468; </w:t>
      </w:r>
      <w:r>
        <w:rPr>
          <w:rFonts w:ascii="arial" w:eastAsia="arial" w:hAnsi="arial" w:cs="arial"/>
          <w:i/>
          <w:color w:val="000000"/>
          <w:sz w:val="20"/>
          <w:lang w:val="en-US" w:eastAsia="en-US" w:bidi="ar-SA"/>
        </w:rPr>
        <w:t>B.P.B. v. M.M.B</w:t>
      </w:r>
      <w:r>
        <w:rPr>
          <w:rFonts w:ascii="arial" w:eastAsia="arial" w:hAnsi="arial" w:cs="arial"/>
          <w:color w:val="000000"/>
          <w:sz w:val="20"/>
          <w:lang w:val="en-US" w:eastAsia="en-US" w:bidi="ar-SA"/>
        </w:rPr>
        <w:t xml:space="preserve">, </w:t>
      </w:r>
      <w:hyperlink r:id="rId878" w:history="1">
        <w:r>
          <w:rPr>
            <w:rFonts w:ascii="arial" w:eastAsia="arial" w:hAnsi="arial" w:cs="arial"/>
            <w:i/>
            <w:color w:val="0077CC"/>
            <w:sz w:val="20"/>
            <w:u w:val="single"/>
            <w:shd w:val="clear" w:color="auto" w:fill="FFFFFF"/>
            <w:lang w:val="en-US" w:eastAsia="en-US" w:bidi="ar-SA"/>
          </w:rPr>
          <w:t>2009 BCCA 365</w:t>
        </w:r>
      </w:hyperlink>
      <w:r>
        <w:rPr>
          <w:rFonts w:ascii="arial" w:eastAsia="arial" w:hAnsi="arial" w:cs="arial"/>
          <w:color w:val="000000"/>
          <w:sz w:val="20"/>
          <w:lang w:val="en-US" w:eastAsia="en-US" w:bidi="ar-SA"/>
        </w:rPr>
        <w:t xml:space="preserve"> at para. 72, leave to appeal ref'd </w:t>
      </w:r>
      <w:hyperlink r:id="rId879" w:history="1">
        <w:r>
          <w:rPr>
            <w:rFonts w:ascii="arial" w:eastAsia="arial" w:hAnsi="arial" w:cs="arial"/>
            <w:i/>
            <w:color w:val="0077CC"/>
            <w:sz w:val="20"/>
            <w:u w:val="single"/>
            <w:shd w:val="clear" w:color="auto" w:fill="FFFFFF"/>
            <w:lang w:val="en-US" w:eastAsia="en-US" w:bidi="ar-SA"/>
          </w:rPr>
          <w:t>[2010] S.C.C.A. No. 90</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Bradley v. Groves</w:t>
      </w:r>
      <w:r>
        <w:rPr>
          <w:rFonts w:ascii="arial" w:eastAsia="arial" w:hAnsi="arial" w:cs="arial"/>
          <w:color w:val="000000"/>
          <w:sz w:val="20"/>
          <w:lang w:val="en-US" w:eastAsia="en-US" w:bidi="ar-SA"/>
        </w:rPr>
        <w:t xml:space="preserve">, </w:t>
      </w:r>
      <w:hyperlink r:id="rId258" w:history="1">
        <w:r>
          <w:rPr>
            <w:rFonts w:ascii="arial" w:eastAsia="arial" w:hAnsi="arial" w:cs="arial"/>
            <w:i/>
            <w:color w:val="0077CC"/>
            <w:sz w:val="20"/>
            <w:u w:val="single"/>
            <w:shd w:val="clear" w:color="auto" w:fill="FFFFFF"/>
            <w:lang w:val="en-US" w:eastAsia="en-US" w:bidi="ar-SA"/>
          </w:rPr>
          <w:t>2010 BCCA 361</w:t>
        </w:r>
      </w:hyperlink>
      <w:r>
        <w:rPr>
          <w:rFonts w:ascii="arial" w:eastAsia="arial" w:hAnsi="arial" w:cs="arial"/>
          <w:color w:val="000000"/>
          <w:sz w:val="20"/>
          <w:lang w:val="en-US" w:eastAsia="en-US" w:bidi="ar-SA"/>
        </w:rPr>
        <w:t xml:space="preserve"> at para. 37, leave to appeal ref'd </w:t>
      </w:r>
      <w:hyperlink r:id="rId880" w:history="1">
        <w:r>
          <w:rPr>
            <w:rFonts w:ascii="arial" w:eastAsia="arial" w:hAnsi="arial" w:cs="arial"/>
            <w:i/>
            <w:color w:val="0077CC"/>
            <w:sz w:val="20"/>
            <w:u w:val="single"/>
            <w:shd w:val="clear" w:color="auto" w:fill="FFFFFF"/>
            <w:lang w:val="en-US" w:eastAsia="en-US" w:bidi="ar-SA"/>
          </w:rPr>
          <w:t>[2010] S.C.C.A. No. 337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As such, I have made a global assessment of damages. In the event that the parties wish me to consider this issue further, they have leave to return before 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Though the plaintiff declined to specify an amount sought for general damages, the authorities relied on by Mr. Cunningham entail general damage awards ranging between $50,000 and $175,000. The defendants submit a global award for damages for pain and suffering of $30,000 is appropriate and consistent with minor to moderate soft tissue injuries of less than nine months in duration.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The essential purpose of tort law is to put the plaintiff in the position that she or he would have been in had the tort not been committed: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The assessment of damages is a global exercise and must be based on the effect the injuries have had or will continue to have as a whole on the plaintiff's life: </w:t>
      </w:r>
      <w:r>
        <w:rPr>
          <w:rFonts w:ascii="arial" w:eastAsia="arial" w:hAnsi="arial" w:cs="arial"/>
          <w:i/>
          <w:color w:val="000000"/>
          <w:sz w:val="20"/>
          <w:lang w:val="en-US" w:eastAsia="en-US" w:bidi="ar-SA"/>
        </w:rPr>
        <w:t>Engqvist v. Doyle</w:t>
      </w:r>
      <w:r>
        <w:rPr>
          <w:rFonts w:ascii="arial" w:eastAsia="arial" w:hAnsi="arial" w:cs="arial"/>
          <w:color w:val="000000"/>
          <w:sz w:val="20"/>
          <w:lang w:val="en-US" w:eastAsia="en-US" w:bidi="ar-SA"/>
        </w:rPr>
        <w:t xml:space="preserve">, </w:t>
      </w:r>
      <w:hyperlink r:id="rId881" w:history="1">
        <w:r>
          <w:rPr>
            <w:rFonts w:ascii="arial" w:eastAsia="arial" w:hAnsi="arial" w:cs="arial"/>
            <w:i/>
            <w:color w:val="0077CC"/>
            <w:sz w:val="20"/>
            <w:u w:val="single"/>
            <w:shd w:val="clear" w:color="auto" w:fill="FFFFFF"/>
            <w:lang w:val="en-US" w:eastAsia="en-US" w:bidi="ar-SA"/>
          </w:rPr>
          <w:t>2011 BCSC 1585</w:t>
        </w:r>
      </w:hyperlink>
      <w:r>
        <w:rPr>
          <w:rFonts w:ascii="arial" w:eastAsia="arial" w:hAnsi="arial" w:cs="arial"/>
          <w:color w:val="000000"/>
          <w:sz w:val="20"/>
          <w:lang w:val="en-US" w:eastAsia="en-US" w:bidi="ar-SA"/>
        </w:rPr>
        <w:t xml:space="preserve"> at paras. 28-29.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To ensure that the plaintiff is not left in a better position than he would otherwise have been in, the court needs to determine the plaintiff's original position and the effects of pre-existing conditions and intervening events: </w:t>
      </w:r>
      <w:r>
        <w:rPr>
          <w:rFonts w:ascii="arial" w:eastAsia="arial" w:hAnsi="arial" w:cs="arial"/>
          <w:i/>
          <w:color w:val="000000"/>
          <w:sz w:val="20"/>
          <w:lang w:val="en-US" w:eastAsia="en-US" w:bidi="ar-SA"/>
        </w:rPr>
        <w:t>Khudabux v. McClary</w:t>
      </w:r>
      <w:r>
        <w:rPr>
          <w:rFonts w:ascii="arial" w:eastAsia="arial" w:hAnsi="arial" w:cs="arial"/>
          <w:color w:val="000000"/>
          <w:sz w:val="20"/>
          <w:lang w:val="en-US" w:eastAsia="en-US" w:bidi="ar-SA"/>
        </w:rPr>
        <w:t xml:space="preserve">, </w:t>
      </w:r>
      <w:hyperlink r:id="rId882" w:history="1">
        <w:r>
          <w:rPr>
            <w:rFonts w:ascii="arial" w:eastAsia="arial" w:hAnsi="arial" w:cs="arial"/>
            <w:i/>
            <w:color w:val="0077CC"/>
            <w:sz w:val="20"/>
            <w:u w:val="single"/>
            <w:shd w:val="clear" w:color="auto" w:fill="FFFFFF"/>
            <w:lang w:val="en-US" w:eastAsia="en-US" w:bidi="ar-SA"/>
          </w:rPr>
          <w:t>2018 BCCA 234</w:t>
        </w:r>
      </w:hyperlink>
      <w:r>
        <w:rPr>
          <w:rFonts w:ascii="arial" w:eastAsia="arial" w:hAnsi="arial" w:cs="arial"/>
          <w:color w:val="000000"/>
          <w:sz w:val="20"/>
          <w:lang w:val="en-US" w:eastAsia="en-US" w:bidi="ar-SA"/>
        </w:rPr>
        <w:t xml:space="preserve"> at para. 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One approach to assessing damages in cases where there are intervening events, is for the court to do a global assessment of general damages for the plaintiff's injuries, and then reduce that amount to account for the intervening events: </w:t>
      </w:r>
      <w:r>
        <w:rPr>
          <w:rFonts w:ascii="arial" w:eastAsia="arial" w:hAnsi="arial" w:cs="arial"/>
          <w:i/>
          <w:color w:val="000000"/>
          <w:sz w:val="20"/>
          <w:lang w:val="en-US" w:eastAsia="en-US" w:bidi="ar-SA"/>
        </w:rPr>
        <w:t>Khudabux</w:t>
      </w:r>
      <w:r>
        <w:rPr>
          <w:rFonts w:ascii="arial" w:eastAsia="arial" w:hAnsi="arial" w:cs="arial"/>
          <w:color w:val="000000"/>
          <w:sz w:val="20"/>
          <w:lang w:val="en-US" w:eastAsia="en-US" w:bidi="ar-SA"/>
        </w:rPr>
        <w:t xml:space="preserve"> at para. 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The award is to be fair to both parties and fairness is measured against awards in comparable cases: </w:t>
      </w:r>
      <w:r>
        <w:rPr>
          <w:rFonts w:ascii="arial" w:eastAsia="arial" w:hAnsi="arial" w:cs="arial"/>
          <w:i/>
          <w:color w:val="000000"/>
          <w:sz w:val="20"/>
          <w:lang w:val="en-US" w:eastAsia="en-US" w:bidi="ar-SA"/>
        </w:rPr>
        <w:t>Olson v. Farran</w:t>
      </w:r>
      <w:r>
        <w:rPr>
          <w:rFonts w:ascii="arial" w:eastAsia="arial" w:hAnsi="arial" w:cs="arial"/>
          <w:color w:val="000000"/>
          <w:sz w:val="20"/>
          <w:lang w:val="en-US" w:eastAsia="en-US" w:bidi="ar-SA"/>
        </w:rPr>
        <w:t xml:space="preserve">, </w:t>
      </w:r>
      <w:hyperlink r:id="rId883" w:history="1">
        <w:r>
          <w:rPr>
            <w:rFonts w:ascii="arial" w:eastAsia="arial" w:hAnsi="arial" w:cs="arial"/>
            <w:i/>
            <w:color w:val="0077CC"/>
            <w:sz w:val="20"/>
            <w:u w:val="single"/>
            <w:shd w:val="clear" w:color="auto" w:fill="FFFFFF"/>
            <w:lang w:val="en-US" w:eastAsia="en-US" w:bidi="ar-SA"/>
          </w:rPr>
          <w:t>2016 BCSC 1255</w:t>
        </w:r>
      </w:hyperlink>
      <w:r>
        <w:rPr>
          <w:rFonts w:ascii="arial" w:eastAsia="arial" w:hAnsi="arial" w:cs="arial"/>
          <w:color w:val="000000"/>
          <w:sz w:val="20"/>
          <w:lang w:val="en-US" w:eastAsia="en-US" w:bidi="ar-SA"/>
        </w:rPr>
        <w:t xml:space="preserve"> at para. 156.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However, having regard to awards in comparable cases cannot replace the court's duty to undertake an individualized assessment. Each case is to be decided on its own unique set of facts, bearing in mind that no two plaintiffs' experiences are identical: </w:t>
      </w:r>
      <w:r>
        <w:rPr>
          <w:rFonts w:ascii="arial" w:eastAsia="arial" w:hAnsi="arial" w:cs="arial"/>
          <w:i/>
          <w:color w:val="000000"/>
          <w:sz w:val="20"/>
          <w:lang w:val="en-US" w:eastAsia="en-US" w:bidi="ar-SA"/>
        </w:rPr>
        <w:t>Midgley v. Nguyen</w:t>
      </w:r>
      <w:r>
        <w:rPr>
          <w:rFonts w:ascii="arial" w:eastAsia="arial" w:hAnsi="arial" w:cs="arial"/>
          <w:color w:val="000000"/>
          <w:sz w:val="20"/>
          <w:lang w:val="en-US" w:eastAsia="en-US" w:bidi="ar-SA"/>
        </w:rPr>
        <w:t xml:space="preserve">, </w:t>
      </w:r>
      <w:hyperlink r:id="rId884" w:history="1">
        <w:r>
          <w:rPr>
            <w:rFonts w:ascii="arial" w:eastAsia="arial" w:hAnsi="arial" w:cs="arial"/>
            <w:i/>
            <w:color w:val="0077CC"/>
            <w:sz w:val="20"/>
            <w:u w:val="single"/>
            <w:shd w:val="clear" w:color="auto" w:fill="FFFFFF"/>
            <w:lang w:val="en-US" w:eastAsia="en-US" w:bidi="ar-SA"/>
          </w:rPr>
          <w:t>2013 BCSC 693</w:t>
        </w:r>
      </w:hyperlink>
      <w:r>
        <w:rPr>
          <w:rFonts w:ascii="arial" w:eastAsia="arial" w:hAnsi="arial" w:cs="arial"/>
          <w:color w:val="000000"/>
          <w:sz w:val="20"/>
          <w:lang w:val="en-US" w:eastAsia="en-US" w:bidi="ar-SA"/>
        </w:rPr>
        <w:t xml:space="preserve"> at para. 221; </w:t>
      </w:r>
      <w:r>
        <w:rPr>
          <w:rFonts w:ascii="arial" w:eastAsia="arial" w:hAnsi="arial" w:cs="arial"/>
          <w:i/>
          <w:color w:val="000000"/>
          <w:sz w:val="20"/>
          <w:lang w:val="en-US" w:eastAsia="en-US" w:bidi="ar-SA"/>
        </w:rPr>
        <w:t>Kapelus v. Hu</w:t>
      </w:r>
      <w:r>
        <w:rPr>
          <w:rFonts w:ascii="arial" w:eastAsia="arial" w:hAnsi="arial" w:cs="arial"/>
          <w:color w:val="000000"/>
          <w:sz w:val="20"/>
          <w:lang w:val="en-US" w:eastAsia="en-US" w:bidi="ar-SA"/>
        </w:rPr>
        <w:t xml:space="preserve">, </w:t>
      </w:r>
      <w:hyperlink r:id="rId885" w:history="1">
        <w:r>
          <w:rPr>
            <w:rFonts w:ascii="arial" w:eastAsia="arial" w:hAnsi="arial" w:cs="arial"/>
            <w:i/>
            <w:color w:val="0077CC"/>
            <w:sz w:val="20"/>
            <w:u w:val="single"/>
            <w:shd w:val="clear" w:color="auto" w:fill="FFFFFF"/>
            <w:lang w:val="en-US" w:eastAsia="en-US" w:bidi="ar-SA"/>
          </w:rPr>
          <w:t>2013 BCCA 86</w:t>
        </w:r>
      </w:hyperlink>
      <w:r>
        <w:rPr>
          <w:rFonts w:ascii="arial" w:eastAsia="arial" w:hAnsi="arial" w:cs="arial"/>
          <w:color w:val="000000"/>
          <w:sz w:val="20"/>
          <w:lang w:val="en-US" w:eastAsia="en-US" w:bidi="ar-SA"/>
        </w:rPr>
        <w:t xml:space="preserve"> at para.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following non-exhaustive list of factors is to be considered in assessing non-pecuniary damages: the plaintiff's age; nature of the injury; severity and duration of pain; disability; emotional suffering; loss or impairment of life; impairment of family, marital and social relationships; impairment of physical and mental abilities; loss of lifestyle; and the plaintiff's stoicism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117"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Mr. Cunningham is a 65-year-old, self-employed industrial equipment consultant. He lives in Penticton with his common law wife. At the time of the first collision, he was 54 years old and in between work contracts. He was still in the process of establishing himself in Penticton, where he had relocated his home and employment the previous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By all accounts, Mr. Cunningham was good at his job, got immense satisfaction out of it, and worked hard. Wayne McCreight last worked for Mr. Cunningham in 2004. He described Mr. Cunningham as an intelligent, focussed, and physically strong man. He testified that prior to the first collision the plaintiff would routinely work until 10 pm, drive the long route from Salmon Arm to his home in Kelowna, and then return the next day to start work at 6 am. This is no longer possible due to the collision related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collisions have caused Mr. Cunningham soft tissue injuries in the moderate to severe range. These have caused and continue to cause significant pain and suffering to Mr. Cunningham. In addition, the plaintiff has suffered a permanent symptomatic worsening of pre-existing degenerative arthritis of the knees and ankles, and a permanent worsening of his pre-existing low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Though the soft tissue pain has decreased over time, the symptomatic worsening of the degenerative arthritis and pre-existing low back pain has not. More than ten years after the first collision, Mr. Cunningham continues to experience substantial pain in his neck, low back, both knees, both ankles, the right side of his chest and rib area, and right foot.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pain is chronic and restricts his mobility. Mr. Cunningham has experienced a significant weight gain in the years following the accident but has been unable to lose this weight due to pain restricting his mobility. His back and chest pain are exacerbated on movement and exercise. Frequent swelling of his right foot causes significant restriction to his total walking tolerance. Even putting on his pants causes pain when trying to get his feet into each leg 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pain interferes with Mr. Cunningham's sleep, mood, and sexual intimacy with his partner. Both Mr. Cunningham and Ms. Engemoen testified that he has not been able to have sexual intercourse due to his back, hip and chest/rib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Mr. Cunningham has difficulty with bending, twisting, lifting and getting up off the ground. Mr. McHollister testified that he had to provide assistance to Mr. Cunningham as he was unable to get up from the ground while working in his paint shop. He has a great deal of difficulty breathing, and is worried that he might get pneumonia and die.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plaintiff has tried to manage his pain with use of analgesics, anti-inflammatories, muscle relaxants, morphine, and tramadol. These have provided only temporary relief, and have caused numerous side effects such as itchiness, headaches, and mood changes. Currently, Mr. Cunningham manages his pain with self-prescribed marijuana edibles which he consumes five to six days per week, and prolotherapy injections.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Mr. Cunningham commenced regular prolotherapy injections in 2013 aimed at the low back and rib/chest injuries. The injections have provided temporary relief only, as the injections must be repeated every two-to-three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Many of the witnesses described Mr. Cunningham as a stoic individual, who is not prone to complaining about his injuries. This was consistent with his presentation at trial. Yet it was evident that the injuries have caused a great deal of suffering and emotional upset to Mr. Cunningham. Mr. Cunningham has periods of extreme low mood, mental upset, anxiety, and irritability. He has had feelings of hopelessness due to unresolved pain and slow pace of his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It is difficult in this case to parse out with any great precision the degree to which Mr. Cunningham's current pain and restriction is related to the defendant's tortious conduct, versus his pre-existing condition, or the various intervening events which occurred subsequent to the first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However, it is evident that despite the fact that Mr. Cunningham was suffering from a myriad of conditions, ailments, and injuries prior to the events of June 2008, these did not interfere in his activities of daily living. Mr. Cunningham was a strong and able man prior to the first collision, and capable of performing his physically demanding job and hobbies.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Prior to the accident, Mr. Cunningham took great pride in working on restoring an old 40' bus (which was 8' wide and 9' tall) by cutting it in half and converting it into a trailer. The work required him to use a large saw while standing on top of the bus to cut it in half. Dan Valgardson described the job as very difficult and demanding. Since the accident, Mr. Cunningham has not been able to work on his bus, and eventually was forced to sell it. He has been devastated by the loss of ability to work on the bus. It was a project that Mr. Cunningham was very passionate about, and which he also hoped would provide him with retirement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Mr. Cunningham also took great pride in riding his motorcycle. He went from being able to ride a 700-pound Harley Davidson to now riding a small scooter weighing less than 200 pounds. This has had a profound impact on Mr. Cunningham's enjoyment of life. He testified that while he has not given up on the idea of eventually being able to ride the large motorcycle, he understands that this is unrealistic, given that he is unable to push the heavy motorcycle on his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plaintiff also enjoyed other endeavours, such as playing the drums in a band prior to the first collision. However, due to the injuries, he can now only play drums on an electric drum kit. His evidence was corroborated by Chris Stones, who testified that he only saw Mr. Cunningham play regular drums one or two times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The plaintiff relies on </w:t>
      </w:r>
      <w:r>
        <w:rPr>
          <w:rFonts w:ascii="arial" w:eastAsia="arial" w:hAnsi="arial" w:cs="arial"/>
          <w:i/>
          <w:color w:val="000000"/>
          <w:sz w:val="20"/>
          <w:lang w:val="en-US" w:eastAsia="en-US" w:bidi="ar-SA"/>
        </w:rPr>
        <w:t>Travelbea v. Henrie</w:t>
      </w:r>
      <w:r>
        <w:rPr>
          <w:rFonts w:ascii="arial" w:eastAsia="arial" w:hAnsi="arial" w:cs="arial"/>
          <w:color w:val="000000"/>
          <w:sz w:val="20"/>
          <w:lang w:val="en-US" w:eastAsia="en-US" w:bidi="ar-SA"/>
        </w:rPr>
        <w:t xml:space="preserve">, </w:t>
      </w:r>
      <w:hyperlink r:id="rId886" w:history="1">
        <w:r>
          <w:rPr>
            <w:rFonts w:ascii="arial" w:eastAsia="arial" w:hAnsi="arial" w:cs="arial"/>
            <w:i/>
            <w:color w:val="0077CC"/>
            <w:sz w:val="20"/>
            <w:u w:val="single"/>
            <w:shd w:val="clear" w:color="auto" w:fill="FFFFFF"/>
            <w:lang w:val="en-US" w:eastAsia="en-US" w:bidi="ar-SA"/>
          </w:rPr>
          <w:t>2012 BCSC 1532</w:t>
        </w:r>
      </w:hyperlink>
      <w:r>
        <w:rPr>
          <w:rFonts w:ascii="arial" w:eastAsia="arial" w:hAnsi="arial" w:cs="arial"/>
          <w:color w:val="000000"/>
          <w:sz w:val="20"/>
          <w:lang w:val="en-US" w:eastAsia="en-US" w:bidi="ar-SA"/>
        </w:rPr>
        <w:t xml:space="preserve"> at paras. 36-37, to support the proposition that his pain and suffering should be measured having regard to how much meaning his activities held for him, rather than what those losses might mean for the average person. I agree. While having to switch from riding a motorcycle to a scooter, or replacing drums with an electronic drum kit, might seem trivial to some, it is a significant loss to the plaintiff. Those activities were passions for Mr. Cunningham. They gave him great joy, and enhanced his sense of self. The fact that he can no longer enjoy them in the same way has had a profound impact on his own sense of self worth and independence.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The plaintiff also refers me to </w:t>
      </w:r>
      <w:r>
        <w:rPr>
          <w:rFonts w:ascii="arial" w:eastAsia="arial" w:hAnsi="arial" w:cs="arial"/>
          <w:i/>
          <w:color w:val="000000"/>
          <w:sz w:val="20"/>
          <w:lang w:val="en-US" w:eastAsia="en-US" w:bidi="ar-SA"/>
        </w:rPr>
        <w:t>Fata v. Heinonen</w:t>
      </w:r>
      <w:r>
        <w:rPr>
          <w:rFonts w:ascii="arial" w:eastAsia="arial" w:hAnsi="arial" w:cs="arial"/>
          <w:color w:val="000000"/>
          <w:sz w:val="20"/>
          <w:lang w:val="en-US" w:eastAsia="en-US" w:bidi="ar-SA"/>
        </w:rPr>
        <w:t xml:space="preserve">, </w:t>
      </w:r>
      <w:hyperlink r:id="rId887" w:history="1">
        <w:r>
          <w:rPr>
            <w:rFonts w:ascii="arial" w:eastAsia="arial" w:hAnsi="arial" w:cs="arial"/>
            <w:i/>
            <w:color w:val="0077CC"/>
            <w:sz w:val="20"/>
            <w:u w:val="single"/>
            <w:shd w:val="clear" w:color="auto" w:fill="FFFFFF"/>
            <w:lang w:val="en-US" w:eastAsia="en-US" w:bidi="ar-SA"/>
          </w:rPr>
          <w:t>2010 BCSC 385</w:t>
        </w:r>
      </w:hyperlink>
      <w:r>
        <w:rPr>
          <w:rFonts w:ascii="arial" w:eastAsia="arial" w:hAnsi="arial" w:cs="arial"/>
          <w:color w:val="000000"/>
          <w:sz w:val="20"/>
          <w:lang w:val="en-US" w:eastAsia="en-US" w:bidi="ar-SA"/>
        </w:rPr>
        <w:t xml:space="preserve"> at para. 88, for the proposition that assessment of general damages should have regard to the impact that the injuries will have on the plaintiff's retirement or "golden" years. As noted by the Court: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[88] The retirement years are special years for they are at a time in a person's life when he realizes his own mortality. When someone who has always been physically active loses his physical function in these years, the enjoyment of retirement can be severely diminished, with less opportunity to replace these activities with other interests in life. Further, what may be a small loss of function to a younger person who is active in many other ways may be a larger loss to an older person whose activities are already constrained by age. The impact an injury can have on someone who is elderly was recognized in </w:t>
      </w:r>
      <w:r>
        <w:rPr>
          <w:rFonts w:ascii="arial" w:eastAsia="arial" w:hAnsi="arial" w:cs="arial"/>
          <w:i/>
          <w:color w:val="000000"/>
          <w:sz w:val="20"/>
          <w:lang w:val="en-US" w:eastAsia="en-US" w:bidi="ar-SA"/>
        </w:rPr>
        <w:t>Giles v. Canada (Attorney General)</w:t>
      </w:r>
      <w:r>
        <w:rPr>
          <w:rFonts w:ascii="arial" w:eastAsia="arial" w:hAnsi="arial" w:cs="arial"/>
          <w:color w:val="000000"/>
          <w:sz w:val="20"/>
          <w:lang w:val="en-US" w:eastAsia="en-US" w:bidi="ar-SA"/>
        </w:rPr>
        <w:t xml:space="preserve">, </w:t>
      </w:r>
      <w:hyperlink r:id="rId888" w:history="1">
        <w:r>
          <w:rPr>
            <w:rFonts w:ascii="arial" w:eastAsia="arial" w:hAnsi="arial" w:cs="arial"/>
            <w:i/>
            <w:color w:val="0077CC"/>
            <w:sz w:val="20"/>
            <w:u w:val="single"/>
            <w:shd w:val="clear" w:color="auto" w:fill="FFFFFF"/>
            <w:lang w:val="en-US" w:eastAsia="en-US" w:bidi="ar-SA"/>
          </w:rPr>
          <w:t>[1994] B.C.J. No. 3212</w:t>
        </w:r>
      </w:hyperlink>
      <w:r>
        <w:rPr>
          <w:rFonts w:ascii="arial" w:eastAsia="arial" w:hAnsi="arial" w:cs="arial"/>
          <w:color w:val="000000"/>
          <w:sz w:val="20"/>
          <w:lang w:val="en-US" w:eastAsia="en-US" w:bidi="ar-SA"/>
        </w:rPr>
        <w:t xml:space="preserve"> (S.C.), rev'd on other grounds </w:t>
      </w:r>
      <w:hyperlink r:id="rId889" w:history="1">
        <w:r>
          <w:rPr>
            <w:rFonts w:ascii="arial" w:eastAsia="arial" w:hAnsi="arial" w:cs="arial"/>
            <w:i/>
            <w:color w:val="0077CC"/>
            <w:sz w:val="20"/>
            <w:u w:val="single"/>
            <w:shd w:val="clear" w:color="auto" w:fill="FFFFFF"/>
            <w:lang w:val="en-US" w:eastAsia="en-US" w:bidi="ar-SA"/>
          </w:rPr>
          <w:t>(1996), 21 B.C.L.R. (3d) 190</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In the plaintiff's case, rather than working and saving for retirement, he has spent the past ten years trying to recover from his injuries and achieve his pre-accident function. Now, at the age of 65, he remains saddled with his injuries, facing a bleak future with no realistic job prospects and an inability to provide for his retirement.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Both the plaintiff and defendants referred me to authorities in support of their varying positions on general damages. I have read them and considered them, bearing in mind that the assessment of damages is highly individualistic in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 defendants' position on general damages is limited to compensating the plaintiff for soft tissue injuries resulting in a disability period of three to nine months. Three months coincides with when the plaintiff tried a return to work, and nine months coincides with when the right side rib fractures were first noted on the CT scan. However, I have found that the plaintiff has suffered moderate to severe soft tissue injuries, and a permanent aggravation of a pre-existing condition in his low back, knees and ankles. The case authorities provided by the defendants fall far short of the range that is appropriate for injuries of this type. To that end, I have found the plaintiff's case authorities more instructive.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Having regard to the factors in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the various case authorities presented by the parties, and all the evidence in this case, I find that a fair and reasonable assessment of the plaintiff's damages is a global award of $160,000. However, given the plaintiff's pre-existing condition and subsequent intervening events, I have reduced this award to $80,000, which I find is fair and reasonable compensation for the defendants' tortious conduct arising from both accidents.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evidence indicates that most of Mr. Cunningham's medication costs were covered by Pharmanet. While there may have been costs borne by him that remain out of pocket, Mr. Cunningham did not seek a specific amount for special damages, nor did he provide any receipts to support such a claim. As such, no amount is awarded under this head of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Past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 plaintiff declined to specify the amount he was seeking under this head of damages, leaving it to the court to make a fair assessment on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 defendants submit that the plaintiff is entitled to past income loss of $2,000 - $6,000 for a disability period of three or nine months, based on the plaintiff's pre-accident net earnings and his evidence that he was busy dealing with health and family issues of his mother and grandmother, and thus unable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At the time of the first collision, Mr. Cunningham was self-employed as an industrial equipment consultant. This work included a variety of tasks, such as sourcing out equipment for customers, performing automotive/body work, sandblasting, and industrial painting. Mr. Cunningham was in between contracts when the June 2008 collision happened. Aside from a brief attempt at return to work in the fall of 2008, Mr. Cunningham has not returned to work since the first collision. Mr. Cunningham submits that due to his collision-related injuries, he was not able to secure additional contracts due to the heavy nature of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In addition to working as an industrial equipment consultant, Mr. Cunningham was also providing security services. Mr. Valgardson testified that he permitted Mr. Cunningham to live on Mr. Valgardson's business premises in a trailer from the time that Mr. Cunningham relocated to Penticton, until about 2013. In exchange, Mr. Cunningham agreed to keep an eye on the property for him. There is no evidence that Mr. Cunningham got paid to be a security guard, nor does he advance any wage loss claim in relation to this.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 medical evidence supports a finding that Mr. Cunningham suffered impairment in his ability to earn an income due to his accident-related injuries, and that this impairment is substantive and permanent.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In his 2012 report, Dr. Vallentyne opined that Mr. Cunningham was able to work as a security officer on a full-time basis without restrictions. But Mr. Cunningham's "ability to perform additional contract work related to painting and material handling, however, has been permanently impaired by his MVA-related injuries." These latter duties are part of his job as an industrial equipment consultant.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Pre-Accident Earnings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Mr. Cunningham testified that his average pre-collision earnings were just under $30,000/year. The following are Mr. Cunningham's gross and net business earnings for the years prior to the accident, as indicated in his income tax returns: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Table 1: Summary of Pre-Accident Earnings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Year</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Gross Business Income</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Net Business Income</w:t>
      </w:r>
      <w:r>
        <w:rPr>
          <w:rFonts w:ascii="arial" w:eastAsia="arial" w:hAnsi="arial" w:cs="arial"/>
          <w:color w:val="000000"/>
          <w:sz w:val="20"/>
          <w:lang w:val="en-US" w:eastAsia="en-US" w:bidi="ar-SA"/>
        </w:rPr>
        <w:t xml:space="preserve"> 2007 $22,000 $14,865 2006 $26,318 $17,230 2005 $13,180 -$1,108 2004 $11,106 -$1,719 2003 $28,345 $8,699 2002 $24,200 $9,110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These figures show that while the plaintiff's gross business earnings were generally in line with his evidence, his net earnings were significantly lower. Mr. Cunningham acknowledged under cross-examination that his net business income was significantly lower than his gross business income. However, he denied that his failure to provide his net income figures during his direct testimony, was done to mislead the Court. Rather, the information was in possession of the defence, and he assumed that defence counsel would present this evidence if it became necessary. I accept this explanation, and do not find any conscious attempt by Mr. Cunningham to mislead the Court as to his actual pre-collision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In the 2002 and 2003 tax years, Mr. Cunningham's gross income averaged $26,000. I consider the 2004 and 2005 years an anomaly, as Mr. Cunningham was suffering from significant medical issues during that time. However, the tax returns support his evidence that by 2006, his health issues were no longer impeding his earnings, such that his gross income returned to the 2003 levels by 2006 and 2007, yielding a gross two-year average of $24,000.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In the six months leading up to the first collision, Mr. Cunningham's income was nil. He had recently moved to Penticton, and was in between contracts, when the first collision occurred. Mr. Cunningham secured a contract in October 2008, and tried a return to work which was unsuccessful.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 Calculating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Having regard to all of the evidence, I find that but for the first collision, Mr. Cunningham would have returned to work by the end of the summer of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For the purposes of calculating his income loss, I find that Mr. Cunningham's annual net business earnings post collision would have been $16,000/year. This figure is based on the average of Mr. Cunningham's most recent two years of net business income prior to the first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Bearing in mind that this is an assessment and not precise mathematical calculation, and having regard to his income tax returns, and given the lack of evidence of the applicable income tax rate for earnings below $20,000, I have assessed Mr. Cunningham's absent-accident net income stream to be $14,000/year (or $1,166/month), which I find to be fair and reasonable on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For the 2008 year, I find that Mr. Cunningham suffered an income loss of $4,664 ($1,166 x 4 months). I find that this loss is solely related to the first collision, and apply no deduction to it for intervening events or pre-accident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I now turn to the income loss for 2009. I find that Mr. Cunningham would have had diminished earnings in 2009 due to his mother and grandmother's illness, and his pneumonia hospitalization. The plaintiff testified that in late 2008 and early 2009, he was experiencing a lot of pain in his back and feet. He would tire easily and was on a number of pain killers. Around January 2009, he travelled to Smithers to obtain some herbal remedies for his pain. He returned home to find that his mother was in the intensive care unit and his grandmother had broken her hips. He testified that he put his own pain issues on hold in order to look after them. However, his immune system became compromised and he contracted pneumonia around March 2009. He was in and out of hospital for the next few months. It was during that period that he had a severe coughing fit resulting in the first rib fracture.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As such, I find that but for the accident, the plaintiff would not have worked in 2009 for the periods of time that he was looking after his family and recovering from pneumonia. Absent the accident, and absent the pre-existing conditions and intervening events, I find his net earnings for 2009 would have been $10,000.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For 2010 and subsequent years, I find that Mr. Cunningham would have resumed earning $14,000/year, absent the accident, pre-existing conditions, and intervening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xml:space="preserve">  Past wage loss is generally calculated from the date of loss to the date of trial, not judgment: see e.g. </w:t>
      </w:r>
      <w:r>
        <w:rPr>
          <w:rFonts w:ascii="arial" w:eastAsia="arial" w:hAnsi="arial" w:cs="arial"/>
          <w:i/>
          <w:color w:val="000000"/>
          <w:sz w:val="20"/>
          <w:lang w:val="en-US" w:eastAsia="en-US" w:bidi="ar-SA"/>
        </w:rPr>
        <w:t>Griffioen v. Arnold</w:t>
      </w:r>
      <w:r>
        <w:rPr>
          <w:rFonts w:ascii="arial" w:eastAsia="arial" w:hAnsi="arial" w:cs="arial"/>
          <w:color w:val="000000"/>
          <w:sz w:val="20"/>
          <w:lang w:val="en-US" w:eastAsia="en-US" w:bidi="ar-SA"/>
        </w:rPr>
        <w:t xml:space="preserve">, </w:t>
      </w:r>
      <w:hyperlink r:id="rId890" w:history="1">
        <w:r>
          <w:rPr>
            <w:rFonts w:ascii="arial" w:eastAsia="arial" w:hAnsi="arial" w:cs="arial"/>
            <w:i/>
            <w:color w:val="0077CC"/>
            <w:sz w:val="20"/>
            <w:u w:val="single"/>
            <w:shd w:val="clear" w:color="auto" w:fill="FFFFFF"/>
            <w:lang w:val="en-US" w:eastAsia="en-US" w:bidi="ar-SA"/>
          </w:rPr>
          <w:t>2019 BCCA 83</w:t>
        </w:r>
      </w:hyperlink>
      <w:r>
        <w:rPr>
          <w:rFonts w:ascii="arial" w:eastAsia="arial" w:hAnsi="arial" w:cs="arial"/>
          <w:color w:val="000000"/>
          <w:sz w:val="20"/>
          <w:lang w:val="en-US" w:eastAsia="en-US" w:bidi="ar-SA"/>
        </w:rPr>
        <w:t xml:space="preserve"> at paras. 45, 64, 70; and </w:t>
      </w:r>
      <w:r>
        <w:rPr>
          <w:rFonts w:ascii="arial" w:eastAsia="arial" w:hAnsi="arial" w:cs="arial"/>
          <w:i/>
          <w:color w:val="000000"/>
          <w:sz w:val="20"/>
          <w:lang w:val="en-US" w:eastAsia="en-US" w:bidi="ar-SA"/>
        </w:rPr>
        <w:t>Dhaliwal v. Greyhound Canada Transportation Corp.</w:t>
      </w:r>
      <w:r>
        <w:rPr>
          <w:rFonts w:ascii="arial" w:eastAsia="arial" w:hAnsi="arial" w:cs="arial"/>
          <w:color w:val="000000"/>
          <w:sz w:val="20"/>
          <w:lang w:val="en-US" w:eastAsia="en-US" w:bidi="ar-SA"/>
        </w:rPr>
        <w:t xml:space="preserve">, </w:t>
      </w:r>
      <w:hyperlink r:id="rId891" w:history="1">
        <w:r>
          <w:rPr>
            <w:rFonts w:ascii="arial" w:eastAsia="arial" w:hAnsi="arial" w:cs="arial"/>
            <w:i/>
            <w:color w:val="0077CC"/>
            <w:sz w:val="20"/>
            <w:u w:val="single"/>
            <w:shd w:val="clear" w:color="auto" w:fill="FFFFFF"/>
            <w:lang w:val="en-US" w:eastAsia="en-US" w:bidi="ar-SA"/>
          </w:rPr>
          <w:t>2017 BCCA 260</w:t>
        </w:r>
      </w:hyperlink>
      <w:r>
        <w:rPr>
          <w:rFonts w:ascii="arial" w:eastAsia="arial" w:hAnsi="arial" w:cs="arial"/>
          <w:color w:val="000000"/>
          <w:sz w:val="20"/>
          <w:lang w:val="en-US" w:eastAsia="en-US" w:bidi="ar-SA"/>
        </w:rPr>
        <w:t xml:space="preserve"> at para. 31. The "date of trial" has been interpreted as the first day of trial: see e.g. </w:t>
      </w:r>
      <w:r>
        <w:rPr>
          <w:rFonts w:ascii="arial" w:eastAsia="arial" w:hAnsi="arial" w:cs="arial"/>
          <w:i/>
          <w:color w:val="000000"/>
          <w:sz w:val="20"/>
          <w:lang w:val="en-US" w:eastAsia="en-US" w:bidi="ar-SA"/>
        </w:rPr>
        <w:t>Culver v. Skrypnyk</w:t>
      </w:r>
      <w:r>
        <w:rPr>
          <w:rFonts w:ascii="arial" w:eastAsia="arial" w:hAnsi="arial" w:cs="arial"/>
          <w:color w:val="000000"/>
          <w:sz w:val="20"/>
          <w:lang w:val="en-US" w:eastAsia="en-US" w:bidi="ar-SA"/>
        </w:rPr>
        <w:t xml:space="preserve">, </w:t>
      </w:r>
      <w:hyperlink r:id="rId892" w:history="1">
        <w:r>
          <w:rPr>
            <w:rFonts w:ascii="arial" w:eastAsia="arial" w:hAnsi="arial" w:cs="arial"/>
            <w:i/>
            <w:color w:val="0077CC"/>
            <w:sz w:val="20"/>
            <w:u w:val="single"/>
            <w:shd w:val="clear" w:color="auto" w:fill="FFFFFF"/>
            <w:lang w:val="en-US" w:eastAsia="en-US" w:bidi="ar-SA"/>
          </w:rPr>
          <w:t>2019 BCSC 807</w:t>
        </w:r>
      </w:hyperlink>
      <w:r>
        <w:rPr>
          <w:rFonts w:ascii="arial" w:eastAsia="arial" w:hAnsi="arial" w:cs="arial"/>
          <w:color w:val="000000"/>
          <w:sz w:val="20"/>
          <w:lang w:val="en-US" w:eastAsia="en-US" w:bidi="ar-SA"/>
        </w:rPr>
        <w:t xml:space="preserve"> at para. 207; </w:t>
      </w:r>
      <w:r>
        <w:rPr>
          <w:rFonts w:ascii="arial" w:eastAsia="arial" w:hAnsi="arial" w:cs="arial"/>
          <w:i/>
          <w:color w:val="000000"/>
          <w:sz w:val="20"/>
          <w:lang w:val="en-US" w:eastAsia="en-US" w:bidi="ar-SA"/>
        </w:rPr>
        <w:t>Lewis v. Gibson</w:t>
      </w:r>
      <w:r>
        <w:rPr>
          <w:rFonts w:ascii="arial" w:eastAsia="arial" w:hAnsi="arial" w:cs="arial"/>
          <w:color w:val="000000"/>
          <w:sz w:val="20"/>
          <w:lang w:val="en-US" w:eastAsia="en-US" w:bidi="ar-SA"/>
        </w:rPr>
        <w:t xml:space="preserve">, </w:t>
      </w:r>
      <w:hyperlink r:id="rId893" w:history="1">
        <w:r>
          <w:rPr>
            <w:rFonts w:ascii="arial" w:eastAsia="arial" w:hAnsi="arial" w:cs="arial"/>
            <w:i/>
            <w:color w:val="0077CC"/>
            <w:sz w:val="20"/>
            <w:u w:val="single"/>
            <w:shd w:val="clear" w:color="auto" w:fill="FFFFFF"/>
            <w:lang w:val="en-US" w:eastAsia="en-US" w:bidi="ar-SA"/>
          </w:rPr>
          <w:t>2018 BCSC 1713</w:t>
        </w:r>
      </w:hyperlink>
      <w:r>
        <w:rPr>
          <w:rFonts w:ascii="arial" w:eastAsia="arial" w:hAnsi="arial" w:cs="arial"/>
          <w:color w:val="000000"/>
          <w:sz w:val="20"/>
          <w:lang w:val="en-US" w:eastAsia="en-US" w:bidi="ar-SA"/>
        </w:rPr>
        <w:t xml:space="preserve"> at para. 278.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Applying the same 50% discount rate for the pre-existing injuries and post-accident intervening events which was applied for the general damages award, I assess Mr. Cunningham's income loss from 2009 to the date of trial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2009</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2010-2017</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$112,000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2018 (4.25 months)</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$4,956</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$126,956 x 0.50 = $63,478</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Mr. Cunningham also claims for a loss of opportunity to complete his bus into a flexible motor home. Mr. Cunningham testified that his plan was to finish the bus and eventually sell it to produce money for retirement. However, as he was no longer able to do heavy work following the first collision, he was forced to get rid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In my view, there is not enough evidence to substantiate such a claim. First, there is insufficient evidence that Mr. Cunningham would have been able to convert the bus to a level that it would have had re-sale value in the market place. Second, the bus project was in its very early stages, with no evidence as to how long it would take to complete and what additional resources (both labour and materials) were required to complete it, and if Mr. Cunningham would have had the necessary labour and resources at his disposal. Third, Mr. Cunningham's plan was to use the motor home for himself for several years, prior to selling it. There is no evidence as to whether the motor home would have retained any value at the point when he wanted to sell it. Given that much of its resale value would depend on how many kilometers had been driven and what condition it was in at the time of potential sale, there is simply no reliable evidence of the market value of the converted bus, even if I accept that Mr. Cunningham would be able to successfully convert it and then re-sell it. The only evidence provided was from various websites which had sales listings for fully converted flexible motor homes, made out of buses which were of a similar make and model as the one owned by Mr. Cunningham. However, I have no evidence as to what price those vehicles sold for, what condition they were in at the date of sale, or whether they had been professionally converted.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Thus, Mr. Cunningham's claim for loss of opportunity in relation to the flexible motor home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Defence counsel did not seek any offset from the loss of income award for income the plaintiff may have earned as a security officer. Nor is such a loss warranted. There is no evidence that Mr. Cunningham was ever paid to be a security guard or officer; or that such work was reasonably available to him after the first collision. Nor is there any evidence as to how much he could reasonably be expected to earn at such a job if it were available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xml:space="preserve">  As such, Mr. Cunningham's total past wage loss claim is $68,142, plus pre-judgment interest as per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Impairment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xml:space="preserve">  Damages may be awarded for a future loss of earning capacity if there is a "real and substantial" possibility that the plaintiff will suffer a loss of income earning capacity in the future as a result of injuries sustained in the accident: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Pololos v. Cinnamon-Lopez</w:t>
      </w:r>
      <w:r>
        <w:rPr>
          <w:rFonts w:ascii="arial" w:eastAsia="arial" w:hAnsi="arial" w:cs="arial"/>
          <w:color w:val="000000"/>
          <w:sz w:val="20"/>
          <w:lang w:val="en-US" w:eastAsia="en-US" w:bidi="ar-SA"/>
        </w:rPr>
        <w:t xml:space="preserve">, </w:t>
      </w:r>
      <w:hyperlink r:id="rId819" w:history="1">
        <w:r>
          <w:rPr>
            <w:rFonts w:ascii="arial" w:eastAsia="arial" w:hAnsi="arial" w:cs="arial"/>
            <w:i/>
            <w:color w:val="0077CC"/>
            <w:sz w:val="20"/>
            <w:u w:val="single"/>
            <w:shd w:val="clear" w:color="auto" w:fill="FFFFFF"/>
            <w:lang w:val="en-US" w:eastAsia="en-US" w:bidi="ar-SA"/>
          </w:rPr>
          <w:t>2016 BCSC 81</w:t>
        </w:r>
      </w:hyperlink>
      <w:r>
        <w:rPr>
          <w:rFonts w:ascii="arial" w:eastAsia="arial" w:hAnsi="arial" w:cs="arial"/>
          <w:color w:val="000000"/>
          <w:sz w:val="20"/>
          <w:lang w:val="en-US" w:eastAsia="en-US" w:bidi="ar-SA"/>
        </w:rPr>
        <w:t xml:space="preserve"> at para. 133, the Court summarized the applicable principles for assessment of loss of capacity:</w:t>
      </w:r>
      <w:r>
        <w:rPr>
          <w:rFonts w:ascii="arial" w:eastAsia="arial" w:hAnsi="arial" w:cs="arial"/>
          <w:sz w:val="20"/>
          <w:lang w:val="en-US" w:eastAsia="en-US" w:bidi="ar-SA"/>
        </w:rPr>
        <w:cr/>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the extent possible, a plaintiff should be put in the position he/she would have been in, but for the injuries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Lines v. W &amp; D Logging Co. Ltd.</w:t>
      </w:r>
      <w:r>
        <w:rPr>
          <w:rFonts w:ascii="arial" w:eastAsia="arial" w:hAnsi="arial" w:cs="arial"/>
          <w:color w:val="000000"/>
          <w:sz w:val="20"/>
          <w:lang w:val="en-US" w:eastAsia="en-US" w:bidi="ar-SA"/>
        </w:rPr>
        <w:t xml:space="preserve">, </w:t>
      </w:r>
      <w:hyperlink r:id="rId188"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at para. 185, leave to appeal ref'd </w:t>
      </w:r>
      <w:hyperlink r:id="rId820" w:history="1">
        <w:r>
          <w:rPr>
            <w:rFonts w:ascii="arial" w:eastAsia="arial" w:hAnsi="arial" w:cs="arial"/>
            <w:i/>
            <w:color w:val="0077CC"/>
            <w:sz w:val="20"/>
            <w:u w:val="single"/>
            <w:shd w:val="clear" w:color="auto" w:fill="FFFFFF"/>
            <w:lang w:val="en-US" w:eastAsia="en-US" w:bidi="ar-SA"/>
          </w:rPr>
          <w:t>[2009] S.C.C.A. No. 197</w:t>
        </w:r>
      </w:hyperlink>
      <w:r>
        <w:rPr>
          <w:rFonts w:ascii="arial" w:eastAsia="arial" w:hAnsi="arial" w:cs="arial"/>
          <w:color w:val="000000"/>
          <w:sz w:val="20"/>
          <w:lang w:val="en-US" w:eastAsia="en-US" w:bidi="ar-SA"/>
        </w:rPr>
        <w:t>;</w:t>
      </w:r>
    </w:p>
    <w:p>
      <w:pPr>
        <w:numPr>
          <w:numId w:val="4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central task of the Court is to compare the likely future of the plaintiff's working life if the Accident had not occurred with the plaintiff's likely future working life after the Accident;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273"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 32;</w:t>
      </w:r>
    </w:p>
    <w:p>
      <w:pPr>
        <w:numPr>
          <w:numId w:val="4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assessment of loss must be based on the evidence, but requires an exercise of judgment and is not a mathematical calculation;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279"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18;</w:t>
      </w:r>
    </w:p>
    <w:p>
      <w:pPr>
        <w:numPr>
          <w:numId w:val="4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two possible approaches to assessment of loss of future earning capacity are the "earnings approach" and the "capital asset approach";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127"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at para. 7 (S.C.); and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128"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paras. 11-12;</w:t>
      </w:r>
    </w:p>
    <w:p>
      <w:pPr>
        <w:numPr>
          <w:numId w:val="5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Under either approach, the plaintiff must prove that there is a "real and substantial possibility" of various future events leading to an income loss;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33;</w:t>
      </w:r>
    </w:p>
    <w:p>
      <w:pPr>
        <w:numPr>
          <w:numId w:val="5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earnings approach will be more appropriate when the loss is more easily measurable; </w:t>
      </w:r>
      <w:r>
        <w:rPr>
          <w:rFonts w:ascii="arial" w:eastAsia="arial" w:hAnsi="arial" w:cs="arial"/>
          <w:i/>
          <w:color w:val="000000"/>
          <w:sz w:val="20"/>
          <w:lang w:val="en-US" w:eastAsia="en-US" w:bidi="ar-SA"/>
        </w:rPr>
        <w:t>Westbroek v. Brizuela</w:t>
      </w:r>
      <w:r>
        <w:rPr>
          <w:rFonts w:ascii="arial" w:eastAsia="arial" w:hAnsi="arial" w:cs="arial"/>
          <w:color w:val="000000"/>
          <w:sz w:val="20"/>
          <w:lang w:val="en-US" w:eastAsia="en-US" w:bidi="ar-SA"/>
        </w:rPr>
        <w:t xml:space="preserve">, </w:t>
      </w:r>
      <w:hyperlink r:id="rId131" w:history="1">
        <w:r>
          <w:rPr>
            <w:rFonts w:ascii="arial" w:eastAsia="arial" w:hAnsi="arial" w:cs="arial"/>
            <w:i/>
            <w:color w:val="0077CC"/>
            <w:sz w:val="20"/>
            <w:u w:val="single"/>
            <w:shd w:val="clear" w:color="auto" w:fill="FFFFFF"/>
            <w:lang w:val="en-US" w:eastAsia="en-US" w:bidi="ar-SA"/>
          </w:rPr>
          <w:t>2014 BCCA 48</w:t>
        </w:r>
      </w:hyperlink>
      <w:r>
        <w:rPr>
          <w:rFonts w:ascii="arial" w:eastAsia="arial" w:hAnsi="arial" w:cs="arial"/>
          <w:color w:val="000000"/>
          <w:sz w:val="20"/>
          <w:lang w:val="en-US" w:eastAsia="en-US" w:bidi="ar-SA"/>
        </w:rPr>
        <w:t xml:space="preserve"> at para. 64. Furthermore, while assessing an award for future loss of income is not a purely mathematical exercise, the Court should endeavour to use factual mathematical anchors as a starting foundation to quantify such loss; </w:t>
      </w:r>
      <w:r>
        <w:rPr>
          <w:rFonts w:ascii="arial" w:eastAsia="arial" w:hAnsi="arial" w:cs="arial"/>
          <w:i/>
          <w:color w:val="000000"/>
          <w:sz w:val="20"/>
          <w:lang w:val="en-US" w:eastAsia="en-US" w:bidi="ar-SA"/>
        </w:rPr>
        <w:t>Jurczak v. Mauro</w:t>
      </w:r>
      <w:r>
        <w:rPr>
          <w:rFonts w:ascii="arial" w:eastAsia="arial" w:hAnsi="arial" w:cs="arial"/>
          <w:color w:val="000000"/>
          <w:sz w:val="20"/>
          <w:lang w:val="en-US" w:eastAsia="en-US" w:bidi="ar-SA"/>
        </w:rPr>
        <w:t xml:space="preserve">, </w:t>
      </w:r>
      <w:hyperlink r:id="rId280" w:history="1">
        <w:r>
          <w:rPr>
            <w:rFonts w:ascii="arial" w:eastAsia="arial" w:hAnsi="arial" w:cs="arial"/>
            <w:i/>
            <w:color w:val="0077CC"/>
            <w:sz w:val="20"/>
            <w:u w:val="single"/>
            <w:shd w:val="clear" w:color="auto" w:fill="FFFFFF"/>
            <w:lang w:val="en-US" w:eastAsia="en-US" w:bidi="ar-SA"/>
          </w:rPr>
          <w:t>2013 BCCA 507</w:t>
        </w:r>
      </w:hyperlink>
      <w:r>
        <w:rPr>
          <w:rFonts w:ascii="arial" w:eastAsia="arial" w:hAnsi="arial" w:cs="arial"/>
          <w:color w:val="000000"/>
          <w:sz w:val="20"/>
          <w:lang w:val="en-US" w:eastAsia="en-US" w:bidi="ar-SA"/>
        </w:rPr>
        <w:t xml:space="preserve"> at paras. 36-37.</w:t>
      </w:r>
    </w:p>
    <w:p>
      <w:pPr>
        <w:numPr>
          <w:numId w:val="5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relying on an "earnings approach", the Court must nevertheless always consider the overall fairness and reasonableness of the award, taking into account all of the evidence;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 xml:space="preserve"> at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xml:space="preserve">  The court must consider both positive and negative contingencies when conducting this analysis: </w:t>
      </w:r>
      <w:r>
        <w:rPr>
          <w:rFonts w:ascii="arial" w:eastAsia="arial" w:hAnsi="arial" w:cs="arial"/>
          <w:i/>
          <w:color w:val="000000"/>
          <w:sz w:val="20"/>
          <w:lang w:val="en-US" w:eastAsia="en-US" w:bidi="ar-SA"/>
        </w:rPr>
        <w:t>Kellett v. Stam</w:t>
      </w:r>
      <w:r>
        <w:rPr>
          <w:rFonts w:ascii="arial" w:eastAsia="arial" w:hAnsi="arial" w:cs="arial"/>
          <w:color w:val="000000"/>
          <w:sz w:val="20"/>
          <w:lang w:val="en-US" w:eastAsia="en-US" w:bidi="ar-SA"/>
        </w:rPr>
        <w:t xml:space="preserve">, </w:t>
      </w:r>
      <w:hyperlink r:id="rId894" w:history="1">
        <w:r>
          <w:rPr>
            <w:rFonts w:ascii="arial" w:eastAsia="arial" w:hAnsi="arial" w:cs="arial"/>
            <w:i/>
            <w:color w:val="0077CC"/>
            <w:sz w:val="20"/>
            <w:u w:val="single"/>
            <w:shd w:val="clear" w:color="auto" w:fill="FFFFFF"/>
            <w:lang w:val="en-US" w:eastAsia="en-US" w:bidi="ar-SA"/>
          </w:rPr>
          <w:t>2018 BCSC 1127</w:t>
        </w:r>
      </w:hyperlink>
      <w:r>
        <w:rPr>
          <w:rFonts w:ascii="arial" w:eastAsia="arial" w:hAnsi="arial" w:cs="arial"/>
          <w:color w:val="000000"/>
          <w:sz w:val="20"/>
          <w:lang w:val="en-US" w:eastAsia="en-US" w:bidi="ar-SA"/>
        </w:rPr>
        <w:t xml:space="preserve"> at para. 77.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Based on the evidence, I am satisfied that there is a real and substantial possibility that the plaintiff will suffer a future loss of income earning capacity as a result of injuries sustained in the accident. I find that the earnings approach is the more appropriate approach, as the loss is more easily measurable given Mr. Cunningham's age and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Mr. Cunningham is already over 65 years old, and will be 66 in October. As such, very little "crystal ball gazing" is required in assessing a future impairment claim. I am satisfied on the evidence, that but for the collisions, he would have continued working past the age of 65. However, given the number of his pre-existing health concerns, and the various intervening events, I find it unlikely that Mr. Cunningham would have worked beyond the end of the 2019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Using the same methodology as for the past income loss calculations yields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928"/>
        <w:gridCol w:w="1359"/>
        <w:gridCol w:w="61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2018 (7.75 months)</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$9,037</w:t>
            </w:r>
          </w:p>
        </w:tc>
        <w:tc>
          <w:tcPr>
            <w:tcW w:w="604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928"/>
        <w:gridCol w:w="1568"/>
        <w:gridCol w:w="59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$2019 (12 months)</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$14,000</w:t>
            </w:r>
          </w:p>
        </w:tc>
        <w:tc>
          <w:tcPr>
            <w:tcW w:w="5837"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555"/>
        <w:gridCol w:w="58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57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$23,037 x 0.50 = $11,519</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Based on the whole of the evidence, and after accounting for various contingencies, such as the possibility that Mr. Cunningham may have chosen to work part-time rather than full time during the last year or two before retiring, I find that a fair and reasonable assessment of Mr. Cunningham's impairment of future earning capacity is $10,000.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 Future Cost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In May 2012, Dr. Vallentyne recommended the following:</w:t>
      </w:r>
      <w:r>
        <w:rPr>
          <w:rFonts w:ascii="arial" w:eastAsia="arial" w:hAnsi="arial" w:cs="arial"/>
          <w:sz w:val="20"/>
          <w:lang w:val="en-US" w:eastAsia="en-US" w:bidi="ar-SA"/>
        </w:rPr>
        <w:cr/>
      </w:r>
    </w:p>
    <w:p>
      <w:pPr>
        <w:numPr>
          <w:numId w:val="5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due to the side effects and risks, he discontinue use of strong analgesics and anti-inflammatory medications;</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progressive exercise program including five sessions with a physiotherapist to develop and oversee an exercise program;</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10-15 sessions with an exercise therapist and a gym pass;</w:t>
      </w:r>
    </w:p>
    <w:p>
      <w:pPr>
        <w:numPr>
          <w:numId w:val="5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nutritional counselling for weight loss; and</w:t>
      </w:r>
    </w:p>
    <w:p>
      <w:pPr>
        <w:numPr>
          <w:numId w:val="5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lumbar hot pack.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Dr. Reebye recommended the following:</w:t>
      </w:r>
      <w:r>
        <w:rPr>
          <w:rFonts w:ascii="arial" w:eastAsia="arial" w:hAnsi="arial" w:cs="arial"/>
          <w:sz w:val="20"/>
          <w:lang w:val="en-US" w:eastAsia="en-US" w:bidi="ar-SA"/>
        </w:rPr>
        <w:cr/>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counseling and/or medications to treat his mental health concerns;</w:t>
      </w:r>
    </w:p>
    <w:p>
      <w:pPr>
        <w:numPr>
          <w:numId w:val="5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improvement of his sleep patterns using medication if necessary;</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weight loss;</w:t>
      </w:r>
    </w:p>
    <w:p>
      <w:pPr>
        <w:numPr>
          <w:numId w:val="6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non-narcotic pain medication and other pain relief strategies such as relaxation, TENS, and muscle relaxants; and</w:t>
      </w:r>
    </w:p>
    <w:p>
      <w:pPr>
        <w:numPr>
          <w:numId w:val="6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regular active exercise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The defendants argue that there is no evidence that these treatments are still needed. Further, they say that Mr. Cunningham has not taken any steps to undertake any of these treatments in the ensuing six years since the recommendations were made. Finally, it is argued that there is no evidence as to the cost of such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xml:space="preserve">  When determining a cost of future care award, the court should try to restore the plaintiff, as best as possible with a monetary award, to the position he would have been in had the accident not occurred. The award is based on what is reasonably necessary on the medical evidence to promote the mental and physical health of the plaintiff: </w:t>
      </w:r>
      <w:r>
        <w:rPr>
          <w:rFonts w:ascii="arial" w:eastAsia="arial" w:hAnsi="arial" w:cs="arial"/>
          <w:i/>
          <w:color w:val="000000"/>
          <w:sz w:val="20"/>
          <w:lang w:val="en-US" w:eastAsia="en-US" w:bidi="ar-SA"/>
        </w:rPr>
        <w:t>Gignac v. Insurance Corporation of British Columbia</w:t>
      </w:r>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2012 BCCA 351</w:t>
        </w:r>
      </w:hyperlink>
      <w:r>
        <w:rPr>
          <w:rFonts w:ascii="arial" w:eastAsia="arial" w:hAnsi="arial" w:cs="arial"/>
          <w:color w:val="000000"/>
          <w:sz w:val="20"/>
          <w:lang w:val="en-US" w:eastAsia="en-US" w:bidi="ar-SA"/>
        </w:rPr>
        <w:t xml:space="preserve"> at paras. 29-30.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xml:space="preserve">  A claim for future care is established if there is medical justification for the claim, the claim is reasonable, and the expense is likely to be incurred by the plaintiff: </w:t>
      </w:r>
      <w:r>
        <w:rPr>
          <w:rFonts w:ascii="arial" w:eastAsia="arial" w:hAnsi="arial" w:cs="arial"/>
          <w:i/>
          <w:color w:val="000000"/>
          <w:sz w:val="20"/>
          <w:lang w:val="en-US" w:eastAsia="en-US" w:bidi="ar-SA"/>
        </w:rPr>
        <w:t>Audet v. Chan</w:t>
      </w:r>
      <w:r>
        <w:rPr>
          <w:rFonts w:ascii="arial" w:eastAsia="arial" w:hAnsi="arial" w:cs="arial"/>
          <w:color w:val="000000"/>
          <w:sz w:val="20"/>
          <w:lang w:val="en-US" w:eastAsia="en-US" w:bidi="ar-SA"/>
        </w:rPr>
        <w:t xml:space="preserve">, </w:t>
      </w:r>
      <w:hyperlink r:id="rId895" w:history="1">
        <w:r>
          <w:rPr>
            <w:rFonts w:ascii="arial" w:eastAsia="arial" w:hAnsi="arial" w:cs="arial"/>
            <w:i/>
            <w:color w:val="0077CC"/>
            <w:sz w:val="20"/>
            <w:u w:val="single"/>
            <w:shd w:val="clear" w:color="auto" w:fill="FFFFFF"/>
            <w:lang w:val="en-US" w:eastAsia="en-US" w:bidi="ar-SA"/>
          </w:rPr>
          <w:t>2018 BCSC 1123</w:t>
        </w:r>
      </w:hyperlink>
      <w:r>
        <w:rPr>
          <w:rFonts w:ascii="arial" w:eastAsia="arial" w:hAnsi="arial" w:cs="arial"/>
          <w:color w:val="000000"/>
          <w:sz w:val="20"/>
          <w:lang w:val="en-US" w:eastAsia="en-US" w:bidi="ar-SA"/>
        </w:rPr>
        <w:t xml:space="preserve"> at paras. 113-115, citing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33"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83 (S.C.); see also </w:t>
      </w:r>
      <w:r>
        <w:rPr>
          <w:rFonts w:ascii="arial" w:eastAsia="arial" w:hAnsi="arial" w:cs="arial"/>
          <w:i/>
          <w:color w:val="000000"/>
          <w:sz w:val="20"/>
          <w:lang w:val="en-US" w:eastAsia="en-US" w:bidi="ar-SA"/>
        </w:rPr>
        <w:t>Hardychuck v. Johnstone</w:t>
      </w:r>
      <w:r>
        <w:rPr>
          <w:rFonts w:ascii="arial" w:eastAsia="arial" w:hAnsi="arial" w:cs="arial"/>
          <w:color w:val="000000"/>
          <w:sz w:val="20"/>
          <w:lang w:val="en-US" w:eastAsia="en-US" w:bidi="ar-SA"/>
        </w:rPr>
        <w:t xml:space="preserve">, </w:t>
      </w:r>
      <w:hyperlink r:id="rId896" w:history="1">
        <w:r>
          <w:rPr>
            <w:rFonts w:ascii="arial" w:eastAsia="arial" w:hAnsi="arial" w:cs="arial"/>
            <w:i/>
            <w:color w:val="0077CC"/>
            <w:sz w:val="20"/>
            <w:u w:val="single"/>
            <w:shd w:val="clear" w:color="auto" w:fill="FFFFFF"/>
            <w:lang w:val="en-US" w:eastAsia="en-US" w:bidi="ar-SA"/>
          </w:rPr>
          <w:t>2012 BCSC 1359</w:t>
        </w:r>
      </w:hyperlink>
      <w:r>
        <w:rPr>
          <w:rFonts w:ascii="arial" w:eastAsia="arial" w:hAnsi="arial" w:cs="arial"/>
          <w:color w:val="000000"/>
          <w:sz w:val="20"/>
          <w:lang w:val="en-US" w:eastAsia="en-US" w:bidi="ar-SA"/>
        </w:rPr>
        <w:t xml:space="preserve"> at paras. 210-212.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xml:space="preserve">  To assess costs of future care, the court requires evidence of the amounts claimed: </w:t>
      </w:r>
      <w:r>
        <w:rPr>
          <w:rFonts w:ascii="arial" w:eastAsia="arial" w:hAnsi="arial" w:cs="arial"/>
          <w:i/>
          <w:color w:val="000000"/>
          <w:sz w:val="20"/>
          <w:lang w:val="en-US" w:eastAsia="en-US" w:bidi="ar-SA"/>
        </w:rPr>
        <w:t>Manky v. Scheepers</w:t>
      </w:r>
      <w:r>
        <w:rPr>
          <w:rFonts w:ascii="arial" w:eastAsia="arial" w:hAnsi="arial" w:cs="arial"/>
          <w:color w:val="000000"/>
          <w:sz w:val="20"/>
          <w:lang w:val="en-US" w:eastAsia="en-US" w:bidi="ar-SA"/>
        </w:rPr>
        <w:t xml:space="preserve">, </w:t>
      </w:r>
      <w:hyperlink r:id="rId897" w:history="1">
        <w:r>
          <w:rPr>
            <w:rFonts w:ascii="arial" w:eastAsia="arial" w:hAnsi="arial" w:cs="arial"/>
            <w:i/>
            <w:color w:val="0077CC"/>
            <w:sz w:val="20"/>
            <w:u w:val="single"/>
            <w:shd w:val="clear" w:color="auto" w:fill="FFFFFF"/>
            <w:lang w:val="en-US" w:eastAsia="en-US" w:bidi="ar-SA"/>
          </w:rPr>
          <w:t>2017 BCSC 1870</w:t>
        </w:r>
      </w:hyperlink>
      <w:r>
        <w:rPr>
          <w:rFonts w:ascii="arial" w:eastAsia="arial" w:hAnsi="arial" w:cs="arial"/>
          <w:color w:val="000000"/>
          <w:sz w:val="20"/>
          <w:lang w:val="en-US" w:eastAsia="en-US" w:bidi="ar-SA"/>
        </w:rPr>
        <w:t xml:space="preserve"> at para. 154; </w:t>
      </w:r>
      <w:r>
        <w:rPr>
          <w:rFonts w:ascii="arial" w:eastAsia="arial" w:hAnsi="arial" w:cs="arial"/>
          <w:i/>
          <w:color w:val="000000"/>
          <w:sz w:val="20"/>
          <w:lang w:val="en-US" w:eastAsia="en-US" w:bidi="ar-SA"/>
        </w:rPr>
        <w:t>Patterson v. Gauthier</w:t>
      </w:r>
      <w:r>
        <w:rPr>
          <w:rFonts w:ascii="arial" w:eastAsia="arial" w:hAnsi="arial" w:cs="arial"/>
          <w:color w:val="000000"/>
          <w:sz w:val="20"/>
          <w:lang w:val="en-US" w:eastAsia="en-US" w:bidi="ar-SA"/>
        </w:rPr>
        <w:t xml:space="preserve">, </w:t>
      </w:r>
      <w:hyperlink r:id="rId898" w:history="1">
        <w:r>
          <w:rPr>
            <w:rFonts w:ascii="arial" w:eastAsia="arial" w:hAnsi="arial" w:cs="arial"/>
            <w:i/>
            <w:color w:val="0077CC"/>
            <w:sz w:val="20"/>
            <w:u w:val="single"/>
            <w:shd w:val="clear" w:color="auto" w:fill="FFFFFF"/>
            <w:lang w:val="en-US" w:eastAsia="en-US" w:bidi="ar-SA"/>
          </w:rPr>
          <w:t>2019 BCSC 633</w:t>
        </w:r>
      </w:hyperlink>
      <w:r>
        <w:rPr>
          <w:rFonts w:ascii="arial" w:eastAsia="arial" w:hAnsi="arial" w:cs="arial"/>
          <w:color w:val="000000"/>
          <w:sz w:val="20"/>
          <w:lang w:val="en-US" w:eastAsia="en-US" w:bidi="ar-SA"/>
        </w:rPr>
        <w:t xml:space="preserve"> at para. 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While the plaintiff has provided medical justification, he has not sought any specific amount under this head of damages. The Court has no evidence of the expense that will be incurred for cost of future care. As such, no amount is awarded under this head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IX. BAD FAITH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Mr. Cunningham initially sought punitive damages against ICBC for bad faith. Though this claim appears to have been largely abandoned by the end of the trial, as it was not clearly withdrawn, I have addressed it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The plaintiff makes the following allegations at page 11 of his Statement of Claim in the action related to the first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ICBC adjuster supplied photo (LIST OF DOCUMENTS) of vehicle damage to the plaintiffs motorcycle are in error and concentrated on the left (WRONGSIDE)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RCMP accident report (4003011) shows the proper side of impact to both parties. (list of documents)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communication from Robertson Robyn of ICBC (list of documents) resource number 27985 show the wrong information vehicle damage rear right side of defendants' scooter. This is in error or misleading yet seems to follow the many errors of subsequent errors that need to be addressed.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supplied the proper information to prior consul pointing out the wrong facts supplied by ICBC early on in these proceedings. (available upon request various emails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supplied the proper photos as well as tried to correct the information with the defendants consul Mr. Dana Graves of Hammering and Associates.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true photos of Right side collision were received and stamped received By Hemmerling and Associates provided in plaintiffs 4th supplementary list of documents received and dated August 30 2013, by Mr. Graves of Hemmerling and Associates.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Thru various communications the plaintiff attempted to point out the errors and omissions to the true facts. (emails available)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attempts made by the plaintiff to have Mr. Dana Graves of Hemmerling and Associates to acknowledge the TRUE Facts were ignored on numerous occasions.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is confused as to how True Facts can be changed or omitted without accountability by the defendant or defendent's consul.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consul for the defendant also ignored these true facts[.]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xml:space="preserve"> throughout.]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McDonald v. Insurance Corporation of British Columbia</w:t>
      </w:r>
      <w:r>
        <w:rPr>
          <w:rFonts w:ascii="arial" w:eastAsia="arial" w:hAnsi="arial" w:cs="arial"/>
          <w:color w:val="000000"/>
          <w:sz w:val="20"/>
          <w:lang w:val="en-US" w:eastAsia="en-US" w:bidi="ar-SA"/>
        </w:rPr>
        <w:t xml:space="preserve">, </w:t>
      </w:r>
      <w:hyperlink r:id="rId899" w:history="1">
        <w:r>
          <w:rPr>
            <w:rFonts w:ascii="arial" w:eastAsia="arial" w:hAnsi="arial" w:cs="arial"/>
            <w:i/>
            <w:color w:val="0077CC"/>
            <w:sz w:val="20"/>
            <w:u w:val="single"/>
            <w:shd w:val="clear" w:color="auto" w:fill="FFFFFF"/>
            <w:lang w:val="en-US" w:eastAsia="en-US" w:bidi="ar-SA"/>
          </w:rPr>
          <w:t>2012 BCSC 283</w:t>
        </w:r>
      </w:hyperlink>
      <w:r>
        <w:rPr>
          <w:rFonts w:ascii="arial" w:eastAsia="arial" w:hAnsi="arial" w:cs="arial"/>
          <w:color w:val="000000"/>
          <w:sz w:val="20"/>
          <w:lang w:val="en-US" w:eastAsia="en-US" w:bidi="ar-SA"/>
        </w:rPr>
        <w:t>, the Court noted that breach of the duty of good faith does not require malicious intent on the part of the insurer. The elements to establish breach of the duty of good faith were set out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 The following guidelines of good faith emerge from the court's instructive analysis in </w:t>
      </w:r>
      <w:r>
        <w:rPr>
          <w:rFonts w:ascii="arial" w:eastAsia="arial" w:hAnsi="arial" w:cs="arial"/>
          <w:i/>
          <w:color w:val="000000"/>
          <w:sz w:val="20"/>
          <w:lang w:val="en-US" w:eastAsia="en-US" w:bidi="ar-SA"/>
        </w:rPr>
        <w:t>Bullock</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Bullock v. Trafalgar Insurance Co. of Canada</w:t>
      </w:r>
      <w:r>
        <w:rPr>
          <w:rFonts w:ascii="arial" w:eastAsia="arial" w:hAnsi="arial" w:cs="arial"/>
          <w:color w:val="000000"/>
          <w:sz w:val="20"/>
          <w:lang w:val="en-US" w:eastAsia="en-US" w:bidi="ar-SA"/>
        </w:rPr>
        <w:t xml:space="preserve">, </w:t>
      </w:r>
      <w:hyperlink r:id="rId900" w:history="1">
        <w:r>
          <w:rPr>
            <w:rFonts w:ascii="arial" w:eastAsia="arial" w:hAnsi="arial" w:cs="arial"/>
            <w:i/>
            <w:color w:val="0077CC"/>
            <w:sz w:val="20"/>
            <w:u w:val="single"/>
            <w:shd w:val="clear" w:color="auto" w:fill="FFFFFF"/>
            <w:lang w:val="en-US" w:eastAsia="en-US" w:bidi="ar-SA"/>
          </w:rPr>
          <w:t>[1996] O.J. No. 2566</w:t>
        </w:r>
      </w:hyperlink>
      <w:r>
        <w:rPr>
          <w:rFonts w:ascii="arial" w:eastAsia="arial" w:hAnsi="arial" w:cs="arial"/>
          <w:color w:val="000000"/>
          <w:sz w:val="20"/>
          <w:lang w:val="en-US" w:eastAsia="en-US" w:bidi="ar-SA"/>
        </w:rPr>
        <w:t xml:space="preserve"> (C.J. Gen. Div.)]: (1) an insurer must perform a balanced and reasonable investigation and assessment of the first party claim; (2) it must be prompt in handling and assessing the loss; (3) the insurer must assess the merits of the claim in a balanced and reasonable manner; (4) it must give as much consideration to the interests of the insured as it does to its own interests and is not to do anything to injure the insured's rights to benefits under the policy; and (5) a want of reasonable care in settling a claim suggests an absence of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The essence of the allegation was the plaintiff's unsubstantiated belief that the ICBC estimator took photographs of his motorcycle in such a manner as to downplay the damage to the motorcycle and thereby diminish the plaintiff's claim. The estimator was not called as a witness and the entirety of this argument was based on speculation and conjecture. At the conclusion of the trial, the plaintiff acknowledged that he may have been mistaken in his belief that the insurer or its counsel or agents had acted in bad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I can find no evidence of bad faith, either by the insurer, or its agents or legal counsel. Mr. Cunningham's claim for punitive damages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 SUMMARY OF DAMAGES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Damages are assessed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601"/>
        <w:gridCol w:w="480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$80,000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Income Loss</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$68,142</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Future Earning Capacity</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Costs of Future Care</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Total Loss</w:t>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$158,142</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xml:space="preserve">  As noted above, the plaintiff is entitled to interest in accordance with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XI.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Costs ordinarily follow the event. As such, the plaintiff is entitled to his costs at Scale B, subject to any offers or other matters that I have not been made aware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P.K. SHERGILL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9" style="position:absolute;z-index:2518036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01"/>
          <w:headerReference w:type="default" r:id="rId902"/>
          <w:footerReference w:type="even" r:id="rId903"/>
          <w:footerReference w:type="default" r:id="rId904"/>
          <w:headerReference w:type="first" r:id="rId905"/>
          <w:footerReference w:type="first" r:id="rId90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07" w:history="1">
        <w:r>
          <w:rPr>
            <w:rFonts w:ascii="arial" w:eastAsia="arial" w:hAnsi="arial" w:cs="arial"/>
            <w:b/>
            <w:bCs/>
            <w:i/>
            <w:color w:val="0077CC"/>
            <w:kern w:val="32"/>
            <w:sz w:val="28"/>
            <w:szCs w:val="32"/>
            <w:u w:val="single"/>
            <w:shd w:val="clear" w:color="auto" w:fill="FFFFFF"/>
            <w:lang w:val="en-US" w:eastAsia="en-US" w:bidi="ar-SA"/>
          </w:rPr>
          <w:t>Der v. Zhao, [2019] B.C.J. No. 2227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 MacNaughton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9, May 31 and August 23,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22,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S186329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2227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1996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Kwok Der also know as Darwin Der, Plaintiff, and Ang Zhao, Qianqiu Huang and City of Burnaby, Defendants, and Ang Zhao and Qianqiu Huang,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(77 paras.)</w:t>
      </w:r>
    </w:p>
    <w:p>
      <w:pPr>
        <w:jc w:val="both"/>
        <w:rPr>
          <w:rFonts w:ascii="arial" w:eastAsia="arial" w:hAnsi="arial" w:cs="arial"/>
          <w:sz w:val="20"/>
          <w:lang w:val="en-US" w:eastAsia="en-US" w:bidi="ar-SA"/>
        </w:rPr>
      </w:pPr>
      <w:bookmarkStart w:id="200" w:name="Counsel_42"/>
      <w:bookmarkEnd w:id="20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0" style="position:absolute;z-index:2517022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S.E. Gibson.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Ang Zhao and Qianqiu Huang: A. Eged.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01" w:name="Judgment_42"/>
      <w:bookmarkEnd w:id="201"/>
      <w:r>
        <w:pict>
          <v:line id="_x0000_s1181" style="position:absolute;z-index:25175347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CURRENT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Legal Principles: Severance and Summary Trial Applications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Evidence on This Summary Trial</w:t>
      </w:r>
    </w:p>
    <w:p>
      <w:pPr>
        <w:numPr>
          <w:numId w:val="1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Der's Affidavit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Captain Howard's Affidavit</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Tim Leggett's Expert Report</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Zhao and Ms. Huang's Evidence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owe the plaintiff a duty of care?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Does this case fall within a previously recognized category?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Should a novel duty of care be recognized?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3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2" w:name="H. MacNAUGHTON J."/>
            <w:bookmarkEnd w:id="202"/>
            <w:r>
              <w:rPr>
                <w:rFonts w:ascii="arial" w:eastAsia="arial" w:hAnsi="arial" w:cs="arial"/>
                <w:b/>
                <w:color w:val="000000"/>
                <w:sz w:val="30"/>
                <w:lang w:val="en-US" w:eastAsia="en-US" w:bidi="ar-SA"/>
              </w:rPr>
              <w:t>H. MacNAUGHTON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defendants, Ang Zhao and his wife, Quianqiu Huang, jointly own a home at 8603 12th Avenue, Burnaby, BC. The home is located at the corner of 12th Avenue and Coquitlam Street (the "Premises"). The Premises are in a residential neighbourhood, close to local schools and parks.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his amended notice of civil claim, the plaintiff, Kwok Der, alleges that on December 21, 2017, he slipped and fell backwards on a municipal sidewalk adjacent to the Premises (the "Fall") and suffered serious, life-changing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Der filed a notice of civil claim on June 1, 2018. Originally, he named only Mr. Zhao and Ms. Huang as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September 2018, Mr. Der added the City of Burnaby (the "City") as a defendant, and it issued a third party notice against Mr. Zhao and Ms. Huang. After an examination for discovery of a representative of the City, Mr. Der discontinued his action against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Mr. Der originally framed his claim in both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occupier's liability. He now acknowledges that Mr. Zhao and Ms. Huang were not occupiers of the sidewalk as they were not in possession of it and did not have responsibility for or control over it: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hyperlink r:id="rId908" w:history="1">
        <w:r>
          <w:rPr>
            <w:rFonts w:ascii="arial" w:eastAsia="arial" w:hAnsi="arial" w:cs="arial"/>
            <w:i/>
            <w:color w:val="0077CC"/>
            <w:sz w:val="20"/>
            <w:u w:val="single"/>
            <w:shd w:val="clear" w:color="auto" w:fill="FFFFFF"/>
            <w:lang w:val="en-US" w:eastAsia="en-US" w:bidi="ar-SA"/>
          </w:rPr>
          <w:t>R.S.B.C. 1996, c. 337, s. 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Chamberlain v. Jodoin</w:t>
      </w:r>
      <w:r>
        <w:rPr>
          <w:rFonts w:ascii="arial" w:eastAsia="arial" w:hAnsi="arial" w:cs="arial"/>
          <w:color w:val="000000"/>
          <w:sz w:val="20"/>
          <w:lang w:val="en-US" w:eastAsia="en-US" w:bidi="ar-SA"/>
        </w:rPr>
        <w:t xml:space="preserve">, </w:t>
      </w:r>
      <w:hyperlink r:id="rId909" w:history="1">
        <w:r>
          <w:rPr>
            <w:rFonts w:ascii="arial" w:eastAsia="arial" w:hAnsi="arial" w:cs="arial"/>
            <w:i/>
            <w:color w:val="0077CC"/>
            <w:sz w:val="20"/>
            <w:u w:val="single"/>
            <w:shd w:val="clear" w:color="auto" w:fill="FFFFFF"/>
            <w:lang w:val="en-US" w:eastAsia="en-US" w:bidi="ar-SA"/>
          </w:rPr>
          <w:t>2012 BCCA 108</w:t>
        </w:r>
      </w:hyperlink>
      <w:r>
        <w:rPr>
          <w:rFonts w:ascii="arial" w:eastAsia="arial" w:hAnsi="arial" w:cs="arial"/>
          <w:color w:val="000000"/>
          <w:sz w:val="20"/>
          <w:lang w:val="en-US" w:eastAsia="en-US" w:bidi="ar-SA"/>
        </w:rPr>
        <w:t xml:space="preserve"> at paras. 30,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In submissions before me, Mr. Der also acknowledged that a breach of the City Bylaw No. 4299, s. 31, which requires an owner or occupier of property abutting a municipal sidewalk to clear it of ice and snow by 10:00 a.m. every day (the "City bylaw"), does not create civil liability against the property owner to a third party using the sidewalk: </w:t>
      </w:r>
      <w:r>
        <w:rPr>
          <w:rFonts w:ascii="arial" w:eastAsia="arial" w:hAnsi="arial" w:cs="arial"/>
          <w:i/>
          <w:color w:val="000000"/>
          <w:sz w:val="20"/>
          <w:lang w:val="en-US" w:eastAsia="en-US" w:bidi="ar-SA"/>
        </w:rPr>
        <w:t>Cullinane v. Prince George (City)</w:t>
      </w:r>
      <w:r>
        <w:rPr>
          <w:rFonts w:ascii="arial" w:eastAsia="arial" w:hAnsi="arial" w:cs="arial"/>
          <w:color w:val="000000"/>
          <w:sz w:val="20"/>
          <w:lang w:val="en-US" w:eastAsia="en-US" w:bidi="ar-SA"/>
        </w:rPr>
        <w:t xml:space="preserve">, </w:t>
      </w:r>
      <w:hyperlink r:id="rId910" w:history="1">
        <w:r>
          <w:rPr>
            <w:rFonts w:ascii="arial" w:eastAsia="arial" w:hAnsi="arial" w:cs="arial"/>
            <w:i/>
            <w:color w:val="0077CC"/>
            <w:sz w:val="20"/>
            <w:u w:val="single"/>
            <w:shd w:val="clear" w:color="auto" w:fill="FFFFFF"/>
            <w:lang w:val="en-US" w:eastAsia="en-US" w:bidi="ar-SA"/>
          </w:rPr>
          <w:t>2000 BCSC 1089</w:t>
        </w:r>
      </w:hyperlink>
      <w:r>
        <w:rPr>
          <w:rFonts w:ascii="arial" w:eastAsia="arial" w:hAnsi="arial" w:cs="arial"/>
          <w:color w:val="000000"/>
          <w:sz w:val="20"/>
          <w:lang w:val="en-US" w:eastAsia="en-US" w:bidi="ar-SA"/>
        </w:rPr>
        <w:t xml:space="preserve"> at paras. 53-67; </w:t>
      </w:r>
      <w:r>
        <w:rPr>
          <w:rFonts w:ascii="arial" w:eastAsia="arial" w:hAnsi="arial" w:cs="arial"/>
          <w:i/>
          <w:color w:val="000000"/>
          <w:sz w:val="20"/>
          <w:lang w:val="en-US" w:eastAsia="en-US" w:bidi="ar-SA"/>
        </w:rPr>
        <w:t>Cullinane v. Prince George (City)</w:t>
      </w:r>
      <w:r>
        <w:rPr>
          <w:rFonts w:ascii="arial" w:eastAsia="arial" w:hAnsi="arial" w:cs="arial"/>
          <w:color w:val="000000"/>
          <w:sz w:val="20"/>
          <w:lang w:val="en-US" w:eastAsia="en-US" w:bidi="ar-SA"/>
        </w:rPr>
        <w:t xml:space="preserve">, </w:t>
      </w:r>
      <w:hyperlink r:id="rId911" w:history="1">
        <w:r>
          <w:rPr>
            <w:rFonts w:ascii="arial" w:eastAsia="arial" w:hAnsi="arial" w:cs="arial"/>
            <w:i/>
            <w:color w:val="0077CC"/>
            <w:sz w:val="20"/>
            <w:u w:val="single"/>
            <w:shd w:val="clear" w:color="auto" w:fill="FFFFFF"/>
            <w:lang w:val="en-US" w:eastAsia="en-US" w:bidi="ar-SA"/>
          </w:rPr>
          <w:t>2001 BCSC 155</w:t>
        </w:r>
      </w:hyperlink>
      <w:r>
        <w:rPr>
          <w:rFonts w:ascii="arial" w:eastAsia="arial" w:hAnsi="arial" w:cs="arial"/>
          <w:color w:val="000000"/>
          <w:sz w:val="20"/>
          <w:lang w:val="en-US" w:eastAsia="en-US" w:bidi="ar-SA"/>
        </w:rPr>
        <w:t xml:space="preserve"> at paras. 7-8, 11; </w:t>
      </w:r>
      <w:r>
        <w:rPr>
          <w:rFonts w:ascii="arial" w:eastAsia="arial" w:hAnsi="arial" w:cs="arial"/>
          <w:i/>
          <w:color w:val="000000"/>
          <w:sz w:val="20"/>
          <w:lang w:val="en-US" w:eastAsia="en-US" w:bidi="ar-SA"/>
        </w:rPr>
        <w:t>Bongiardina v. York (Regional Municipality)</w:t>
      </w:r>
      <w:r>
        <w:rPr>
          <w:rFonts w:ascii="arial" w:eastAsia="arial" w:hAnsi="arial" w:cs="arial"/>
          <w:color w:val="000000"/>
          <w:sz w:val="20"/>
          <w:lang w:val="en-US" w:eastAsia="en-US" w:bidi="ar-SA"/>
        </w:rPr>
        <w:t xml:space="preserve"> </w:t>
      </w:r>
      <w:hyperlink r:id="rId912" w:history="1">
        <w:r>
          <w:rPr>
            <w:rFonts w:ascii="arial" w:eastAsia="arial" w:hAnsi="arial" w:cs="arial"/>
            <w:i/>
            <w:color w:val="0077CC"/>
            <w:sz w:val="20"/>
            <w:u w:val="single"/>
            <w:shd w:val="clear" w:color="auto" w:fill="FFFFFF"/>
            <w:lang w:val="en-US" w:eastAsia="en-US" w:bidi="ar-SA"/>
          </w:rPr>
          <w:t>(2000), 49 O.R. (3d) 641</w:t>
        </w:r>
      </w:hyperlink>
      <w:r>
        <w:rPr>
          <w:rFonts w:ascii="arial" w:eastAsia="arial" w:hAnsi="arial" w:cs="arial"/>
          <w:color w:val="000000"/>
          <w:sz w:val="20"/>
          <w:lang w:val="en-US" w:eastAsia="en-US" w:bidi="ar-SA"/>
        </w:rPr>
        <w:t xml:space="preserve"> (C.A.) at para.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Thus, Mr. Der's only remaining claim is based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particular, at para. 12 of his amended notice of civil claim, Mr. Der says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Defendants, Zhao and Huang, or their agent, contractor, or employee, failed in their attempt to clear snow and/or ice in the day or days preceding the Fall, and thereby created a hazardous, slippery sidewalk that was not visible to a reasonable pedestrian.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Zhao and Ms. Huang have denied liability for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 19-day trial is scheduled to commence on February 10, 2020.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Current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Mr. Zhao and Ms. Huang apply to sever the issue of liability from damages and have the issue of liability determined by way of a summary trial, pursuant to Rule 9-7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They argue that they owed no duty of care to the plaintiff and that the claim against them should be dismissed on that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Der opposes severance on the basis that there are no extraordinary, exceptional, or compelling reasons to sever. Mr. Der also argues that this case is not suitable for summary trial for reasons which include the following:</w:t>
      </w:r>
      <w:r>
        <w:rPr>
          <w:rFonts w:ascii="arial" w:eastAsia="arial" w:hAnsi="arial" w:cs="arial"/>
          <w:sz w:val="20"/>
          <w:lang w:val="en-US" w:eastAsia="en-US" w:bidi="ar-SA"/>
        </w:rPr>
        <w:cr/>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cannot find the necessary facts given the contradictions in the evidence regarding the condition of the sidewalk on December 21, 2017;</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case, Mr. Der seeks to argue a novel duty of care which has not previously been determined in the circumstances of a winter sidewalk maintenance case;</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the liability issue will likely take three days at trial, the cost savings of a summary trial are slight compared to the severity of Mr. Der's injuries, for which a significant financial award is sought; and</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would be unjust to decide this matter summarily. Mr. Der should be able to call evidence from the City, which, until recently due to its party status, he has been unable to do. Further, Mr. Der has not been given access to critical witnesses, and has not been accorded his full examination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two related issues to be resolved in this application are:</w:t>
      </w:r>
      <w:r>
        <w:rPr>
          <w:rFonts w:ascii="arial" w:eastAsia="arial" w:hAnsi="arial" w:cs="arial"/>
          <w:sz w:val="20"/>
          <w:lang w:val="en-US" w:eastAsia="en-US" w:bidi="ar-SA"/>
        </w:rPr>
        <w:cr/>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this an appropriate case in which to sever the issue of liability from the issue of damages?</w:t>
      </w:r>
    </w:p>
    <w:p>
      <w:pPr>
        <w:numPr>
          <w:numId w:val="1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issue of liability suitable for determination by way of summary trial on the basis that the defendants did not owe the plaintiffs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Legal Principles: Severance and Summary Trial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Where a summary trial application under Rule 9-5 is brought on an issue rather than on the whole case, the analysis requires a consideration of the issue of severance first: </w:t>
      </w:r>
      <w:r>
        <w:rPr>
          <w:rFonts w:ascii="arial" w:eastAsia="arial" w:hAnsi="arial" w:cs="arial"/>
          <w:i/>
          <w:color w:val="000000"/>
          <w:sz w:val="20"/>
          <w:lang w:val="en-US" w:eastAsia="en-US" w:bidi="ar-SA"/>
        </w:rPr>
        <w:t>Chun v. Smit</w:t>
      </w:r>
      <w:r>
        <w:rPr>
          <w:rFonts w:ascii="arial" w:eastAsia="arial" w:hAnsi="arial" w:cs="arial"/>
          <w:color w:val="000000"/>
          <w:sz w:val="20"/>
          <w:lang w:val="en-US" w:eastAsia="en-US" w:bidi="ar-SA"/>
        </w:rPr>
        <w:t xml:space="preserve">, </w:t>
      </w:r>
      <w:hyperlink r:id="rId913" w:history="1">
        <w:r>
          <w:rPr>
            <w:rFonts w:ascii="arial" w:eastAsia="arial" w:hAnsi="arial" w:cs="arial"/>
            <w:i/>
            <w:color w:val="0077CC"/>
            <w:sz w:val="20"/>
            <w:u w:val="single"/>
            <w:shd w:val="clear" w:color="auto" w:fill="FFFFFF"/>
            <w:lang w:val="en-US" w:eastAsia="en-US" w:bidi="ar-SA"/>
          </w:rPr>
          <w:t>2011 BCSC 412</w:t>
        </w:r>
      </w:hyperlink>
      <w:r>
        <w:rPr>
          <w:rFonts w:ascii="arial" w:eastAsia="arial" w:hAnsi="arial" w:cs="arial"/>
          <w:color w:val="000000"/>
          <w:sz w:val="20"/>
          <w:lang w:val="en-US" w:eastAsia="en-US" w:bidi="ar-SA"/>
        </w:rPr>
        <w:t xml:space="preserve">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Severance will only be granted where there are "extraordinary, exceptional or compelling reasons" and will not be appropriate if there are credibility issues that are integral to both liability and quantum: </w:t>
      </w:r>
      <w:r>
        <w:rPr>
          <w:rFonts w:ascii="arial" w:eastAsia="arial" w:hAnsi="arial" w:cs="arial"/>
          <w:i/>
          <w:color w:val="000000"/>
          <w:sz w:val="20"/>
          <w:lang w:val="en-US" w:eastAsia="en-US" w:bidi="ar-SA"/>
        </w:rPr>
        <w:t>Chun</w:t>
      </w:r>
      <w:r>
        <w:rPr>
          <w:rFonts w:ascii="arial" w:eastAsia="arial" w:hAnsi="arial" w:cs="arial"/>
          <w:color w:val="000000"/>
          <w:sz w:val="20"/>
          <w:lang w:val="en-US" w:eastAsia="en-US" w:bidi="ar-SA"/>
        </w:rPr>
        <w:t xml:space="preserve"> at paras. 4-5, 9, and 24-26. In </w:t>
      </w:r>
      <w:r>
        <w:rPr>
          <w:rFonts w:ascii="arial" w:eastAsia="arial" w:hAnsi="arial" w:cs="arial"/>
          <w:i/>
          <w:color w:val="000000"/>
          <w:sz w:val="20"/>
          <w:lang w:val="en-US" w:eastAsia="en-US" w:bidi="ar-SA"/>
        </w:rPr>
        <w:t>Chun</w:t>
      </w:r>
      <w:r>
        <w:rPr>
          <w:rFonts w:ascii="arial" w:eastAsia="arial" w:hAnsi="arial" w:cs="arial"/>
          <w:color w:val="000000"/>
          <w:sz w:val="20"/>
          <w:lang w:val="en-US" w:eastAsia="en-US" w:bidi="ar-SA"/>
        </w:rPr>
        <w:t xml:space="preserve">, the Court was of the view that credibility was at the heart of the case and held that there should not be severance of liability from quantum. See also </w:t>
      </w:r>
      <w:r>
        <w:rPr>
          <w:rFonts w:ascii="arial" w:eastAsia="arial" w:hAnsi="arial" w:cs="arial"/>
          <w:i/>
          <w:color w:val="000000"/>
          <w:sz w:val="20"/>
          <w:lang w:val="en-US" w:eastAsia="en-US" w:bidi="ar-SA"/>
        </w:rPr>
        <w:t>Bernhardt v. School District No. 22 (Vernon)</w:t>
      </w:r>
      <w:r>
        <w:rPr>
          <w:rFonts w:ascii="arial" w:eastAsia="arial" w:hAnsi="arial" w:cs="arial"/>
          <w:color w:val="000000"/>
          <w:sz w:val="20"/>
          <w:lang w:val="en-US" w:eastAsia="en-US" w:bidi="ar-SA"/>
        </w:rPr>
        <w:t xml:space="preserve"> </w:t>
      </w:r>
      <w:hyperlink r:id="rId914" w:history="1">
        <w:r>
          <w:rPr>
            <w:rFonts w:ascii="arial" w:eastAsia="arial" w:hAnsi="arial" w:cs="arial"/>
            <w:i/>
            <w:color w:val="0077CC"/>
            <w:sz w:val="20"/>
            <w:u w:val="single"/>
            <w:shd w:val="clear" w:color="auto" w:fill="FFFFFF"/>
            <w:lang w:val="en-US" w:eastAsia="en-US" w:bidi="ar-SA"/>
          </w:rPr>
          <w:t>(1979), 14 B.C.L.R. 304</w:t>
        </w:r>
      </w:hyperlink>
      <w:r>
        <w:rPr>
          <w:rFonts w:ascii="arial" w:eastAsia="arial" w:hAnsi="arial" w:cs="arial"/>
          <w:color w:val="000000"/>
          <w:sz w:val="20"/>
          <w:lang w:val="en-US" w:eastAsia="en-US" w:bidi="ar-SA"/>
        </w:rPr>
        <w:t xml:space="preserve"> (S.C.) at 306, where, in the context of a personal injury case that was scheduled to be heard before a jury, the court found that the assessment of credibility and an examination of the nature and extent of the injuries were best achieved by trying the questions of liability and damages together. In that case, it was undisputed that both liability and quantum would involve considerable evidence, including expert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Emtwo Properties Inc. v. Cineplex (Western Canada) Inc.</w:t>
      </w:r>
      <w:r>
        <w:rPr>
          <w:rFonts w:ascii="arial" w:eastAsia="arial" w:hAnsi="arial" w:cs="arial"/>
          <w:color w:val="000000"/>
          <w:sz w:val="20"/>
          <w:lang w:val="en-US" w:eastAsia="en-US" w:bidi="ar-SA"/>
        </w:rPr>
        <w:t xml:space="preserve">, </w:t>
      </w:r>
      <w:hyperlink r:id="rId915" w:history="1">
        <w:r>
          <w:rPr>
            <w:rFonts w:ascii="arial" w:eastAsia="arial" w:hAnsi="arial" w:cs="arial"/>
            <w:i/>
            <w:color w:val="0077CC"/>
            <w:sz w:val="20"/>
            <w:u w:val="single"/>
            <w:shd w:val="clear" w:color="auto" w:fill="FFFFFF"/>
            <w:lang w:val="en-US" w:eastAsia="en-US" w:bidi="ar-SA"/>
          </w:rPr>
          <w:t>2009 BCSC 1592</w:t>
        </w:r>
      </w:hyperlink>
      <w:r>
        <w:rPr>
          <w:rFonts w:ascii="arial" w:eastAsia="arial" w:hAnsi="arial" w:cs="arial"/>
          <w:color w:val="000000"/>
          <w:sz w:val="20"/>
          <w:lang w:val="en-US" w:eastAsia="en-US" w:bidi="ar-SA"/>
        </w:rPr>
        <w:t>, Justice Fenlon, as she then was, comprehensively set out the analysis to be undertaken regarding the court's discretion to sever liability from damages. While decided in the context of a previous Supreme Court Civil Rule, the reasoning continues to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Justice Fenlon confirmed that the court's authority to sever is discretionary, and this discretion should be interpreted in light of the overall objective of securing the just, speedy, and inexpensive determination of every proceeding on its merits: at paras. 12-13. The onus is on the applicant to demonstrate that severance should be granted: at para. 15. She summarized the main factors to be addressed in the exercise of the court's discretion at para. 16:</w:t>
      </w:r>
      <w:r>
        <w:rPr>
          <w:rFonts w:ascii="arial" w:eastAsia="arial" w:hAnsi="arial" w:cs="arial"/>
          <w:sz w:val="20"/>
          <w:lang w:val="en-US" w:eastAsia="en-US" w:bidi="ar-SA"/>
        </w:rPr>
        <w:cr/>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evidence that severance is likely to result in a significant saving of time and expense?</w:t>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some evidence that a severed trial will put an end to the action?</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issues of liability and damages intertwined?</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a compelling reason to justify severance other than savings of time and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accept that if I am able to conclude that Mr. Zhao and Ms. Huang did not owe Mr. Der a duty of care, there would be a significant saving of time and expense and that such a determination would bring this action to an end. The issues of liability and damages are not intertwined. The evidence with respect to liability will not factor into the assessment of the damages Mr. Der suffered. These factors weigh in favour of exercising my discretion to sever the issue of liability from that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Whether it is appropriate for the court to grant judgment on the hearing of a summary trial application pursuant to Rule 9-7(15)(a) depends on whether:</w:t>
      </w:r>
      <w:r>
        <w:rPr>
          <w:rFonts w:ascii="arial" w:eastAsia="arial" w:hAnsi="arial" w:cs="arial"/>
          <w:sz w:val="20"/>
          <w:lang w:val="en-US" w:eastAsia="en-US" w:bidi="ar-SA"/>
        </w:rPr>
        <w:cr/>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sufficient evidence before the court on which to make the necessary findings of fact to decide the issues; and</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just to decide the case on a summary trial application. This may involve a consideration of:</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involved;</w:t>
      </w:r>
    </w:p>
    <w:p>
      <w:pPr>
        <w:numPr>
          <w:numId w:val="2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complexity of the matter;</w:t>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its urgency;</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prejudice likely to arise by reason of delay;</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 of taking the case forward to a conventional trial in relation to the amount involved;</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course of the proceedings;</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credibility is a critical factor in the determination of the dispute;</w:t>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summary trial may create an unnecessary complexity in the resolution of the dispute; and</w:t>
      </w:r>
    </w:p>
    <w:p>
      <w:pPr>
        <w:numPr>
          <w:numId w:val="2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application would result in litigation in slices.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Inspiration Management Ltd. v. McDermid St. Lawrence Ltd</w:t>
      </w:r>
      <w:r>
        <w:rPr>
          <w:rFonts w:ascii="arial" w:eastAsia="arial" w:hAnsi="arial" w:cs="arial"/>
          <w:color w:val="000000"/>
          <w:sz w:val="20"/>
          <w:lang w:val="en-US" w:eastAsia="en-US" w:bidi="ar-SA"/>
        </w:rPr>
        <w:t xml:space="preserve">. </w:t>
      </w:r>
      <w:hyperlink r:id="rId916"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(C.A.) at 211, 215; </w:t>
      </w:r>
      <w:r>
        <w:rPr>
          <w:rFonts w:ascii="arial" w:eastAsia="arial" w:hAnsi="arial" w:cs="arial"/>
          <w:i/>
          <w:color w:val="000000"/>
          <w:sz w:val="20"/>
          <w:lang w:val="en-US" w:eastAsia="en-US" w:bidi="ar-SA"/>
        </w:rPr>
        <w:t>Gichuru v. Pallai</w:t>
      </w:r>
      <w:r>
        <w:rPr>
          <w:rFonts w:ascii="arial" w:eastAsia="arial" w:hAnsi="arial" w:cs="arial"/>
          <w:color w:val="000000"/>
          <w:sz w:val="20"/>
          <w:lang w:val="en-US" w:eastAsia="en-US" w:bidi="ar-SA"/>
        </w:rPr>
        <w:t xml:space="preserve">, </w:t>
      </w:r>
      <w:hyperlink r:id="rId917" w:history="1">
        <w:r>
          <w:rPr>
            <w:rFonts w:ascii="arial" w:eastAsia="arial" w:hAnsi="arial" w:cs="arial"/>
            <w:i/>
            <w:color w:val="0077CC"/>
            <w:sz w:val="20"/>
            <w:u w:val="single"/>
            <w:shd w:val="clear" w:color="auto" w:fill="FFFFFF"/>
            <w:lang w:val="en-US" w:eastAsia="en-US" w:bidi="ar-SA"/>
          </w:rPr>
          <w:t>2013 BCCA 60</w:t>
        </w:r>
      </w:hyperlink>
      <w:r>
        <w:rPr>
          <w:rFonts w:ascii="arial" w:eastAsia="arial" w:hAnsi="arial" w:cs="arial"/>
          <w:color w:val="000000"/>
          <w:sz w:val="20"/>
          <w:lang w:val="en-US" w:eastAsia="en-US" w:bidi="ar-SA"/>
        </w:rPr>
        <w:t xml:space="preserve"> at paras. 30-31.)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a defendant's Rule 9-7 application to dismiss a plaintiff's action, as is the case in an ordinary trial, the party who asserts the affirmative of an issue must prove it on a balance of probabilities: </w:t>
      </w:r>
      <w:r>
        <w:rPr>
          <w:rFonts w:ascii="arial" w:eastAsia="arial" w:hAnsi="arial" w:cs="arial"/>
          <w:i/>
          <w:color w:val="000000"/>
          <w:sz w:val="20"/>
          <w:lang w:val="en-US" w:eastAsia="en-US" w:bidi="ar-SA"/>
        </w:rPr>
        <w:t>Miura v. Miura</w:t>
      </w:r>
      <w:r>
        <w:rPr>
          <w:rFonts w:ascii="arial" w:eastAsia="arial" w:hAnsi="arial" w:cs="arial"/>
          <w:color w:val="000000"/>
          <w:sz w:val="20"/>
          <w:lang w:val="en-US" w:eastAsia="en-US" w:bidi="ar-SA"/>
        </w:rPr>
        <w:t xml:space="preserve"> </w:t>
      </w:r>
      <w:hyperlink r:id="rId918" w:history="1">
        <w:r>
          <w:rPr>
            <w:rFonts w:ascii="arial" w:eastAsia="arial" w:hAnsi="arial" w:cs="arial"/>
            <w:i/>
            <w:color w:val="0077CC"/>
            <w:sz w:val="20"/>
            <w:u w:val="single"/>
            <w:shd w:val="clear" w:color="auto" w:fill="FFFFFF"/>
            <w:lang w:val="en-US" w:eastAsia="en-US" w:bidi="ar-SA"/>
          </w:rPr>
          <w:t>(1992), 66 B.C.L.R. (2d) 345</w:t>
        </w:r>
      </w:hyperlink>
      <w:r>
        <w:rPr>
          <w:rFonts w:ascii="arial" w:eastAsia="arial" w:hAnsi="arial" w:cs="arial"/>
          <w:color w:val="000000"/>
          <w:sz w:val="20"/>
          <w:lang w:val="en-US" w:eastAsia="en-US" w:bidi="ar-SA"/>
        </w:rPr>
        <w:t xml:space="preserve"> (C.A.) at 352. The plaintiff acknowledges that he bears the burden of establishing that Mr. Zhao and Ms. Huang owed him a duty of care in the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As the Court of Appeal confirmed in </w:t>
      </w:r>
      <w:r>
        <w:rPr>
          <w:rFonts w:ascii="arial" w:eastAsia="arial" w:hAnsi="arial" w:cs="arial"/>
          <w:i/>
          <w:color w:val="000000"/>
          <w:sz w:val="20"/>
          <w:lang w:val="en-US" w:eastAsia="en-US" w:bidi="ar-SA"/>
        </w:rPr>
        <w:t>Gichuru</w:t>
      </w:r>
      <w:r>
        <w:rPr>
          <w:rFonts w:ascii="arial" w:eastAsia="arial" w:hAnsi="arial" w:cs="arial"/>
          <w:color w:val="000000"/>
          <w:sz w:val="20"/>
          <w:lang w:val="en-US" w:eastAsia="en-US" w:bidi="ar-SA"/>
        </w:rPr>
        <w:t xml:space="preserve"> at paras. 32-33, all parties must come to a summary trial hearing having taken every reasonable step to put themselves in the best position possible to prove their claim or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this summary trial application, the sole issue for me to determine with respect to liability is whether Mr. Zhao and Ms. Huang owed Mr. Der a duty of care. I am not asked to determine whether Mr. Zhao and Ms. Huang's conduct caused Mr. Der to fall. If I find that a duty of care exists, I am also not asked to determine the requisite standard of care, or whether Mr. Zhao and Ms. Huang met this standard when they allegedly attempted to clear the sidewalk outside their Premises on December 20-21, 2017.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Evidence on This Summary Trial</w:t>
      </w:r>
    </w:p>
    <w:p>
      <w:pPr>
        <w:numPr>
          <w:numId w:val="2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Mr. Der's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response to Mr. Zhao and Ms. Huang's application, Mr. Der filed an affidavit dated September 6, 2018. In it, he says that he is 75 years old (he is now 76) and lives a few blocks away from the Premises. On the day of the Fall, he was returning from a local grocery store with his wife when he slipped backwards on a sloped, wheelchair-accessible part of the sidewalk adjacent to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Der's injuries were serious. As a result of the Fall, he suffers from C5 AIS-C incomplete tetraplegia and has had surgery to fuse his spine from levels C2-C6.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Der says that it had snowed in the days prior to December 21, 2017, but, on the morning of the Fall, it was cold and the roads and sidewalks were in good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sidewalk at the corner of 12th Avenue and Coquitlam Street is relatively flat, although it slopes down to what appears to be a wheelchair access ramp at the corner.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Der says that, as he crossed to the corner of 12th Avenue and Coquitlam Street, he could see that the sidewalk ahead of him sloped down to where it met the street. It appeared that the snow had been cleared, with about a two-foot diameter path on the sidewalk down to the sloped corner. Snow was piled up on the sides of the area that had been cleared, as if a snow shovel had been 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Der says that the areas of the cleared sidewalk did not appear to be icy or glistening and the sidewalk did not show any sign that this was an icy area. He did not have any indication of potential black ice because he believed that the sidewalk had been completely cleared of snow and ice where the concrete was fully visible. He did not have to step over a ridge or mound of snow as he stepped onto the sidewalk from the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As he stepped onto the sloped sidewalk, just ahead of his wife, his feet slid out from under him and he immediately fell hard onto his back and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Der recalls that when the emergency responders arrived, they had to lay down a blanket to step on in order to assist him, as they could not stand on the sidewalk at the corner.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(ii) Captain Howard's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Fire Captain Clint Howard, a firefighter who was dispatched to assist Mr. Der at the scene of the Fall, swore an affidavit dated December 18, 2018. He says that as he approached the scene of the Fall, he realized that the road and sidewalk were especially slippery. He recalled there being ice along the entire sidewalk. He said there was no indication of any sanding or salting having occurred that morning, as there was no sign of melting ice. To gain sufficient traction to assist Mr. Der, Captain Howard said that he, and a second firefighter who accompanied him, felt it was necessary to lay down blankets along the sidewalk.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(iii) Tim Leggett's Expert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 behalf of Mr. Der, Tim Leggett, an accident reconstruction engineer, prepared a December 24, 2018, Slip and Fall Report. In it, he says that based on readings from the nearest weather station, the temperature on December 21, 2017 was between two degrees below zero and zero degrees Celsius from midnight until approximately 10 a.m. on December 21, 2017, and then went from zero to two degrees above zero Celsius between approximately 10 a.m. and 11 a.m. The Fall occurred at approximately 10:30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Leggett concluded that there was a mixture of snow and rain in the region on December 19, 2017, two days before the Fall. Very little or no moisture fell on December 20 and 21, 2017. Given the variation of temperatures, there was likely some melting followed by refreezing on the night prior to the fall. Thus, the two fundamental requirements for the formation of ice were present: 1) there was a suitable moisture source in the form of melting snow; and 2) there was suitably cold surface temperature to allow any melt water to freeze. As the part of the sidewalk where the Fall occurred was sloped, this allowed melt water on the high side of the slope to travel down the slope, freezing as it did so. The grooves in the concrete would have assisted with the progression of the water downhill.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Mr. Leggett's opinion, if the sidewalk had not been shovelled, the snow would have provided additional traction beyond that of a bare ice surface. He wrote, at page 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sidewalk in question, given that it was a wheelchair access ramp, was indeed sloped. If it is assumed that the height of the curb is 6" and the width of the extended ramp was 4 ft., the slope is calculated to be approximately 7 degrees for 12.5%. This would have allowed any melt water on the high side of the slope to travel down the slope freezing as it did so. The grooves in the concrete in conformance with the Americans with Disabilities Act ... would have assisted the progression of the water downhill. As the ridges began to freeze, this would have had a damming effect and moisture would have then spilled around the dam creating a broader ice surface.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sidewalk had not been plowed it is difficult to envision how this process could occur. That is, the snow itself would have provided additional traction above and beyond an ice surface.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Further, in Mr. Leggett's opinion, if the sidewalk had been properly shovelled and salted, he would not have expected "black ice" to be present on the sidewalk at 10 a.m. on December 21, 2017, particularly if it was re-salted several hours before the Fall occurred. He stated that salt takes approximately 15 minutes at most to break down ice (at pages 12-13).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Finally, Mr. Leggett opined, at page 13 of his report, that the actions of Mr. Zhao on December 20, and the alleged inactions by Ms. Huang on December 21, likely caused the conditions that were so dangerous in front of the Premises: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imperative when performing any winter road maintenance activities to perform it thoroughly. That is, if a road or a sidewalk is cleared of snow by mechanical means, a follow up of preferably salting, or at minimum sanding, should be undertaken to eliminate any residual moisture that remains. Naturally, depending on the nature of the plow or shovel, there is always residual amounts of snow which remains and this can only be removed via chemical methodologies (i.e.: salting). In other words, if an effort is undertaken to remove the snow then it follows that an additional effort should be made to apply a de-icing chemical to remove any excess material left behind. If a maintenance person simply removes the snow but fails to address any additional material via a chemical application, he/she in fact has more likely than not made the coefficient of friction for pedestrian traffic worse. That is, as indicated in the affidavit of Mr. Der, he did not have difficulty walking on roads and sidewalks which had not been plowed (because of the traction benefit of the compressibility of snow left on that surface). Rather once this snow is removed (and any traction benefit that goes along with it) one then exposes the travelling and walking public to a compact snow/icy surface. This is particularly so given the freeze/thaw cycles of temperatures recorded in the Vancouver region on the incident date and the days leading up to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also important in a region such as the wheelchair access ramp with the slope involved that a complete snow removal of the entire sidewalk be undertaken. The undersigned has had numerous instances in his career where a half plowed sidewalk (on the downside of the sidewalk) results in melt water from snow that has not been removed simply travelling down the slope and freezing upon reaching the cold sidewalk surface. If the sidewalk is completely eliminated of any snow, and if a follow up salt application is made, clearly there is no additional moisture present which takes away one of the two requirements for the production of black ice (namely that no precipitation would have been present).</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(iv) Mr. Zhao and Ms. Huang's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It is not disputed that Mr. Zhao and Ms. Huang purchased the Premises in or about September 2017, but did not move in until December 21, 2017--the day of the Fall. They had not lived in the Premises prior to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On August 28, 2018, in support of this summary trial application, Mr. Zhao and Ms. Huang swore two nearly identical affidavits. In them, Mr. Zhao and Ms. Huang say that the sidewalks surrounding their premises are the property of the City and that they have never: assumed, or otherwise attempted to obtain or maintain, physical possession of the sidewalks; controlled any activity on the sidewalks; or assumed responsibility for the condition of the sidewalks.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Both affidavits contain the following identical paragraphs:</w:t>
      </w:r>
      <w:r>
        <w:rPr>
          <w:rFonts w:ascii="arial" w:eastAsia="arial" w:hAnsi="arial" w:cs="arial"/>
          <w:sz w:val="20"/>
          <w:lang w:val="en-US" w:eastAsia="en-US" w:bidi="ar-SA"/>
        </w:rPr>
        <w:cr/>
      </w:r>
    </w:p>
    <w:p>
      <w:pPr>
        <w:numPr>
          <w:numId w:val="2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no time in or around December 21, 2017 did [Mr. Zhao or Ms. Huang] conduct any activities or create any conditions on the Premises that could have flowed onto or otherwise affected the Sidewalk. It was winter at that time and [they] were not watering [their] lawn or the boulevards nor did [they] ever shovel or otherwise move snow or ice from the Premises or boulevards onto the Sidewalk.</w:t>
      </w:r>
    </w:p>
    <w:p>
      <w:pPr>
        <w:numPr>
          <w:numId w:val="3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Zhao and Ms. Huang] are quiet, unassuming residential home owners and [they] have never done anything to create any snowy, icy, frosty or otherwise hazardous conditions on the Sidewalk, particularly at the time and in the location where [Mr. Der] fell.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At his examination for discovery on November 26, 2018, Mr. Zhao said that he salted the sidewalks around the Premises sometime between November 4, 2017, when he bought salt, and December 21, 2017. He could not remember when, or how often, he had salted. He said he bought both a small and a large bag of salt; the large bag of salt he bought was "pretty big".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Zhao also said that there was a heavy snowfall on December 19, 2017, and he went to the Premises to "clean the ice and snow" on December 20. He said he went to the Premises because he understood it was his "duty to clean" as was required by the City. He arrived around noon or in the early afternoon. He used a shovel and a spade to clean the snow and ice. He cleaned the whole sidewalk, and removed any ice and snow that he saw.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As to the condition of the sidewalks when Mr. Zhao arrived at the Premises at around noon or in the early afternoon on December 21, he thought the sidewalk was clean. There was some salt on the sidewalk, but it was not completely dry; it was wet. He did not see melting, and saw salt on the sidewalk.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Zhao noticed that the streets were slippery in some places on December 21,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At her examination for discovery on November 26, 2018, Ms. Huang said that she went to the Premises on December 21, 2017, at approximately 8:00 a.m. and salted the sidewalk. She did so because it was their moving day and Mr. Zhao and Ms. Huang did not want the movers to have an accident. She did not remember how much salt she applied. She said that she applied salt to all of the slippery areas on the sidewalk. Where she saw ice, she put down salt. She did not specifically remember where she salted, and did not remember salting the area around the wheelchair ramp on the corner (i.e., where the Fall occurred). She did not use a shovel, but said the sidewalk looked clear when she was there and that she could see the concrete. Ms. Huang said she emptied almost all of the whole small bag of salt on the sidewalk.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Ms. Huang said that she thought all of the snow from the sidewalk to the boulevard had been cleared.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There is a contradiction in the evidence about whether Mr. Zhao cleared all of the ice and snow from the sidewalk, as he said in his discovery, and as Ms. Huang said in her discovery. By contrast, Mr. Der said in his affidavit, at paras. 21 and 23, that only a two-foot wide area had been cleared. Mr. Zhao acknowledged that his shovel was about two-feet wide.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Zhao and Ms. Huang have not filed an expert opinion responding to Mr. Leggett's report, and it stands uncontested. Neither party made submissions on the admissibility of the expert report. Mr. Zhao and Ms. Huang objected to some factual inaccuracies in it. I have considered the report only insofar as it is relevant to deciding the issue of the duty of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Did the defendants owe the plaintiff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As noted above, Mr. Der has abandoned his arguments that Mr. Zhao and Ms. Huang were occupiers of the sidewalk under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and that they are liable as a result of a breach of the City bylaw. The only issue that remains is whether they are liable under common law principles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first question regarding a purported duty of care is whether the relationship between the parties falls within one of the recognized categories of relationships that have previously been found to give rise to a duty of care. If so, it is unnecessary to embark on a full </w:t>
      </w:r>
      <w:r>
        <w:rPr>
          <w:rFonts w:ascii="arial" w:eastAsia="arial" w:hAnsi="arial" w:cs="arial"/>
          <w:i/>
          <w:color w:val="000000"/>
          <w:sz w:val="20"/>
          <w:lang w:val="en-US" w:eastAsia="en-US" w:bidi="ar-SA"/>
        </w:rPr>
        <w:t>Anns/Cooper</w:t>
      </w:r>
      <w:r>
        <w:rPr>
          <w:rFonts w:ascii="arial" w:eastAsia="arial" w:hAnsi="arial" w:cs="arial"/>
          <w:color w:val="000000"/>
          <w:sz w:val="20"/>
          <w:lang w:val="en-US" w:eastAsia="en-US" w:bidi="ar-SA"/>
        </w:rPr>
        <w:t xml:space="preserve"> analysis, referring to </w:t>
      </w:r>
      <w:r>
        <w:rPr>
          <w:rFonts w:ascii="arial" w:eastAsia="arial" w:hAnsi="arial" w:cs="arial"/>
          <w:i/>
          <w:color w:val="000000"/>
          <w:sz w:val="20"/>
          <w:lang w:val="en-US" w:eastAsia="en-US" w:bidi="ar-SA"/>
        </w:rPr>
        <w:t>Anns v. Merton London Borough Council</w:t>
      </w:r>
      <w:r>
        <w:rPr>
          <w:rFonts w:ascii="arial" w:eastAsia="arial" w:hAnsi="arial" w:cs="arial"/>
          <w:color w:val="000000"/>
          <w:sz w:val="20"/>
          <w:lang w:val="en-US" w:eastAsia="en-US" w:bidi="ar-SA"/>
        </w:rPr>
        <w:t xml:space="preserve">, [1978] A.C. 728 (H.L.) and </w:t>
      </w:r>
      <w:r>
        <w:rPr>
          <w:rFonts w:ascii="arial" w:eastAsia="arial" w:hAnsi="arial" w:cs="arial"/>
          <w:i/>
          <w:color w:val="000000"/>
          <w:sz w:val="20"/>
          <w:lang w:val="en-US" w:eastAsia="en-US" w:bidi="ar-SA"/>
        </w:rPr>
        <w:t>Cooper v. Hobart</w:t>
      </w:r>
      <w:r>
        <w:rPr>
          <w:rFonts w:ascii="arial" w:eastAsia="arial" w:hAnsi="arial" w:cs="arial"/>
          <w:color w:val="000000"/>
          <w:sz w:val="20"/>
          <w:lang w:val="en-US" w:eastAsia="en-US" w:bidi="ar-SA"/>
        </w:rPr>
        <w:t xml:space="preserve">, </w:t>
      </w:r>
      <w:hyperlink r:id="rId794" w:history="1">
        <w:r>
          <w:rPr>
            <w:rFonts w:ascii="arial" w:eastAsia="arial" w:hAnsi="arial" w:cs="arial"/>
            <w:i/>
            <w:color w:val="0077CC"/>
            <w:sz w:val="20"/>
            <w:u w:val="single"/>
            <w:shd w:val="clear" w:color="auto" w:fill="FFFFFF"/>
            <w:lang w:val="en-US" w:eastAsia="en-US" w:bidi="ar-SA"/>
          </w:rPr>
          <w:t>2001 SCC 79</w:t>
        </w:r>
      </w:hyperlink>
      <w:r>
        <w:rPr>
          <w:rFonts w:ascii="arial" w:eastAsia="arial" w:hAnsi="arial" w:cs="arial"/>
          <w:color w:val="000000"/>
          <w:sz w:val="20"/>
          <w:lang w:val="en-US" w:eastAsia="en-US" w:bidi="ar-SA"/>
        </w:rPr>
        <w:t xml:space="preserve">. If not, the proposed duty is "novel", and a full </w:t>
      </w:r>
      <w:r>
        <w:rPr>
          <w:rFonts w:ascii="arial" w:eastAsia="arial" w:hAnsi="arial" w:cs="arial"/>
          <w:i/>
          <w:color w:val="000000"/>
          <w:sz w:val="20"/>
          <w:lang w:val="en-US" w:eastAsia="en-US" w:bidi="ar-SA"/>
        </w:rPr>
        <w:t>Anns/Cooper</w:t>
      </w:r>
      <w:r>
        <w:rPr>
          <w:rFonts w:ascii="arial" w:eastAsia="arial" w:hAnsi="arial" w:cs="arial"/>
          <w:color w:val="000000"/>
          <w:sz w:val="20"/>
          <w:lang w:val="en-US" w:eastAsia="en-US" w:bidi="ar-SA"/>
        </w:rPr>
        <w:t xml:space="preserve"> analysis is required. As noted in </w:t>
      </w:r>
      <w:r>
        <w:rPr>
          <w:rFonts w:ascii="arial" w:eastAsia="arial" w:hAnsi="arial" w:cs="arial"/>
          <w:i/>
          <w:color w:val="000000"/>
          <w:sz w:val="20"/>
          <w:lang w:val="en-US" w:eastAsia="en-US" w:bidi="ar-SA"/>
        </w:rPr>
        <w:t>Childs v. Desormeaux</w:t>
      </w:r>
      <w:r>
        <w:rPr>
          <w:rFonts w:ascii="arial" w:eastAsia="arial" w:hAnsi="arial" w:cs="arial"/>
          <w:color w:val="000000"/>
          <w:sz w:val="20"/>
          <w:lang w:val="en-US" w:eastAsia="en-US" w:bidi="ar-SA"/>
        </w:rPr>
        <w:t xml:space="preserve">, </w:t>
      </w:r>
      <w:hyperlink r:id="rId919" w:history="1">
        <w:r>
          <w:rPr>
            <w:rFonts w:ascii="arial" w:eastAsia="arial" w:hAnsi="arial" w:cs="arial"/>
            <w:i/>
            <w:color w:val="0077CC"/>
            <w:sz w:val="20"/>
            <w:u w:val="single"/>
            <w:shd w:val="clear" w:color="auto" w:fill="FFFFFF"/>
            <w:lang w:val="en-US" w:eastAsia="en-US" w:bidi="ar-SA"/>
          </w:rPr>
          <w:t>2006 SCC 18</w:t>
        </w:r>
      </w:hyperlink>
      <w:r>
        <w:rPr>
          <w:rFonts w:ascii="arial" w:eastAsia="arial" w:hAnsi="arial" w:cs="arial"/>
          <w:color w:val="000000"/>
          <w:sz w:val="20"/>
          <w:lang w:val="en-US" w:eastAsia="en-US" w:bidi="ar-SA"/>
        </w:rPr>
        <w:t xml:space="preserve"> at para. 15, this reference to categories "simply captures the basic notion of precedent".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An overview of the analytical framework for establishing a novel duty of care was provided in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at para. 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 we suggest that at this stage in the evolution of the law, both in Canada and abroad,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analysis is best understood as follows. At the first stage of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two questions arise: (1) was the harm that occurred the reasonably foreseeable consequence of the defendant's act? and (2) are there reasons, notwithstanding the proximity between the parties established in the first part of this test, that tort liability should not be recognized here? The proximity analysis involved at the first stage of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focuses on factors arising from the </w:t>
      </w:r>
      <w:r>
        <w:rPr>
          <w:rFonts w:ascii="arial" w:eastAsia="arial" w:hAnsi="arial" w:cs="arial"/>
          <w:color w:val="000000"/>
          <w:sz w:val="20"/>
          <w:u w:val="single"/>
          <w:lang w:val="en-US" w:eastAsia="en-US" w:bidi="ar-SA"/>
        </w:rPr>
        <w:t>relationship</w:t>
      </w:r>
      <w:r>
        <w:rPr>
          <w:rFonts w:ascii="arial" w:eastAsia="arial" w:hAnsi="arial" w:cs="arial"/>
          <w:color w:val="000000"/>
          <w:sz w:val="20"/>
          <w:lang w:val="en-US" w:eastAsia="en-US" w:bidi="ar-SA"/>
        </w:rPr>
        <w:t xml:space="preserve"> between the plaintiff and the defendant. These factors include questions of policy, in the broad sense of that word. If foreseeability and proximity are established at the first stage,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arises. At the second stage of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the question still remains whether there are residual policy considerations outside the relationship of the parties that may negative the imposition of a duty of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Relying on </w:t>
      </w:r>
      <w:r>
        <w:rPr>
          <w:rFonts w:ascii="arial" w:eastAsia="arial" w:hAnsi="arial" w:cs="arial"/>
          <w:i/>
          <w:color w:val="000000"/>
          <w:sz w:val="20"/>
          <w:lang w:val="en-US" w:eastAsia="en-US" w:bidi="ar-SA"/>
        </w:rPr>
        <w:t>Goodwin v. Mainroad North Island Contracting Ltd.</w:t>
      </w:r>
      <w:r>
        <w:rPr>
          <w:rFonts w:ascii="arial" w:eastAsia="arial" w:hAnsi="arial" w:cs="arial"/>
          <w:color w:val="000000"/>
          <w:sz w:val="20"/>
          <w:lang w:val="en-US" w:eastAsia="en-US" w:bidi="ar-SA"/>
        </w:rPr>
        <w:t xml:space="preserve">, </w:t>
      </w:r>
      <w:hyperlink r:id="rId920" w:history="1">
        <w:r>
          <w:rPr>
            <w:rFonts w:ascii="arial" w:eastAsia="arial" w:hAnsi="arial" w:cs="arial"/>
            <w:i/>
            <w:color w:val="0077CC"/>
            <w:sz w:val="20"/>
            <w:u w:val="single"/>
            <w:shd w:val="clear" w:color="auto" w:fill="FFFFFF"/>
            <w:lang w:val="en-US" w:eastAsia="en-US" w:bidi="ar-SA"/>
          </w:rPr>
          <w:t>2007 BCCA 81</w:t>
        </w:r>
      </w:hyperlink>
      <w:r>
        <w:rPr>
          <w:rFonts w:ascii="arial" w:eastAsia="arial" w:hAnsi="arial" w:cs="arial"/>
          <w:color w:val="000000"/>
          <w:sz w:val="20"/>
          <w:lang w:val="en-US" w:eastAsia="en-US" w:bidi="ar-SA"/>
        </w:rPr>
        <w:t>, Mr. Der argues that a duty of care can be established in this case based on the defendants' voluntary assumption of the responsibility for shoveling the sidewalk despite the fact that they would, otherwise, have no legal obligation to do so. Alternatively, Mr. Der seeks to establish a novel duty of care on the basis that the Mr. Zhao's and Ms. Huang's attempts to clear the sidewalk created or contributed to a set of dangerous conditions--namely, the black ice that ultimately formed--which imposed on them a positive duty to warn sidewalk users of the risk or to ameliorate the danger.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Mr. Zhao and Ms. Huang argue that this case can be decided on the basis of precedent. They rely on </w:t>
      </w:r>
      <w:r>
        <w:rPr>
          <w:rFonts w:ascii="arial" w:eastAsia="arial" w:hAnsi="arial" w:cs="arial"/>
          <w:i/>
          <w:color w:val="000000"/>
          <w:sz w:val="20"/>
          <w:lang w:val="en-US" w:eastAsia="en-US" w:bidi="ar-SA"/>
        </w:rPr>
        <w:t>Bongiardina</w:t>
      </w:r>
      <w:r>
        <w:rPr>
          <w:rFonts w:ascii="arial" w:eastAsia="arial" w:hAnsi="arial" w:cs="arial"/>
          <w:color w:val="000000"/>
          <w:sz w:val="20"/>
          <w:lang w:val="en-US" w:eastAsia="en-US" w:bidi="ar-SA"/>
        </w:rPr>
        <w:t xml:space="preserve"> and the cases following it, which hold that there is no common law duty on property owners to clear snow and ice from public sidewalks adjacent to the property: </w:t>
      </w:r>
      <w:r>
        <w:rPr>
          <w:rFonts w:ascii="arial" w:eastAsia="arial" w:hAnsi="arial" w:cs="arial"/>
          <w:i/>
          <w:color w:val="000000"/>
          <w:sz w:val="20"/>
          <w:lang w:val="en-US" w:eastAsia="en-US" w:bidi="ar-SA"/>
        </w:rPr>
        <w:t>Bongiardina</w:t>
      </w:r>
      <w:r>
        <w:rPr>
          <w:rFonts w:ascii="arial" w:eastAsia="arial" w:hAnsi="arial" w:cs="arial"/>
          <w:color w:val="000000"/>
          <w:sz w:val="20"/>
          <w:lang w:val="en-US" w:eastAsia="en-US" w:bidi="ar-SA"/>
        </w:rPr>
        <w:t xml:space="preserve"> at para. 19; </w:t>
      </w:r>
      <w:r>
        <w:rPr>
          <w:rFonts w:ascii="arial" w:eastAsia="arial" w:hAnsi="arial" w:cs="arial"/>
          <w:i/>
          <w:color w:val="000000"/>
          <w:sz w:val="20"/>
          <w:lang w:val="en-US" w:eastAsia="en-US" w:bidi="ar-SA"/>
        </w:rPr>
        <w:t>Kluane v. Chasse</w:t>
      </w:r>
      <w:r>
        <w:rPr>
          <w:rFonts w:ascii="arial" w:eastAsia="arial" w:hAnsi="arial" w:cs="arial"/>
          <w:color w:val="000000"/>
          <w:sz w:val="20"/>
          <w:lang w:val="en-US" w:eastAsia="en-US" w:bidi="ar-SA"/>
        </w:rPr>
        <w:t xml:space="preserve">, </w:t>
      </w:r>
      <w:hyperlink r:id="rId921" w:history="1">
        <w:r>
          <w:rPr>
            <w:rFonts w:ascii="arial" w:eastAsia="arial" w:hAnsi="arial" w:cs="arial"/>
            <w:i/>
            <w:color w:val="0077CC"/>
            <w:sz w:val="20"/>
            <w:u w:val="single"/>
            <w:shd w:val="clear" w:color="auto" w:fill="FFFFFF"/>
            <w:lang w:val="en-US" w:eastAsia="en-US" w:bidi="ar-SA"/>
          </w:rPr>
          <w:t>2001 ABQB 244</w:t>
        </w:r>
      </w:hyperlink>
      <w:r>
        <w:rPr>
          <w:rFonts w:ascii="arial" w:eastAsia="arial" w:hAnsi="arial" w:cs="arial"/>
          <w:color w:val="000000"/>
          <w:sz w:val="20"/>
          <w:lang w:val="en-US" w:eastAsia="en-US" w:bidi="ar-SA"/>
        </w:rPr>
        <w:t xml:space="preserve"> at para. 5, aff'd </w:t>
      </w:r>
      <w:hyperlink r:id="rId922" w:history="1">
        <w:r>
          <w:rPr>
            <w:rFonts w:ascii="arial" w:eastAsia="arial" w:hAnsi="arial" w:cs="arial"/>
            <w:i/>
            <w:color w:val="0077CC"/>
            <w:sz w:val="20"/>
            <w:u w:val="single"/>
            <w:shd w:val="clear" w:color="auto" w:fill="FFFFFF"/>
            <w:lang w:val="en-US" w:eastAsia="en-US" w:bidi="ar-SA"/>
          </w:rPr>
          <w:t>2003 ABCA 30</w:t>
        </w:r>
      </w:hyperlink>
      <w:r>
        <w:rPr>
          <w:rFonts w:ascii="arial" w:eastAsia="arial" w:hAnsi="arial" w:cs="arial"/>
          <w:color w:val="000000"/>
          <w:sz w:val="20"/>
          <w:lang w:val="en-US" w:eastAsia="en-US" w:bidi="ar-SA"/>
        </w:rPr>
        <w:t xml:space="preserve">. The Ontario Court of Appeal in </w:t>
      </w:r>
      <w:r>
        <w:rPr>
          <w:rFonts w:ascii="arial" w:eastAsia="arial" w:hAnsi="arial" w:cs="arial"/>
          <w:i/>
          <w:color w:val="000000"/>
          <w:sz w:val="20"/>
          <w:lang w:val="en-US" w:eastAsia="en-US" w:bidi="ar-SA"/>
        </w:rPr>
        <w:t>Bongiardina</w:t>
      </w:r>
      <w:r>
        <w:rPr>
          <w:rFonts w:ascii="arial" w:eastAsia="arial" w:hAnsi="arial" w:cs="arial"/>
          <w:color w:val="000000"/>
          <w:sz w:val="20"/>
          <w:lang w:val="en-US" w:eastAsia="en-US" w:bidi="ar-SA"/>
        </w:rPr>
        <w:t xml:space="preserve"> outlined two exceptions to this principle at paras. 20-21: first, if the property owner assumes control of the adjacent public property; and second, if conditions or activities taking place on his or her property flow off the property and cause injury to persons nearby. The parties agree that neither of these two exceptions apply to the circumstances of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Does this case fall within a previously recognized category?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As I have said, Mr. Der relies on </w:t>
      </w:r>
      <w:r>
        <w:rPr>
          <w:rFonts w:ascii="arial" w:eastAsia="arial" w:hAnsi="arial" w:cs="arial"/>
          <w:i/>
          <w:color w:val="000000"/>
          <w:sz w:val="20"/>
          <w:lang w:val="en-US" w:eastAsia="en-US" w:bidi="ar-SA"/>
        </w:rPr>
        <w:t>Goodwin</w:t>
      </w:r>
      <w:r>
        <w:rPr>
          <w:rFonts w:ascii="arial" w:eastAsia="arial" w:hAnsi="arial" w:cs="arial"/>
          <w:color w:val="000000"/>
          <w:sz w:val="20"/>
          <w:lang w:val="en-US" w:eastAsia="en-US" w:bidi="ar-SA"/>
        </w:rPr>
        <w:t xml:space="preserve"> in support of his argument that liability may attach to a person who volunteers to undertake an act, which they are not otherwise legally required to do, if that act is not performed or if it is done negligently. He submits that I ought to follow the majority's duty of care analysis at paras. 38-59.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Goodwin</w:t>
      </w:r>
      <w:r>
        <w:rPr>
          <w:rFonts w:ascii="arial" w:eastAsia="arial" w:hAnsi="arial" w:cs="arial"/>
          <w:color w:val="000000"/>
          <w:sz w:val="20"/>
          <w:lang w:val="en-US" w:eastAsia="en-US" w:bidi="ar-SA"/>
        </w:rPr>
        <w:t>, a road maintenance company with a contract to maintain certain highways on Vancouver Island was alerted by an RCMP dispatcher to the possibility of black ice in an area that Mainroad was not contractually responsible for maintaining. Mainroad told the RCMP dispatcher that a crew would be alerted, but one was never sent, nor was the RCMP notified that Mainroad was not responsible for that area of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A majority of the Court, applying the </w:t>
      </w:r>
      <w:r>
        <w:rPr>
          <w:rFonts w:ascii="arial" w:eastAsia="arial" w:hAnsi="arial" w:cs="arial"/>
          <w:i/>
          <w:color w:val="000000"/>
          <w:sz w:val="20"/>
          <w:lang w:val="en-US" w:eastAsia="en-US" w:bidi="ar-SA"/>
        </w:rPr>
        <w:t>Anns/Cooper</w:t>
      </w:r>
      <w:r>
        <w:rPr>
          <w:rFonts w:ascii="arial" w:eastAsia="arial" w:hAnsi="arial" w:cs="arial"/>
          <w:color w:val="000000"/>
          <w:sz w:val="20"/>
          <w:lang w:val="en-US" w:eastAsia="en-US" w:bidi="ar-SA"/>
        </w:rPr>
        <w:t xml:space="preserve"> framework, held that Mainroad had assumed a positive duty to act where it otherwise had none because it offered to abate the danger that was made known to it, and it did so with the foreseeable result that the RCMP would take no further efforts to obtain assistance: at para. 53. In so doing, it "stepped into the shoes" of the municipality who would otherwise have been responsible and effectively "took control over, and undertook to manage, the risk": at paras. 54-55.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Mr. Der also cites </w:t>
      </w:r>
      <w:r>
        <w:rPr>
          <w:rFonts w:ascii="arial" w:eastAsia="arial" w:hAnsi="arial" w:cs="arial"/>
          <w:i/>
          <w:color w:val="000000"/>
          <w:sz w:val="20"/>
          <w:lang w:val="en-US" w:eastAsia="en-US" w:bidi="ar-SA"/>
        </w:rPr>
        <w:t>Kennedy v. Coe</w:t>
      </w:r>
      <w:r>
        <w:rPr>
          <w:rFonts w:ascii="arial" w:eastAsia="arial" w:hAnsi="arial" w:cs="arial"/>
          <w:color w:val="000000"/>
          <w:sz w:val="20"/>
          <w:lang w:val="en-US" w:eastAsia="en-US" w:bidi="ar-SA"/>
        </w:rPr>
        <w:t xml:space="preserve">, </w:t>
      </w:r>
      <w:hyperlink r:id="rId923" w:history="1">
        <w:r>
          <w:rPr>
            <w:rFonts w:ascii="arial" w:eastAsia="arial" w:hAnsi="arial" w:cs="arial"/>
            <w:i/>
            <w:color w:val="0077CC"/>
            <w:sz w:val="20"/>
            <w:u w:val="single"/>
            <w:shd w:val="clear" w:color="auto" w:fill="FFFFFF"/>
            <w:lang w:val="en-US" w:eastAsia="en-US" w:bidi="ar-SA"/>
          </w:rPr>
          <w:t>2014 BCSC 120</w:t>
        </w:r>
      </w:hyperlink>
      <w:r>
        <w:rPr>
          <w:rFonts w:ascii="arial" w:eastAsia="arial" w:hAnsi="arial" w:cs="arial"/>
          <w:color w:val="000000"/>
          <w:sz w:val="20"/>
          <w:lang w:val="en-US" w:eastAsia="en-US" w:bidi="ar-SA"/>
        </w:rPr>
        <w:t xml:space="preserve">, as a case in which a duty of care on the basis of a voluntary undertaking was argued. In that case, Justice Fisher, as she then was, dismissed an action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basis that there was no duty of care owed to the plaintiff. The plaintiff died tragically in a heli-skiing accident and the defendant had been assigned to be his "ski buddy". Justice Fisher rejected the argument that the defendant owed a duty to the plaintiff to immediately alert the guides once the plaintiff had disappeared. She distinguished other voluntary undertaking cases, such as </w:t>
      </w:r>
      <w:r>
        <w:rPr>
          <w:rFonts w:ascii="arial" w:eastAsia="arial" w:hAnsi="arial" w:cs="arial"/>
          <w:i/>
          <w:color w:val="000000"/>
          <w:sz w:val="20"/>
          <w:lang w:val="en-US" w:eastAsia="en-US" w:bidi="ar-SA"/>
        </w:rPr>
        <w:t>Goodwin</w:t>
      </w:r>
      <w:r>
        <w:rPr>
          <w:rFonts w:ascii="arial" w:eastAsia="arial" w:hAnsi="arial" w:cs="arial"/>
          <w:color w:val="000000"/>
          <w:sz w:val="20"/>
          <w:lang w:val="en-US" w:eastAsia="en-US" w:bidi="ar-SA"/>
        </w:rPr>
        <w:t>, on the basis that they involved "a clear undertaking made to perform a specific task in circumstances very different from those in this case", which involved the plaintiff voluntarily engaging in a high-risk sport and where the expectations and duties of the ski buddy may not have been clearly articulated: at paras. 62-65.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In my view, as was the case in </w:t>
      </w:r>
      <w:r>
        <w:rPr>
          <w:rFonts w:ascii="arial" w:eastAsia="arial" w:hAnsi="arial" w:cs="arial"/>
          <w:i/>
          <w:color w:val="000000"/>
          <w:sz w:val="20"/>
          <w:lang w:val="en-US" w:eastAsia="en-US" w:bidi="ar-SA"/>
        </w:rPr>
        <w:t>Kennedy</w:t>
      </w:r>
      <w:r>
        <w:rPr>
          <w:rFonts w:ascii="arial" w:eastAsia="arial" w:hAnsi="arial" w:cs="arial"/>
          <w:color w:val="000000"/>
          <w:sz w:val="20"/>
          <w:lang w:val="en-US" w:eastAsia="en-US" w:bidi="ar-SA"/>
        </w:rPr>
        <w:t xml:space="preserve">, this case can be distinguished from </w:t>
      </w:r>
      <w:r>
        <w:rPr>
          <w:rFonts w:ascii="arial" w:eastAsia="arial" w:hAnsi="arial" w:cs="arial"/>
          <w:i/>
          <w:color w:val="000000"/>
          <w:sz w:val="20"/>
          <w:lang w:val="en-US" w:eastAsia="en-US" w:bidi="ar-SA"/>
        </w:rPr>
        <w:t>Goodwin</w:t>
      </w:r>
      <w:r>
        <w:rPr>
          <w:rFonts w:ascii="arial" w:eastAsia="arial" w:hAnsi="arial" w:cs="arial"/>
          <w:color w:val="000000"/>
          <w:sz w:val="20"/>
          <w:lang w:val="en-US" w:eastAsia="en-US" w:bidi="ar-SA"/>
        </w:rPr>
        <w:t xml:space="preserve"> on the basis that there was no clear undertaking made by the Mr Zhao and Ms. Huang. I do not agree that acting to comply with a bylaw requiring homeowners to clear the sidewalk of snow and ice is equivalent to the voluntary undertaking made in </w:t>
      </w:r>
      <w:r>
        <w:rPr>
          <w:rFonts w:ascii="arial" w:eastAsia="arial" w:hAnsi="arial" w:cs="arial"/>
          <w:i/>
          <w:color w:val="000000"/>
          <w:sz w:val="20"/>
          <w:lang w:val="en-US" w:eastAsia="en-US" w:bidi="ar-SA"/>
        </w:rPr>
        <w:t>Goodwin</w:t>
      </w:r>
      <w:r>
        <w:rPr>
          <w:rFonts w:ascii="arial" w:eastAsia="arial" w:hAnsi="arial" w:cs="arial"/>
          <w:color w:val="000000"/>
          <w:sz w:val="20"/>
          <w:lang w:val="en-US" w:eastAsia="en-US" w:bidi="ar-SA"/>
        </w:rPr>
        <w:t>, which involved an explicit promise by a road maintenance company to resolve a specific danger on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Goodwin</w:t>
      </w:r>
      <w:r>
        <w:rPr>
          <w:rFonts w:ascii="arial" w:eastAsia="arial" w:hAnsi="arial" w:cs="arial"/>
          <w:color w:val="000000"/>
          <w:sz w:val="20"/>
          <w:lang w:val="en-US" w:eastAsia="en-US" w:bidi="ar-SA"/>
        </w:rPr>
        <w:t>, the circumstances were such that, had the defendants not offered to abate the black ice present on the highway, the RCMP would have passed along the information to the responsible municipality. The defendant's actions prevented the municipality, which would otherwise have been legally responsible, from deploying strategies to resolve the danger, and Mainroad was therefore found to have effectively taken control over and undertaken to manage that specific risk. This was important to the finding that the reasonable foreseeability test had been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this case, there is no indication that absent Mr. Zhao and Ms. Huang's conduct, the City would have ameliorated the dangers on the sidewalk. There is no suggestion of any communication from Mr. Zhao or Ms. Huang to the City, which would amount to an agreement to take control over and manage the risks of ice and snow that develop on the sidewalk.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It is not reasonable to interpret an attempt to comply with a bylaw as a voluntary undertaking to the City to maintain the sidewalk and resolve dangers that later form on it. I therefore conclude that this case does not fall within a previously recognized category.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Should a novel duty of care be recognized?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Importantly, Mr. Der accepts the holding from </w:t>
      </w:r>
      <w:r>
        <w:rPr>
          <w:rFonts w:ascii="arial" w:eastAsia="arial" w:hAnsi="arial" w:cs="arial"/>
          <w:i/>
          <w:color w:val="000000"/>
          <w:sz w:val="20"/>
          <w:lang w:val="en-US" w:eastAsia="en-US" w:bidi="ar-SA"/>
        </w:rPr>
        <w:t>Bongiardina</w:t>
      </w:r>
      <w:r>
        <w:rPr>
          <w:rFonts w:ascii="arial" w:eastAsia="arial" w:hAnsi="arial" w:cs="arial"/>
          <w:color w:val="000000"/>
          <w:sz w:val="20"/>
          <w:lang w:val="en-US" w:eastAsia="en-US" w:bidi="ar-SA"/>
        </w:rPr>
        <w:t xml:space="preserve"> that there is no duty owed by homeowners to users of the sidewalk abutting their property to clear it of snow and ice. Mr. Der has not argued that </w:t>
      </w:r>
      <w:r>
        <w:rPr>
          <w:rFonts w:ascii="arial" w:eastAsia="arial" w:hAnsi="arial" w:cs="arial"/>
          <w:i/>
          <w:color w:val="000000"/>
          <w:sz w:val="20"/>
          <w:lang w:val="en-US" w:eastAsia="en-US" w:bidi="ar-SA"/>
        </w:rPr>
        <w:t>Bongiardina</w:t>
      </w:r>
      <w:r>
        <w:rPr>
          <w:rFonts w:ascii="arial" w:eastAsia="arial" w:hAnsi="arial" w:cs="arial"/>
          <w:color w:val="000000"/>
          <w:sz w:val="20"/>
          <w:lang w:val="en-US" w:eastAsia="en-US" w:bidi="ar-SA"/>
        </w:rPr>
        <w:t xml:space="preserve"> was wrongly decided, or that because it is an Ontario decision considering a different statute governing the responsibilities of municipalities, it should not be adopted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Instead, he seeks to distinguish </w:t>
      </w:r>
      <w:r>
        <w:rPr>
          <w:rFonts w:ascii="arial" w:eastAsia="arial" w:hAnsi="arial" w:cs="arial"/>
          <w:i/>
          <w:color w:val="000000"/>
          <w:sz w:val="20"/>
          <w:lang w:val="en-US" w:eastAsia="en-US" w:bidi="ar-SA"/>
        </w:rPr>
        <w:t>Bongiardina</w:t>
      </w:r>
      <w:r>
        <w:rPr>
          <w:rFonts w:ascii="arial" w:eastAsia="arial" w:hAnsi="arial" w:cs="arial"/>
          <w:color w:val="000000"/>
          <w:sz w:val="20"/>
          <w:lang w:val="en-US" w:eastAsia="en-US" w:bidi="ar-SA"/>
        </w:rPr>
        <w:t>, and the cases that follow it, on the basis that the property owners in those cases had not made any attempts to clear the sidewalk or did not do so in a negligent manner contributing to the formation of the danger. He argues that a novel duty of care should be established in circumstances where a property owner "failed in their attempt to clear [the sidewalk of] snow and/or ice", thereby causing or contributing to the creation of a set of dangerous conditions. Where this is the case, he says that property owners owe a duty to warn users of the sidewalk of the danger or to ameliorate the dangerous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In my view, Mr. Der's argument is logically flawed. It seeks to impose a duty of care on the basis that the act of clearing the sidewalk was performed negligently--in other words, that the </w:t>
      </w:r>
      <w:r>
        <w:rPr>
          <w:rFonts w:ascii="arial" w:eastAsia="arial" w:hAnsi="arial" w:cs="arial"/>
          <w:i/>
          <w:color w:val="000000"/>
          <w:sz w:val="20"/>
          <w:lang w:val="en-US" w:eastAsia="en-US" w:bidi="ar-SA"/>
        </w:rPr>
        <w:t>standard of care</w:t>
      </w:r>
      <w:r>
        <w:rPr>
          <w:rFonts w:ascii="arial" w:eastAsia="arial" w:hAnsi="arial" w:cs="arial"/>
          <w:color w:val="000000"/>
          <w:sz w:val="20"/>
          <w:lang w:val="en-US" w:eastAsia="en-US" w:bidi="ar-SA"/>
        </w:rPr>
        <w:t xml:space="preserve"> was breached--in circumstances in which he accepts that a duty of care does not exist.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To agree that homeowners owe no duty to users of the sidewalk to maintain it, but argue that failing to act to the appropriate standard in doing so can create a duty of care, is contrary to basic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principles in that it conflates concepts of duty of care with standard of care. It is circular reasoning.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The question of the appropriate standard of care does not arise if a duty of care is not established. As set out in </w:t>
      </w:r>
      <w:r>
        <w:rPr>
          <w:rFonts w:ascii="arial" w:eastAsia="arial" w:hAnsi="arial" w:cs="arial"/>
          <w:i/>
          <w:color w:val="000000"/>
          <w:sz w:val="20"/>
          <w:lang w:val="en-US" w:eastAsia="en-US" w:bidi="ar-SA"/>
        </w:rPr>
        <w:t>Simpson v. Baechler</w:t>
      </w:r>
      <w:r>
        <w:rPr>
          <w:rFonts w:ascii="arial" w:eastAsia="arial" w:hAnsi="arial" w:cs="arial"/>
          <w:color w:val="000000"/>
          <w:sz w:val="20"/>
          <w:lang w:val="en-US" w:eastAsia="en-US" w:bidi="ar-SA"/>
        </w:rPr>
        <w:t xml:space="preserve">, </w:t>
      </w:r>
      <w:hyperlink r:id="rId924" w:history="1">
        <w:r>
          <w:rPr>
            <w:rFonts w:ascii="arial" w:eastAsia="arial" w:hAnsi="arial" w:cs="arial"/>
            <w:i/>
            <w:color w:val="0077CC"/>
            <w:sz w:val="20"/>
            <w:u w:val="single"/>
            <w:shd w:val="clear" w:color="auto" w:fill="FFFFFF"/>
            <w:lang w:val="en-US" w:eastAsia="en-US" w:bidi="ar-SA"/>
          </w:rPr>
          <w:t>2009 BCCA 13</w:t>
        </w:r>
      </w:hyperlink>
      <w:r>
        <w:rPr>
          <w:rFonts w:ascii="arial" w:eastAsia="arial" w:hAnsi="arial" w:cs="arial"/>
          <w:color w:val="000000"/>
          <w:sz w:val="20"/>
          <w:lang w:val="en-US" w:eastAsia="en-US" w:bidi="ar-SA"/>
        </w:rPr>
        <w:t xml:space="preserve"> at para. 31, summarizing </w:t>
      </w:r>
      <w:r>
        <w:rPr>
          <w:rFonts w:ascii="arial" w:eastAsia="arial" w:hAnsi="arial" w:cs="arial"/>
          <w:i/>
          <w:color w:val="000000"/>
          <w:sz w:val="20"/>
          <w:lang w:val="en-US" w:eastAsia="en-US" w:bidi="ar-SA"/>
        </w:rPr>
        <w:t>Ryan v. Victoria (City)</w:t>
      </w:r>
      <w:r>
        <w:rPr>
          <w:rFonts w:ascii="arial" w:eastAsia="arial" w:hAnsi="arial" w:cs="arial"/>
          <w:color w:val="000000"/>
          <w:sz w:val="20"/>
          <w:lang w:val="en-US" w:eastAsia="en-US" w:bidi="ar-SA"/>
        </w:rPr>
        <w:t xml:space="preserve">, </w:t>
      </w:r>
      <w:hyperlink r:id="rId925" w:history="1">
        <w:r>
          <w:rPr>
            <w:rFonts w:ascii="arial" w:eastAsia="arial" w:hAnsi="arial" w:cs="arial"/>
            <w:i/>
            <w:color w:val="0077CC"/>
            <w:sz w:val="20"/>
            <w:u w:val="single"/>
            <w:shd w:val="clear" w:color="auto" w:fill="FFFFFF"/>
            <w:lang w:val="en-US" w:eastAsia="en-US" w:bidi="ar-SA"/>
          </w:rPr>
          <w:t>[1999] 1 S.C.R. 201</w:t>
        </w:r>
      </w:hyperlink>
      <w:r>
        <w:rPr>
          <w:rFonts w:ascii="arial" w:eastAsia="arial" w:hAnsi="arial" w:cs="arial"/>
          <w:color w:val="000000"/>
          <w:sz w:val="20"/>
          <w:lang w:val="en-US" w:eastAsia="en-US" w:bidi="ar-SA"/>
        </w:rPr>
        <w:t xml:space="preserve"> at para. 21, and cited with approval in </w:t>
      </w:r>
      <w:r>
        <w:rPr>
          <w:rFonts w:ascii="arial" w:eastAsia="arial" w:hAnsi="arial" w:cs="arial"/>
          <w:i/>
          <w:color w:val="000000"/>
          <w:sz w:val="20"/>
          <w:lang w:val="en-US" w:eastAsia="en-US" w:bidi="ar-SA"/>
        </w:rPr>
        <w:t>Van Tent v. Abbotsford (City)</w:t>
      </w:r>
      <w:r>
        <w:rPr>
          <w:rFonts w:ascii="arial" w:eastAsia="arial" w:hAnsi="arial" w:cs="arial"/>
          <w:color w:val="000000"/>
          <w:sz w:val="20"/>
          <w:lang w:val="en-US" w:eastAsia="en-US" w:bidi="ar-SA"/>
        </w:rPr>
        <w:t xml:space="preserve">, </w:t>
      </w:r>
      <w:hyperlink r:id="rId926" w:history="1">
        <w:r>
          <w:rPr>
            <w:rFonts w:ascii="arial" w:eastAsia="arial" w:hAnsi="arial" w:cs="arial"/>
            <w:i/>
            <w:color w:val="0077CC"/>
            <w:sz w:val="20"/>
            <w:u w:val="single"/>
            <w:shd w:val="clear" w:color="auto" w:fill="FFFFFF"/>
            <w:lang w:val="en-US" w:eastAsia="en-US" w:bidi="ar-SA"/>
          </w:rPr>
          <w:t>2013 BCCA 236</w:t>
        </w:r>
      </w:hyperlink>
      <w:r>
        <w:rPr>
          <w:rFonts w:ascii="arial" w:eastAsia="arial" w:hAnsi="arial" w:cs="arial"/>
          <w:color w:val="000000"/>
          <w:sz w:val="20"/>
          <w:lang w:val="en-US" w:eastAsia="en-US" w:bidi="ar-SA"/>
        </w:rPr>
        <w:t xml:space="preserve"> at para. 30, "a discussion of duty centres around its existence, while the standard of care clarifies what the content of the duty is. Where there is no duty there is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Leggett's opinions, which I will repeat here for ease of reference, support that Mr. Der's argument is about the standard of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It is imperative when performing any winter road maintenance activities to perform it thoroughly</w:t>
      </w:r>
      <w:r>
        <w:rPr>
          <w:rFonts w:ascii="arial" w:eastAsia="arial" w:hAnsi="arial" w:cs="arial"/>
          <w:color w:val="000000"/>
          <w:sz w:val="20"/>
          <w:lang w:val="en-US" w:eastAsia="en-US" w:bidi="ar-SA"/>
        </w:rPr>
        <w:t xml:space="preserve">. That is, if a road or a sidewalk is cleared of snow by mechanical means, </w:t>
      </w:r>
      <w:r>
        <w:rPr>
          <w:rFonts w:ascii="arial" w:eastAsia="arial" w:hAnsi="arial" w:cs="arial"/>
          <w:color w:val="000000"/>
          <w:sz w:val="20"/>
          <w:u w:val="single"/>
          <w:lang w:val="en-US" w:eastAsia="en-US" w:bidi="ar-SA"/>
        </w:rPr>
        <w:t>a follow up of preferably salting, or at minimum sanding, should be undertaken</w:t>
      </w:r>
      <w:r>
        <w:rPr>
          <w:rFonts w:ascii="arial" w:eastAsia="arial" w:hAnsi="arial" w:cs="arial"/>
          <w:color w:val="000000"/>
          <w:sz w:val="20"/>
          <w:lang w:val="en-US" w:eastAsia="en-US" w:bidi="ar-SA"/>
        </w:rPr>
        <w:t xml:space="preserve"> to eliminate any residual moisture that remains. Naturally, depending on the nature of the plow or shovel, there is always residual amounts of snow which remains and this can only be removed via chemical methodologies (i.e.: salting). In other words, </w:t>
      </w:r>
      <w:r>
        <w:rPr>
          <w:rFonts w:ascii="arial" w:eastAsia="arial" w:hAnsi="arial" w:cs="arial"/>
          <w:color w:val="000000"/>
          <w:sz w:val="20"/>
          <w:u w:val="single"/>
          <w:lang w:val="en-US" w:eastAsia="en-US" w:bidi="ar-SA"/>
        </w:rPr>
        <w:t>if an effort is undertaken to remove the snow then it follows that an additional effort should be made to apply a de-icing chemical to remove any excess material left behind</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It is also important in a region such as the wheelchair access ramp with the slope involved that a complete snow removal of the entire sidewalk be undertaken</w:t>
      </w:r>
      <w:r>
        <w:rPr>
          <w:rFonts w:ascii="arial" w:eastAsia="arial" w:hAnsi="arial" w:cs="arial"/>
          <w:color w:val="000000"/>
          <w:sz w:val="20"/>
          <w:lang w:val="en-US" w:eastAsia="en-US" w:bidi="ar-SA"/>
        </w:rPr>
        <w:t>. The undersigned has had numerous instances in his career where a half plowed sidewalk (on the downside of the sidewalk) results in melt water from snow that has not been removed simply travelling down the slope and freezing upon reaching the cold sidewalk surface. If the sidewalk is completely eliminated of any snow, and if a follow up salt application is made, clearly there is no additional moisture present which takes away one of the two requirements for the production of black ice (namely that no precipitation would have been present).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these paragraphs, Mr. Leggett provides his opinion on what the appropriate standard for clearing a sidewalk of snow and ice--and in particular, a sloped sidewalk--should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Even if I am wrong about the logical flaw in Mr. Der's argument, I would not find that he has met his burden of establishing a novel duty of care. In particular, he has not taken the Court through the proximity analysis required under the </w:t>
      </w:r>
      <w:r>
        <w:rPr>
          <w:rFonts w:ascii="arial" w:eastAsia="arial" w:hAnsi="arial" w:cs="arial"/>
          <w:i/>
          <w:color w:val="000000"/>
          <w:sz w:val="20"/>
          <w:lang w:val="en-US" w:eastAsia="en-US" w:bidi="ar-SA"/>
        </w:rPr>
        <w:t>Anns/Cooper</w:t>
      </w:r>
      <w:r>
        <w:rPr>
          <w:rFonts w:ascii="arial" w:eastAsia="arial" w:hAnsi="arial" w:cs="arial"/>
          <w:color w:val="000000"/>
          <w:sz w:val="20"/>
          <w:lang w:val="en-US" w:eastAsia="en-US" w:bidi="ar-SA"/>
        </w:rPr>
        <w:t xml:space="preserve"> framework to establish that it would be just and fair to impose a duty. The Supreme Court of Canada has repeatedly held that the plaintiff bears the legal burden of establishing the existence of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which requires him to provide a sufficient factual basis to establish that the harm was a reasonably foreseeable consequence of the defendant's conduct in the context of a proximate relationship: </w:t>
      </w:r>
      <w:r>
        <w:rPr>
          <w:rFonts w:ascii="arial" w:eastAsia="arial" w:hAnsi="arial" w:cs="arial"/>
          <w:i/>
          <w:color w:val="000000"/>
          <w:sz w:val="20"/>
          <w:lang w:val="en-US" w:eastAsia="en-US" w:bidi="ar-SA"/>
        </w:rPr>
        <w:t>Rankin (Rankin's Garage &amp; Sales) v. J.J.</w:t>
      </w:r>
      <w:r>
        <w:rPr>
          <w:rFonts w:ascii="arial" w:eastAsia="arial" w:hAnsi="arial" w:cs="arial"/>
          <w:color w:val="000000"/>
          <w:sz w:val="20"/>
          <w:lang w:val="en-US" w:eastAsia="en-US" w:bidi="ar-SA"/>
        </w:rPr>
        <w:t xml:space="preserve">, </w:t>
      </w:r>
      <w:hyperlink r:id="rId927" w:history="1">
        <w:r>
          <w:rPr>
            <w:rFonts w:ascii="arial" w:eastAsia="arial" w:hAnsi="arial" w:cs="arial"/>
            <w:i/>
            <w:color w:val="0077CC"/>
            <w:sz w:val="20"/>
            <w:u w:val="single"/>
            <w:shd w:val="clear" w:color="auto" w:fill="FFFFFF"/>
            <w:lang w:val="en-US" w:eastAsia="en-US" w:bidi="ar-SA"/>
          </w:rPr>
          <w:t>2018 SCC 19</w:t>
        </w:r>
      </w:hyperlink>
      <w:r>
        <w:rPr>
          <w:rFonts w:ascii="arial" w:eastAsia="arial" w:hAnsi="arial" w:cs="arial"/>
          <w:color w:val="000000"/>
          <w:sz w:val="20"/>
          <w:lang w:val="en-US" w:eastAsia="en-US" w:bidi="ar-SA"/>
        </w:rPr>
        <w:t xml:space="preserve"> at para. 19 [</w:t>
      </w:r>
      <w:r>
        <w:rPr>
          <w:rFonts w:ascii="arial" w:eastAsia="arial" w:hAnsi="arial" w:cs="arial"/>
          <w:i/>
          <w:color w:val="000000"/>
          <w:sz w:val="20"/>
          <w:lang w:val="en-US" w:eastAsia="en-US" w:bidi="ar-SA"/>
        </w:rPr>
        <w:t>Rankin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Childs</w:t>
      </w:r>
      <w:r>
        <w:rPr>
          <w:rFonts w:ascii="arial" w:eastAsia="arial" w:hAnsi="arial" w:cs="arial"/>
          <w:color w:val="000000"/>
          <w:sz w:val="20"/>
          <w:lang w:val="en-US" w:eastAsia="en-US" w:bidi="ar-SA"/>
        </w:rPr>
        <w:t xml:space="preserve"> at para. 12. Even if I were to accept all the evidence filed by Mr. Der in response to this summary trial application, I would not find that he has established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Mr. Der submits that "[a] reasonable person ought to agree that if a sloped sidewalk with black ice (which is inherently not visible) is so slippery that it cannot be safely stood upon by emergency first responders, this is clearly an 'unreasonable risk'". With respect the circumstances of this case, the fact that an unreasonable risk was present when the plaintiff was injured is not enough to establish reasonable foreseeability. As Justice Karakatsanis explains in </w:t>
      </w:r>
      <w:r>
        <w:rPr>
          <w:rFonts w:ascii="arial" w:eastAsia="arial" w:hAnsi="arial" w:cs="arial"/>
          <w:i/>
          <w:color w:val="000000"/>
          <w:sz w:val="20"/>
          <w:lang w:val="en-US" w:eastAsia="en-US" w:bidi="ar-SA"/>
        </w:rPr>
        <w:t>Rankin</w:t>
      </w:r>
      <w:r>
        <w:rPr>
          <w:rFonts w:ascii="arial" w:eastAsia="arial" w:hAnsi="arial" w:cs="arial"/>
          <w:color w:val="000000"/>
          <w:sz w:val="20"/>
          <w:lang w:val="en-US" w:eastAsia="en-US" w:bidi="ar-SA"/>
        </w:rPr>
        <w:t xml:space="preserve"> at para. 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The fact that something is </w:t>
      </w:r>
      <w:r>
        <w:rPr>
          <w:rFonts w:ascii="arial" w:eastAsia="arial" w:hAnsi="arial" w:cs="arial"/>
          <w:i/>
          <w:color w:val="000000"/>
          <w:sz w:val="20"/>
          <w:lang w:val="en-US" w:eastAsia="en-US" w:bidi="ar-SA"/>
        </w:rPr>
        <w:t>possible</w:t>
      </w:r>
      <w:r>
        <w:rPr>
          <w:rFonts w:ascii="arial" w:eastAsia="arial" w:hAnsi="arial" w:cs="arial"/>
          <w:color w:val="000000"/>
          <w:sz w:val="20"/>
          <w:lang w:val="en-US" w:eastAsia="en-US" w:bidi="ar-SA"/>
        </w:rPr>
        <w:t xml:space="preserve"> does not mean that it is reasonably foreseeable. Obviously, any harm that has occurred was by definition possible. Thus, for harm to be reasonably foreseeable, a higher threshold than mere possibility must be met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As noted in </w:t>
      </w:r>
      <w:r>
        <w:rPr>
          <w:rFonts w:ascii="arial" w:eastAsia="arial" w:hAnsi="arial" w:cs="arial"/>
          <w:i/>
          <w:color w:val="000000"/>
          <w:sz w:val="20"/>
          <w:lang w:val="en-US" w:eastAsia="en-US" w:bidi="ar-SA"/>
        </w:rPr>
        <w:t>Rankin</w:t>
      </w:r>
      <w:r>
        <w:rPr>
          <w:rFonts w:ascii="arial" w:eastAsia="arial" w:hAnsi="arial" w:cs="arial"/>
          <w:color w:val="000000"/>
          <w:sz w:val="20"/>
          <w:lang w:val="en-US" w:eastAsia="en-US" w:bidi="ar-SA"/>
        </w:rPr>
        <w:t xml:space="preserve"> at para. 25, the question of reasonable foreseeability must be framed so as to link the impugned conduct to the harm suffered by a plaintiff. Mr. Der bears the burden of establishing that reasonable persons, in the position of Mr. Zhao and Ms. Huang, should have foreseen that, by attempting to clear the sidewalk of snow and ice, they may be materially contributing to the risk of a danger (such as black ice forming), which in turn risks physical injury to persons walking on the sidewalk. It is only if Mr. Der meets this burden that it would be just and fair to impose a positive duty on Mr. Zhao and Ms. Huang.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Although Mr. Der provided evidence about the risk that was present on the sidewalk at the time of the Fall, how the risk may have been created, and how it may have been contributed to by Mr. Zhao and Ms. Huang's actions, he has not explained why a person in the place of Mr. Zhao and Ms. Huang should have had in mind that their actions could create such a danger and thereby increase the risk of injury to users of the sidewalk. Common sense suggests that a person clearing a sidewalk of snow and ice would expect that they were in fact ameliorating a danger, rather than contributing to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This is particularly so in the circumstances of this case, where Mr. Zhao and Ms. Huang had never lived in the Premises before the date of the Fall. Mr. Leggett opines that the danger of ice formation on the sidewalk in the location of the Fall was particularly grave because of the slope and the grooves in the wheelchair ramp. Mr. Der has not explained why reasonable persons in the position of Mr. Zhao and Ms. Huang should have been aware of the specific dangers that this raised when they engaged in the snow removal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It might be a different situation if Mr. Der's argument was that Mr. Zhao's and Ms. Huang's actions, in and of themselves, created a danger which caused reasonably foreseeable harm to users of the sidewalk. However, that is not his argument. He does not argue that Mr. Zhao's and Ms. Huang's actions caused a direct danger, but argues instead that their actions, combined with additional circumstances relating to weather patterns, and the slope and structure of the sidewalk, led to the formation of a danger after the fact. It is in the context of these circumstances that Mr. Der bears the burden of establishing that reasonable foreseeability and proximity are met such that it would be just and fair to impose a duty of care on Mr. Zhao and Ms. Huang. He has not met this burden.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Even assuming that Mr. Der was successful in establishing sufficient proximity to warrant imposing a positive duty on Mr. Zhao and Ms. Huang to ameliorate, or warn sidewalk users of, the danger of black ice forming as a result of their snow removal efforts, I expect that there would be significant policy reasons against recognizing a duty of care in these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If, as Mr. Der concedes, property owners who do not clear sidewalks abutting their properties have no legal responsibility for potential resulting danger on those sidewalks, but those who comply with municipal snow removal bylaws expose themselves to liability, the result would be that property owners would have an incentive not to make any efforts to comply with snow removal bylaws. The potential loss of the assistance of private property owners in snow removal efforts out of fear of the potential legal ramifications would be likely to cause more danger than it would prevent.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existence of a duty of care is a distinct legal question, and in the circumstances of this case, it can be decided without the need to assess the witness' credibility with respect to the conditions of the sidewalk on the morning of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As noted above, Mr. Der has the onus of establishing the existence of a duty of care. The fact that this is a summary trial application does not relieve him of his burden. He must take every reasonable step to advance his claim. In my view, he has failed to meet his burden.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the circumstances of this case, I find that it is just and appropriate to sever the issue of liability and to grant judgment pursuant to Rule 9-7(15), and do so in favour of Mr. Zhao and Ms. Huang on the basis that Mr. Der has failed to establish that they owed him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 MacNAUGHTON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2" style="position:absolute;z-index:2518046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28"/>
          <w:headerReference w:type="default" r:id="rId929"/>
          <w:footerReference w:type="even" r:id="rId930"/>
          <w:footerReference w:type="default" r:id="rId931"/>
          <w:headerReference w:type="first" r:id="rId932"/>
          <w:footerReference w:type="first" r:id="rId93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34" w:history="1">
        <w:r>
          <w:rPr>
            <w:rFonts w:ascii="arial" w:eastAsia="arial" w:hAnsi="arial" w:cs="arial"/>
            <w:b/>
            <w:bCs/>
            <w:i/>
            <w:color w:val="0077CC"/>
            <w:kern w:val="32"/>
            <w:sz w:val="28"/>
            <w:szCs w:val="32"/>
            <w:u w:val="single"/>
            <w:shd w:val="clear" w:color="auto" w:fill="FFFFFF"/>
            <w:lang w:val="en-US" w:eastAsia="en-US" w:bidi="ar-SA"/>
          </w:rPr>
          <w:t>Dufault v. Kathed Holdings Ltd. (c.o.b. Regent Fish), [2007] B.C.J. No. 252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Cohen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4 - 8,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7,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S011994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252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186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70 B.C.L.R. (4th) 144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155 A.C.W.S. (3d) 88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CarswellBC 265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Denise Dufault, Plaintiff, and Kathed Holdings Ltd. doing business as Regent Fish and the said Regent Fish and Jang Yoon Hoon,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(179 paras.)</w:t>
      </w:r>
    </w:p>
    <w:p>
      <w:pPr>
        <w:jc w:val="both"/>
        <w:rPr>
          <w:rFonts w:ascii="arial" w:eastAsia="arial" w:hAnsi="arial" w:cs="arial"/>
          <w:sz w:val="20"/>
          <w:lang w:val="en-US" w:eastAsia="en-US" w:bidi="ar-SA"/>
        </w:rPr>
      </w:pPr>
      <w:bookmarkStart w:id="203" w:name="Counsel_43"/>
      <w:bookmarkEnd w:id="20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3" style="position:absolute;z-index:2517032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L.G. Harris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Kathed Holdings Ltd.: K. Prokiw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Jang Yoon Hoon: J. Martin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04" w:name="Judgment_43"/>
      <w:bookmarkEnd w:id="204"/>
      <w:r>
        <w:pict>
          <v:line id="_x0000_s1184" style="position:absolute;z-index:25175449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5" w:name="COHEN J."/>
            <w:bookmarkEnd w:id="205"/>
            <w:r>
              <w:rPr>
                <w:rFonts w:ascii="arial" w:eastAsia="arial" w:hAnsi="arial" w:cs="arial"/>
                <w:b/>
                <w:color w:val="000000"/>
                <w:sz w:val="30"/>
                <w:lang w:val="en-US" w:eastAsia="en-US" w:bidi="ar-SA"/>
              </w:rPr>
              <w:t>COHEN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Plaintiff's Claim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April 17, 2000, the plaintiff, Denise Dufault, age 35 at the time, exited the rear entrance of the fish store operated by the defendant Kathed Holdings Ltd. (doing business as Regent Fish), in the premises owned by the defendant Jang Yoong Hoon, and proceeded to walk down the store's rear stairs when she slipped and fell.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claims that as a result of the slip and fall she sustained an injury to her left knee causing her loss, damage and expense, as well as past wage loss and loss of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have admitted liability for the accident and the parties have agreed that any liability apportioned to the defendants should be divided equally between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Plaintiff's Background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was born and raised in Vancouver. She has two siblings, an older brother and sister. Her father died in 1991 when he was 61. Her mother is 82 years old and still lives in the family home in Burnaby.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has had a longstanding interest in operating cameras. Her first film project was in grade 8 when she created a film for her English class. After graduating from high school she attended Columbia College in Los Angeles for one year and then returned to Vancouver in 1985. At Columbia College she learned to operate a 16 mm camera, edit sound and film as well as film direction and production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When she returned to Vancouver the plaintiff attended BCIT in 1987 where she received a certificate in administration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After her parents separated, the plaintiff's father was diagnosed with cancer. The plaintiff took temporary employment in a variety of office jobs so she would have flexibility to spend time and travel with her father.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also worked as a receptionist and held clerical jobs such as filing and data entry, earning about $1,200 to $1,500 per month. She assisted with film production work on weekends.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1991, the plaintiff was presented with the opportunity to create environmental shows for Delta Cable in Ladner. She was offered a weekly one-half hour television spot. At the time, she preferred to be behind the scenes in production or direction. She worked on the project from production to broadcast-ready stage and she did this kind of work for about six months, creating one or two shows a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Following her father's death in 1991, the plaintiff received an inheritance of $100,000 and decided to travel to Greece. She had visited there three years earlier as a tourist and had returned to produce a documentary on the late Dr. Marija Gimbutas, an archaeologist (this project is incomplete and is sitting on her shelf at the moment). In 1992 she decided that she would move to Greece.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After moving to Greece in early 1993, the plaintiff worked in print, film and television, holding a number of different positions, including camera operator and reporter.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the spring of 1997 the plaintiff met Angeletatos Anastasisos Metaxas ("Metaxas"), her future husband, in Athens. At the time he was doing design work for an American firm. Shortly afterwards they teamed up to work at a television station in Tripoli, a location about two hours south of Athens. This job ended when they did not get paid and had to sue for their wages.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the fall of 1997 the plaintiff returned to Vancouver with Metaxas. They stayed with the plaintiff's mother until the spring of 1998 when they returned to Athens. In the summer of 1998 the plaintiff and Metaxas worked on the Greek resort island of Ios where the plaintiff ran a clothing boutique and Metaxas operated a restaurant. In the fall of 1998 they again returned to Vancouver and stayed until the spring of 1999 when they returned to work on Ios.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the fall of 1999 the plaintiff and Metaxas returned to Vancouver. They planned to return to Greece in the spring of 2000. When the plaintiff returned to Vancouver she intended to upgrade her film training to become a second camera assistant so that when she returned to Greece she could work on a film which was to start shooting on May 20, 2000. She did in fact attend a camera assistant's course in Vancouver from March 31, 2000 to April 8, 2000, sponsored by the Canadian Society of Cinematographers. She received a document dated April 8, 2000 certifying that she had successfully completed the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remained in Vancouver after the accident. Metaxas, who had already left for Greece, could not return to Vancouver until the fall of 2000. They returned to Greece in the spring of 2001. The plaintiff tried to run the clothing boutique on Ios but had to quit after a couple of months because of her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September, 2001 the plaintiff and Metaxas were married on Ios. Shortly thereafter they returned to Vancouver. In the spring of 2002 they once again returned to Greece. Metaxas worked on Ios until August when he suffered a series of strokes and had to be hospitalized in Greece. Before Metaxas took ill the plaintiff worked as an extra in a film shot on Ios.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During the fall of 2002, and for much of 2003, the plaintiff cared for Metaxas in Greece. They returned to Vancouver in the fall of 2003 and stayed until the spring of 2004 when they returned to Greece because the plaintiff had committed to work as a volunteer at the Athens Summer Olympics. They returned to Vancouver in the fall of 2004 and since then they have more or less split their time between living in their apartment in Athens and staying with the plaintiff's mother in Burnaby. In the period from 2001 to 2004, the plaintiff held some short term employment in Vancouver in a variety of jobs, including as an extra in movies, liquor store clerk and kitchen help at a pub.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III.</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 xml:space="preserve">Contributory </w:t>
            </w:r>
            <w:r>
              <w:rPr>
                <w:rFonts w:ascii="arial" w:eastAsia="arial" w:hAnsi="arial" w:cs="arial"/>
                <w:b/>
                <w:i/>
                <w:color w:val="000000"/>
                <w:sz w:val="18"/>
                <w:u w:val="single"/>
                <w:lang w:val="en-US" w:eastAsia="en-US" w:bidi="ar-SA"/>
              </w:rPr>
              <w:t>Negligence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evidence is that the stairs at the rear of the fish store were covered with asphalt-type tiles or roof shingles. The photographs placed in evidence show that the stairs were constructed of nine wooden steps with wooden handrails on both sides of the steps. The tiles or shingles, which were tacked or nailed to the stairs, can be seen in some spots to be extremely worn, broken, cracked and lifting. The photos also show a large blue and red painted sign hanging above the rear entrance to the fish store stating, "Regent Fish Market Rear Entrance".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photographs of the rear stairs were taken the day following the accident by Ms. Lisa Schenkey ("Schenkey"), a close friend of the plaintiff. On the day of the accident the plaintiff was with Schenkey and her children proceeding to a nearby park when they made a stop at the fish store so that the plaintiff could purchase some fish for her mother's dinner meal. Schenkey parked in the rear because of the rush hour traffic parking restrictions on the street in front of the fish store. She waited in her car with her children while the plaintiff went into the fish 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Schenkey did not notice the condition of the rear stairs before the accident. She described the rear stairs as "old and worn". She said the shingles were "pretty tattered".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testified that on April 17, 2000, the day of the accident, there was overcast cloud and sun. It was warm and dry. She was wearing running shoes, socks, wool pants and a silk top. She was carrying a canvas bag over her left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got out of Schenkey's car and went up the stairs into the rear entrance of the fish store. She made her purchase and came out of the rear entrance to use the rear stairs. She proceeded to walk down the stairs and at about the third step down her feet were not connecting any longer with the surface. She believes that the force of her foot going down the steps made a shingle come out. She reached over to grab the rail with her right hand. The rail felt unstable and she was half airborne, so she flung her left hand to grab the same rail. Her foot connected and she hung on to the rail with both hands. She was still hanging on to the rail at the bottom of the stairs. She did not actually fall so that her rear was on the ground. There were shingles all over the ground around her. She assumes that the shingles came off the step.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cross-examination, the plaintiff said that as she left the rear entrance of the fish shop she approached the stairs at a normal speed. As she descended the stairs she noticed Shenkey's daughter looking out the back window of Schenkey's car. She descended down the middle of the stair case and did not hold on to the handrails.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also testified that she did not pay any specific attention to the rear stairs. She was cognizant that there was something on the rear stairs but did not think much about it. She said the rear stairs "didn't look real good". She also said that she was not looking down at her feet and that she was "not tiptoeing carefully between the shingles". She descended at a normal rate of speed and assumes she slipped and lost her balance. Her assumption is that her feet stopped connecting with the rear stairs as a shingle slid out. When counsel asked if the shingles posed an obvious hazard for people using the rear stairs, the plaintiff replied that, "she thought that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 conceded that she did not try to grab on to the handrail until after she fell. She said that she did not anticipate a problem so she did not think to use the handrail.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re-examination, the plaintiff said that the old wooden stairs with shingles looked solid and were solid as she walked up them. She did not see any loose shingles: there were shingles missing, but no loose 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Schenkey testified that after the plaintiff's fall, when she was picking up some of the plaintiff's belongings, she noticed pieces of broken shingles.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Plaintiff's counsel submitted that the obvious inference, and the only one from the whole of the evidence about the accident, is that the plaintiff stepped on an old, brittle shingle which cracked, broke off and gave way, causing the plaintiff's fall. He also said that it was obvious that the condition of the rail to the right of the plaintiff as she descended the rear stairs contributed to her fall. She did not use the handrails while ascending the stairs, and on her descent, after her feet went out from under her, she grabbed the railing with her right hand first; then, when she found it unstable, she reached over to grab it with her left hand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Counsel argued that there were two hidden dangers: (1) the old brittle shingles; and (2) the loose or unstable handrail. He submitted that a person entering a commercial premises where the public is invited to go is under no duty to take care for unforeseen dangers. He said that there was no obligation on the plaintiff to tiptoe down the rear stairs, judging each step, carefully, to make sure that there were no hidden dangers.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disagree with the plaintiff's position. The law provides that a plaintiff has a duty to take reasonable care for her own safety and to keep a reasonable lookout for any obvious hazards.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Wittal v. Mandarin Investments Ltd</w:t>
      </w:r>
      <w:r>
        <w:rPr>
          <w:rFonts w:ascii="arial" w:eastAsia="arial" w:hAnsi="arial" w:cs="arial"/>
          <w:color w:val="000000"/>
          <w:sz w:val="20"/>
          <w:lang w:val="en-US" w:eastAsia="en-US" w:bidi="ar-SA"/>
        </w:rPr>
        <w:t xml:space="preserve">., </w:t>
      </w:r>
      <w:hyperlink r:id="rId935" w:history="1">
        <w:r>
          <w:rPr>
            <w:rFonts w:ascii="arial" w:eastAsia="arial" w:hAnsi="arial" w:cs="arial"/>
            <w:i/>
            <w:color w:val="0077CC"/>
            <w:sz w:val="20"/>
            <w:u w:val="single"/>
            <w:shd w:val="clear" w:color="auto" w:fill="FFFFFF"/>
            <w:lang w:val="en-US" w:eastAsia="en-US" w:bidi="ar-SA"/>
          </w:rPr>
          <w:t>[1991] B.C.J. No. 2466</w:t>
        </w:r>
      </w:hyperlink>
      <w:r>
        <w:rPr>
          <w:rFonts w:ascii="arial" w:eastAsia="arial" w:hAnsi="arial" w:cs="arial"/>
          <w:color w:val="000000"/>
          <w:sz w:val="20"/>
          <w:lang w:val="en-US" w:eastAsia="en-US" w:bidi="ar-SA"/>
        </w:rPr>
        <w:t xml:space="preserve"> (S.C.) the plaintiff sought damages for injuries suffered when she fell down a flight of stairs at a restaurant. At p. 8 of the case Parrett J. addresses the issue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failure to observe what is there to be seen may amount to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injured patron even where the occupier has not met the requirements imposed by s. 3(1). Everyone in using premises is obligated to take reasonable care for his or her own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Dorsey v. Austrian Chalet Ltd</w:t>
      </w:r>
      <w:r>
        <w:rPr>
          <w:rFonts w:ascii="arial" w:eastAsia="arial" w:hAnsi="arial" w:cs="arial"/>
          <w:color w:val="000000"/>
          <w:sz w:val="20"/>
          <w:lang w:val="en-US" w:eastAsia="en-US" w:bidi="ar-SA"/>
        </w:rPr>
        <w:t xml:space="preserve">., </w:t>
      </w:r>
      <w:hyperlink r:id="rId936" w:history="1">
        <w:r>
          <w:rPr>
            <w:rFonts w:ascii="arial" w:eastAsia="arial" w:hAnsi="arial" w:cs="arial"/>
            <w:i/>
            <w:color w:val="0077CC"/>
            <w:sz w:val="20"/>
            <w:u w:val="single"/>
            <w:shd w:val="clear" w:color="auto" w:fill="FFFFFF"/>
            <w:lang w:val="en-US" w:eastAsia="en-US" w:bidi="ar-SA"/>
          </w:rPr>
          <w:t>[1992] B.C.J. No. 1766</w:t>
        </w:r>
      </w:hyperlink>
      <w:r>
        <w:rPr>
          <w:rFonts w:ascii="arial" w:eastAsia="arial" w:hAnsi="arial" w:cs="arial"/>
          <w:color w:val="000000"/>
          <w:sz w:val="20"/>
          <w:lang w:val="en-US" w:eastAsia="en-US" w:bidi="ar-SA"/>
        </w:rPr>
        <w:t xml:space="preserve"> (S.C.) the plaintiff brought an action for personal injuries suffered in a fall inside her suite arguing that the hotel stairs had been constructed negligently. The defendant argued that the plaintiff failed to keep a proper look out. At p. 7 of the decision Clancy J.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knew the staircase was steep. In my view, she should have taken special care to ensure her own safety in negotiating the descent of the staircase. Instead she approached the descent at a "normal" rate of speed and without special precautions. I conclude she was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Finally, in </w:t>
      </w:r>
      <w:r>
        <w:rPr>
          <w:rFonts w:ascii="arial" w:eastAsia="arial" w:hAnsi="arial" w:cs="arial"/>
          <w:b/>
          <w:i/>
          <w:color w:val="000000"/>
          <w:sz w:val="20"/>
          <w:lang w:val="en-US" w:eastAsia="en-US" w:bidi="ar-SA"/>
        </w:rPr>
        <w:t>Tabinski v. Kelowna (City),</w:t>
      </w:r>
      <w:r>
        <w:rPr>
          <w:rFonts w:ascii="arial" w:eastAsia="arial" w:hAnsi="arial" w:cs="arial"/>
          <w:color w:val="000000"/>
          <w:sz w:val="20"/>
          <w:lang w:val="en-US" w:eastAsia="en-US" w:bidi="ar-SA"/>
        </w:rPr>
        <w:t xml:space="preserve"> </w:t>
      </w:r>
      <w:hyperlink r:id="rId937" w:history="1">
        <w:r>
          <w:rPr>
            <w:rFonts w:ascii="arial" w:eastAsia="arial" w:hAnsi="arial" w:cs="arial"/>
            <w:i/>
            <w:color w:val="0077CC"/>
            <w:sz w:val="20"/>
            <w:u w:val="single"/>
            <w:shd w:val="clear" w:color="auto" w:fill="FFFFFF"/>
            <w:lang w:val="en-US" w:eastAsia="en-US" w:bidi="ar-SA"/>
          </w:rPr>
          <w:t>[1992] B.C.J. No. 2508</w:t>
        </w:r>
      </w:hyperlink>
      <w:r>
        <w:rPr>
          <w:rFonts w:ascii="arial" w:eastAsia="arial" w:hAnsi="arial" w:cs="arial"/>
          <w:color w:val="000000"/>
          <w:sz w:val="20"/>
          <w:lang w:val="en-US" w:eastAsia="en-US" w:bidi="ar-SA"/>
        </w:rPr>
        <w:t xml:space="preserve"> (S.C.) the plaintiff sued for damages for injuries suffered as a result of a fall on a city walkway because of a shallow hole. On the issue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Drossos J.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there is no duty on a pedestrian using a walkway to keep his eyes focused on the ground, see Jones et al v. City of Vancouver et al </w:t>
      </w:r>
      <w:hyperlink r:id="rId938" w:history="1">
        <w:r>
          <w:rPr>
            <w:rFonts w:ascii="arial" w:eastAsia="arial" w:hAnsi="arial" w:cs="arial"/>
            <w:i/>
            <w:color w:val="0077CC"/>
            <w:sz w:val="20"/>
            <w:u w:val="single"/>
            <w:shd w:val="clear" w:color="auto" w:fill="FFFFFF"/>
            <w:lang w:val="en-US" w:eastAsia="en-US" w:bidi="ar-SA"/>
          </w:rPr>
          <w:t>[1979] 2 W.W.R. 138</w:t>
        </w:r>
      </w:hyperlink>
      <w:r>
        <w:rPr>
          <w:rFonts w:ascii="arial" w:eastAsia="arial" w:hAnsi="arial" w:cs="arial"/>
          <w:color w:val="000000"/>
          <w:sz w:val="20"/>
          <w:lang w:val="en-US" w:eastAsia="en-US" w:bidi="ar-SA"/>
        </w:rPr>
        <w:t xml:space="preserve"> S.C.B.C., there is a general duty on a pedestrian to be reasonably aware of his or her surroundings and to keep a reasonable lookout for his or her own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find that the plaintiff in the instant case failed to take such reasonable care. Schenkey described the rear stairs as old and worn and the shingles as being tattered. The plaintiff conceded that the rear stairs "didn't look real good". From the photographs of the rear stairs her concession is a gross understatement. While the shingles may not have appeared to the plaintiff as being "loose", as mentioned earlier, the photographs show extremely worn, cracked, broken and lifting shingles on all of the stairs photographed. There are also several exposed nail heads where shingles had come off the stairs.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Regarding the handrails, the plaintiff chose to descend the rear stairs without holding on to the handrails. I think it reasonable to infer that if the plaintiff had been holding on to a handrail before her fall, it is more likely that her fall could have been prevented. As defence counsel submitted, reaching for the handrail after she had already begun to fall may have lessened her fall but obviously could not have prevented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Moreover, the plaintiff did not take any special care when descending the rear stairs, even though they clearly presented an obvious hazard. She descended the stairs at a normal speed rather than descending at a speed which would permit her to watch where she was stepping, so as to avoid stepping onto a worn, cracked, broken or lifting shingle.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Thus, I find that although the defendants contributed to the plaintiff's accident by failing to maintain the rear stairs in a reasonably safe condition, if the plaintiff had paid appropriate attention to the obvious hazard on the stairs presented by the worn, broken, cracked and lifting shingles, and proceeded with even a modest degree of caution, she could likely have prevented the accident from occurring and therefore must bear some responsibility for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the result, I apportion fault 75% against the defendants and 25% against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IV.</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Damages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59"/>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General Damages</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Nature of the Plaintiff's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Following the accident, Schenkey drove the plaintiff to the Burnaby General Hospital Emergency Department.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x-ray of the plaintiff's left tibia taken at the hospital revealed a tibial plateau lateral depression fracture with central portion of the lateral view showing posterior comminution.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his clinical note dated April 20, 2000, Dr. Peter Kokan, the plaintiff's treating orthopaedic surgeon, wrote that he explained to the plaintiff that she would require open reduction with elevation of the depressed fragments, that the possibility of a harvest from her iliac crest bone graft existed, or alternatively, osteoset bone graft substitute pellets if her bone was adequate and there was not too large of a defect left after the plateau had been elevated. In addition, she would require the use of a buttress plate to hold in the fragments and to prevent any migration of the large metaphyseal split fracture. On April 20th, Dr. Kokan operated, performing an "open reduction with elevation of tibial plateau fracture, application of buttress and antiglide plates, left lateral tibia."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his clinical record dated May 11, 2000, Dr. Kokan wrote that the plaintiff's wound was well healed, that he had taken her out of the knee immobilizer brace and that she still had about 40 degrees of comfortable range of motion in her knee. He placed her in a Generation II hinged trainer brace and asked her to start bending her knee but to remain non weight bearing.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his August 17, 2000 clinical record Dr. Kokan noted that the plaintiff was very happy with her knee and that she was walking basically normally. She told him that when she had been walking for more than two or three hours she experienced some slight swelling. He reported that her knee felt stable, that she had no problems and that she was pleased with everything.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Dr. Kokan saw the plaintiff on February 5, 2001. She was having pain that related to the hardware (stainless steel plate) in her left knee. He recommended that she have the hardware removed. On November 1, 2001, Dr. Kokan operated on the plaintiff to remove the hardware in her left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his clinical record of November 15, 2001, Dr. Kokan reported that the plaintiff seemed to be doing well after the removal of the hardware. He noted that she had a stiff knee and that she had been referred to physiotherapy to begin range of motion exercises.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On December 21, 2001 the plaintiff attended at the Burnaby General Hospital Emergency Department. Dr. Kokan discovered some very minor swelling and two small superficial pustules right underneath the skin. He reported that these were compatible with suture abscesses. He opened up the areas and removed a suture from the distal area. He told the plaintiff that these were likely superficial abscesses and that he did not expect them to recur. He reported in his clinical record of December 31st that the plaintiff's wounds had healed and cleaned up nicely and that there was no longer any sign of infection.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his letter to the plaintiff's family doctor dated March 18, 2002, Dr. Kokan reported that he had seen the plaintiff in follow-up that day. He noted that it had been three months since her hardware removal from the tibial plateau and that she was doing much better, stating "she is almost back to jogging".</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Experts'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None of the medical experts were called to be cross-examined on their reports. Their assessments are quite consistent regarding the plaintiff's condition and prognosis.</w:t>
      </w:r>
      <w:r>
        <w:rPr>
          <w:rFonts w:ascii="arial" w:eastAsia="arial" w:hAnsi="arial" w:cs="arial"/>
          <w:sz w:val="20"/>
          <w:lang w:val="en-US" w:eastAsia="en-US" w:bidi="ar-SA"/>
        </w:rPr>
        <w:cr/>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A. Travlos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his report dated June 24, 2004, Dr. Travlos, a specialist in the field of physical medicine and rehabilitation, provided plaintiff's counsel with an independent medical assessment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terms of causality, Dr. Travlos opined that the plaintiff's knee injury was a direct result of her fall. He also opined that the symptoms she was complaining of in the hip were likely secondary to the injury she sustained in her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doctor reported that the plaintiff needed to have a much more concerted conditioning program and he strongly recommended that she participate in a gym-based program with the assistance of a trainer over a period of approximately three months. He also reported that she may require an injection of cortisone into the greater trochanteric bursa on the left side of the hip and that it was likely her hip symptoms would improve to the point that they would be mostly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Regarding the plaintiff's knee injury, the doctor reported that the prognosis is that it is more probable than not that the symptoms will remain. He felt that, to the date of his analysis, she had not had adequate concerted treatment for the leg in terms of a "maximal exercise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Dr. Travlos said that in the long term the plaintiff's outcome was a real concern, advising that tibial plateau fractures, and in particular intra-articular tibial plateau fractures, tend to have a high rate of degenerative change. He opined that the plaintiff would go on to experience symptoms from degenerative arthritis of her knee, and that this may in turn lead to the requirement of a knee replacement. He explained that knee replacement surgery requires at least three to four months of rehabilitation and that complications would obviously delay recovery. He said that knee replacement patients are no longer able to do unrestricted activities and have to substantially reduce any physically demanding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doctor encouraged the plaintiff to return to exercises such as cycling, swimming and even horseback riding but not to jog or ski. He noted that prolonged kneeling activities would be difficult for her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Travlos reported that the plaintiff was clearly capable of full time employment and that it was probable that she would have been capable of gainful full time employment within two months or so of the hardware removal in November,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doctor opined that the plaintiff would probably have difficulties working as a camera assistant because of the needs and the labour-intensive work required of this occupation. He said that she would remain restricted from accessing each and every job available to her in the open job market, as she was likely to be limited to lighter work activities. He also said her ability to sustain such work for the long term would be restricted and would make it more likely than not that, as she gets older and arthritis sets in, she would not be able to continue this work. He concluded that returning to lighter work would allow for her to continue working through to the end of her working career.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his follow-up report dated September 15, 2005, Dr. Travlos said that he saw the plaintiff on September 15th and that he noted a slight deterioration in her symptoms, including an increase in her pain over the course of the day and an increase in the temperature of her knee, as well as giving way of her knee, all of which had not been concerns before. He noted that she was limping and that she had subtle wasting of the vastus medialis muscle of the thigh and that her knee was warm to the touch.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doctor opined that the plaintiff's knee symptoms had indeed worsened somewhat since her last visit. He noted that an MRI scan of the plaintiff's knee showed that the anterior cruciate ligament ("ACL") appeared to be torn. However, he felt that based on his examination her ACL was intact and that even though the scan showed a disruption, from a clinical standpoint there still was not any significant degree of forward movement of the leg bone in relation to the thigh bone.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doctor noted that the scan did confirm the degree of degenerative changes in the knee and that this was indeed the primary source and cause of the plaintiff's symptoms at the knee. He noted that this symptom onset appeared to have occurred at a much faster rate and sooner in time than he would have expected, and that there was, in his opinion, a reasonable expectation that she would require surgery to the knee in the future depending on how her symptoms progressed. He said that it was probable that she would need an arthroscopy of the knee done at some point and over time she would probably need a knee replacement. Given her young age, he opined that she might need a second knee replacement, with the attendant risks from the surgeries including infection, nerve injury, venous thrombosis and reduced function at outcome.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Regarding the issue of the ACL abnormality on the scan, the doctor opined that if this were simply a stretched ligament then surgery would not be necessary, but said that he would defer further opinion regarding surgery to his orthopaedic colleagues.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doctor recommended that the plaintiff consider the use of regular anti-inflammatory medications to control arthritis of her knee and said that bracing her knee with the Generation II brace could help offload the knee and change the weight bearing forces through the knee. He also recommended that the conditioning program be supervised appropriately and structured so that it was incremental in its demand.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Dr. Travlos said that his opinion regarding causality remained as per his previous report, stating that the knee and hip symptoms were a direct result of the fall, with new right knee symptoms being secondary to the plaintiff's changes in gait. He did not think the plaintiff would improve to any significant extent. He said there was an expectation of a probable decline in function and increase in symptoms in the knee as time progressed and that this would in turn increase the symptoms around the plaintiff's hip and right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doctor said that the plaintiff was capable of gainful, full time employment but that she was restricted in the type of work she could do. He noted that her ability to do certain types of recreational activities and home tasks and activities was affected, and that her ability to access the open job market had definitely been restricted by her injuries. He stated that these restrictions would continue over time.</w:t>
      </w:r>
      <w:r>
        <w:rPr>
          <w:rFonts w:ascii="arial" w:eastAsia="arial" w:hAnsi="arial" w:cs="arial"/>
          <w:sz w:val="20"/>
          <w:lang w:val="en-US" w:eastAsia="en-US" w:bidi="ar-SA"/>
        </w:rPr>
        <w:cr/>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R. Kendall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a report dated February 10, 2006, Dr. Kendall, an orthopaedic surgeon, provided his opinion to the defendants. He reported that the plaintiff appeared to have chronic symptoms of post traumatic osteoarthritis and evidence of malalignment of the lower limb. He noted that she also had evidence of loss of full extension and flexion, which was likely permanent.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doctor reported that the plaintiff's immediate short term history was likely going to be one of waxing and waning of pain and swelling in the left knee, and that although he would encourage simple non impact exercises, there was no possibility of her returning successfully to impact form of exercises.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doctor also noted that although the plaintiff showed an ACL tear on the MRI scan, at the date of his evaluation she had not had any symptoms of knee instability. He opined that this likely related to the fact that she was not physically active. Thus, he did not recommend reconstruction of the ACL. He said that if she returned to physical activities and began to get symptoms in her knee then some consideration could be given to either ACL reconstruction or bracing.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Dr. Kendall's long term prognosis for the plaintiff's knee was one of likely progressive arthritic symptoms and that she would likely require future surgery on her knee for her arthritic symptomatology rather than the ACL tear. He said that this surgery could be in the form of either simple debridement of arthroscopy or knee replacement surgery. He explained that arthroscopy procedure can be considered "palliative" as it is not a cure for the problem, explaining that, eventually, the plaintiff will not respond to arthroscopy and will require larger surgery, likely in the form of knee arthroplasty. He recommended that the plaintiff avoid major reconstructive surgery for as long as possible. He explained that although the risks associated with such major surgery are rare, they can be devastating, including infection, venous thrombosis and other medical illnesses.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Dr. Kendall said that the hip complaints were secondary to the plaintiff's altered gait. He agreed with the other opinions that the plaintiff may have been able to return to work after the removal of the hardware. He opined that there was nothing to suggest that she could not return to her former occupation as a film and camera operator. He said that he suspected the plaintiff had new goals and aspirations, more on the creative side than the technical side, noting that the plaintiff was extremely vague with him about her future goals and desires.</w:t>
      </w:r>
      <w:r>
        <w:rPr>
          <w:rFonts w:ascii="arial" w:eastAsia="arial" w:hAnsi="arial" w:cs="arial"/>
          <w:sz w:val="20"/>
          <w:lang w:val="en-US" w:eastAsia="en-US" w:bidi="ar-SA"/>
        </w:rPr>
        <w:cr/>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C. Watt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his independent medical evaluation of the plaintiff dated March 27, 2006, prepared for plaintiff's counsel, Dr. Watt, an occupational physician, relying on a functional capacity evaluation dated March 27, 2006 by Mr. Chris Nguyen, a kinesiologist, opined on the plaintiff's fitness to work. He said that the accident directly caused the plaintiff's complaint of left knee pain; that the accident also probably caused the ACL injury evident in the MRI scan; that as a result of the left knee injury the plaintiff developed, as a consequence of altered gait and a tendency to favour her left knee, a myofascial pain syndrome involving the lower back, buttock muscles, and iliotibial band on the left side; that the plaintiff has secondarily developed an early or mild right patellofemoral pain syndrome, also as a consequence of favouring the left knee and increased stress on the right knee; and that as a result of the left knee injury and the consequent six years of constant pain and significant functional limitation the plaintiff gained weight, became deconditioned and has become at least mildly depressed.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Dr. Watt opined that the plaintiff is fit to return to her current low-physical demand jobs which involve primarily desk-type work, and that she would not be fit to return to jobs requiring prolonged or repetitive stooping, bending, crouching, crawling or prolonged standing or walking.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Dr. Watt also opined that the plaintiff gave a satisfactory validity of effort assessment and that she did not limit herself because of her reported symptoms during the functional capacity testing. He said that she gave a reasonable and consistent effort during the testing and that this was a reasonable assessment of her current physical 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Dr. Watt reported that the plaintiff's competitive employability had been significantly and adversely affected as a direct consequence of the injuries sustained in the accident. He said that although there were many aspects of the camera operator job she had aspired to which she could continue to perform, there were also some activities requiring prolonged or repetitive bending, squatting, stooping, kneeling as well as prolonged standing or walking which she either could not now safely perform or which, given the degenerative nature of her left knee injury, she would not be able to perform on a competitive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doctor also said that the plaintiff's future employability had been significantly and adversely affected as a direct consequence of the injuries sustained in the accident and that she was now much more limited in the kinds of jobs she would be able to do. Further, he opined that the scope of the work she will be able to do is almost inevitably going to become narrower as her disability progresses.</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Plaintiff's Witnesses</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plaintiff testified that, following the accident, when she was sitting in Schenkey's car, she felt a hard throbbing pain in her left knee. She said that when she placed weight on her foot later in the day, the pain took her breath away. She was given morphine at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plaintiff borrowed a Generation II brace which she used for about a year. Her leg had to be kept straight. She could not put any weight on her leg. The plaintiff used a walker for about four months. By September she was using crutches and with the aid of crutches she was able to go up stairs. By October she graduated to using one crutch and wearing the brace and then she was able to walk without the aid of crutches, though awkwardly.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November, 2001 the plaintiff had the hardware taken out of her knee because it was causing her pain. The surgery was performed using the original scar from the initial operation, a scar which shows to this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While in the hospital the plaintiff got an infection which was later attended to by Dr. Kokan with minor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plaintiff took some physiotherapy treatments, did some simple stretching exercises, chiropractic treatments for her spine, acupuncture and attended a homeopathic clinic. She has also taken some massage treatments to free up the range of motion in her knee. With regard to some of the treatments, she did feel better for a short time but then returned to how she felt before the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Since the accident the plaintiff has taken to consuming alcohol a few times a week, which concerns her family members. She feels that she has to take something every day but, whether it is a cocktail or a pill, she suffers: the pills cause acid reflux and the alcohol creates other problems. She would like to take fewer pills.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plaintiff has also gained weight since the accident. By March, 2001 she was at her heaviest, although she has lost some weight since by doing exercises.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plaintiff was on welfare in 2000. During that year she paid for her medications and attended the permitted twelve physiotherapy visits. When she was off welfare, her family loaned her money so that she could purchase medication. She did not have enough money to get sufficient therapy to be better by now; she could not afford continuous therapy or a gym membership. After her surgery in 2001 she did take physiotherapy treatments but discontinued the treatments in February, 2002 after using only seven of her permitted twelve visits. She had no explanation for this. As well, in 2004 she did join a gym and she used a bicycle for exercise and transportation to and from her job. She does swim when she is residing in Greece, which she finds to be the best form of exercise for her. As well, while there she uses a bicycle for exercise and transportation.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plaintiff has chronic bursitis in her left hip which bothers her all the time. She has tried injections for this condition. She does not walk correctly and has developed a limp, which is getting worse. Because her left leg will not straighten out any longer this has affected her right leg. Her everyday concerns are essentially her left knee, her left hip and occasional numbness in her hands and feet. While before the accident she was a deep sleeper, she now wakes up frequently and can only sleep on her back or right side. She has to sleep elevated because she suffers from acid reflux due to the medication she is taking. There is some depression happening, although she says she likes to think that everything is fine; that the glass is half full.</w:t>
      </w:r>
      <w:r>
        <w:rPr>
          <w:rFonts w:ascii="arial" w:eastAsia="arial" w:hAnsi="arial" w:cs="arial"/>
          <w:sz w:val="20"/>
          <w:lang w:val="en-US" w:eastAsia="en-US" w:bidi="ar-SA"/>
        </w:rPr>
        <w:cr/>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Schenkey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Schenkey testified that the plaintiff is in the pain all the time and is very self-conscious about the scar on her leg. The scar has been a huge psychological issue for her, to the point where she does not wear dresses. Physically, she is not able to wear high heels. She refers to her scar as her "ugly" and "hideous" scar.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Schenkey has not been skiing or cycling with the plaintiff since the accident. They did try to go for a walk but the plaintiff had to turn back as she was limping and was in pain.</w:t>
      </w:r>
      <w:r>
        <w:rPr>
          <w:rFonts w:ascii="arial" w:eastAsia="arial" w:hAnsi="arial" w:cs="arial"/>
          <w:sz w:val="20"/>
          <w:lang w:val="en-US" w:eastAsia="en-US" w:bidi="ar-SA"/>
        </w:rPr>
        <w:cr/>
      </w:r>
    </w:p>
    <w:p>
      <w:pPr>
        <w:numPr>
          <w:numId w:val="1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Metaxas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Metaxas testified that when he returned to Vancouver in September, 2000 it was "terrible": he could not sleep with the plaintiff as he was afraid he might hurt her leg; her leg was swollen all the time; she had a large scar, was not able to wear shoes with a heel, but only athletic-type shoes. She was not able to walk for a long time and was not able to do work activity for more than about five minutes before she had to rest. She was taking medication for her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Metaxas has noticed an emotional change in the plaintiff. She was becoming very nervous and crying a lot. She wanted her leg to be healthy and she was not able to work. She was in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Metaxas and the plaintiff married in Greece in September, 2001 in a civil ceremony near the sea. Most of the time at the wedding the plaintiff had to sit with her leg up on a chair and she was unable to dance.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Metaxas, who believes that the plaintiff's condition is worse, is concerned about the plaintiff's drinking. Her leg is continuously swollen and she is not able to stand for long periods of time. If she goes for a long walk she has to apply ice. She recently developed a problem pain in her lower back. She received some injections for this condition while in Greece.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Regarding the plaintiff's psychological state, Metaxas said that the plaintiff does not like to go out but rather stays home and takes pills and when the medication wears off she starts to drink wine. This went on for the whole of the summer while they were in Greece with her drinking wine from midnight to early in the morning. He said the plaintiff wakes up all of the time during the night and sleeps during the day. He does not know what to do about the situation. She cries a lot even when they go out.</w:t>
      </w:r>
      <w:r>
        <w:rPr>
          <w:rFonts w:ascii="arial" w:eastAsia="arial" w:hAnsi="arial" w:cs="arial"/>
          <w:sz w:val="20"/>
          <w:lang w:val="en-US" w:eastAsia="en-US" w:bidi="ar-SA"/>
        </w:rPr>
        <w:cr/>
      </w:r>
    </w:p>
    <w:p>
      <w:pPr>
        <w:numPr>
          <w:numId w:val="1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Quantum of 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Dr. Travlos concluded that it is more probable than not that the plaintiff's symptoms will remain and that there is a reasonable expectation that her symptoms will lead to the requirement of knee replacement surgery. He opined that the knee and hip symptoms experienced by the plaintiff are a direct result of the accident. Dr. Kendall essentially concurred with this prognosis, as did Dr. Watt.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 found the plaintiff to be an honest witness in describing her symptoms and the effect the symptoms have had on her daily life. There is no suggestion in any of the medical reports that the plaintiff has exaggerated her symptoms. On the contrary, Dr. Watt states that there is no evidence of exaggerated non-organic pain behaviour. She appears to be appropriately motivated to be as functional as possible. The evidence of Schenkey and Metaxas, whom I also found to be credible witnesses, reinforces the plaintiff's evidence about her degree of pain, suffering and inconvenience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Thus, I am satisfied, on the whole of the evidence, that the plaintiff's fall has directly caused the symptoms she has experienced since the accident, as described by her and in the reports of the medical experts. I am also satisfied that there is a reasonable expectation that her symptoms will lead to the requirement of knee replacement surgery at some point in the future, although the advice the plaintiff received from some medical experts is that she should postpone such surgery for as long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plaintiff seeks damages of $160,000 as fair compensation. She claims that the injury she sustained has affected not only the bones and ACL of the knee joint (it appears that the medical experts have not reached a firm prognosis on the ACL issue), but has also caused problems with her walking, a chronic pain syndrome affecting her left hip, and occasional right knee problems, and has caused obvious psychological problems, particularly mild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The defendants submit a range of non-pecuniary damages of $50,000 to $85,000. They rely on a line of authorities awarding damages to plaintiffs who have suffered knee injuries. In some of the cases the plaintiffs would likely require future knee replacement surgery or arthroscopy: See </w:t>
      </w:r>
      <w:r>
        <w:rPr>
          <w:rFonts w:ascii="arial" w:eastAsia="arial" w:hAnsi="arial" w:cs="arial"/>
          <w:b/>
          <w:i/>
          <w:color w:val="000000"/>
          <w:sz w:val="20"/>
          <w:lang w:val="en-US" w:eastAsia="en-US" w:bidi="ar-SA"/>
        </w:rPr>
        <w:t>Jansen v. B.C. Transit</w:t>
      </w:r>
      <w:r>
        <w:rPr>
          <w:rFonts w:ascii="arial" w:eastAsia="arial" w:hAnsi="arial" w:cs="arial"/>
          <w:color w:val="000000"/>
          <w:sz w:val="20"/>
          <w:lang w:val="en-US" w:eastAsia="en-US" w:bidi="ar-SA"/>
        </w:rPr>
        <w:t xml:space="preserve">, </w:t>
      </w:r>
      <w:hyperlink r:id="rId939" w:history="1">
        <w:r>
          <w:rPr>
            <w:rFonts w:ascii="arial" w:eastAsia="arial" w:hAnsi="arial" w:cs="arial"/>
            <w:i/>
            <w:color w:val="0077CC"/>
            <w:sz w:val="20"/>
            <w:u w:val="single"/>
            <w:shd w:val="clear" w:color="auto" w:fill="FFFFFF"/>
            <w:lang w:val="en-US" w:eastAsia="en-US" w:bidi="ar-SA"/>
          </w:rPr>
          <w:t>[2004] B.C.J. No. 1115</w:t>
        </w:r>
      </w:hyperlink>
      <w:r>
        <w:rPr>
          <w:rFonts w:ascii="arial" w:eastAsia="arial" w:hAnsi="arial" w:cs="arial"/>
          <w:color w:val="000000"/>
          <w:sz w:val="20"/>
          <w:lang w:val="en-US" w:eastAsia="en-US" w:bidi="ar-SA"/>
        </w:rPr>
        <w:t xml:space="preserve">, </w:t>
      </w:r>
      <w:hyperlink r:id="rId939" w:history="1">
        <w:r>
          <w:rPr>
            <w:rFonts w:ascii="arial" w:eastAsia="arial" w:hAnsi="arial" w:cs="arial"/>
            <w:i/>
            <w:color w:val="0077CC"/>
            <w:sz w:val="20"/>
            <w:u w:val="single"/>
            <w:shd w:val="clear" w:color="auto" w:fill="FFFFFF"/>
            <w:lang w:val="en-US" w:eastAsia="en-US" w:bidi="ar-SA"/>
          </w:rPr>
          <w:t>2004 BCSC 722</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Lipinski v. Mein</w:t>
      </w:r>
      <w:r>
        <w:rPr>
          <w:rFonts w:ascii="arial" w:eastAsia="arial" w:hAnsi="arial" w:cs="arial"/>
          <w:color w:val="000000"/>
          <w:sz w:val="20"/>
          <w:lang w:val="en-US" w:eastAsia="en-US" w:bidi="ar-SA"/>
        </w:rPr>
        <w:t xml:space="preserve">, </w:t>
      </w:r>
      <w:hyperlink r:id="rId940" w:history="1">
        <w:r>
          <w:rPr>
            <w:rFonts w:ascii="arial" w:eastAsia="arial" w:hAnsi="arial" w:cs="arial"/>
            <w:i/>
            <w:color w:val="0077CC"/>
            <w:sz w:val="20"/>
            <w:u w:val="single"/>
            <w:shd w:val="clear" w:color="auto" w:fill="FFFFFF"/>
            <w:lang w:val="en-US" w:eastAsia="en-US" w:bidi="ar-SA"/>
          </w:rPr>
          <w:t>[2004] B.C.J. No. 2270</w:t>
        </w:r>
      </w:hyperlink>
      <w:r>
        <w:rPr>
          <w:rFonts w:ascii="arial" w:eastAsia="arial" w:hAnsi="arial" w:cs="arial"/>
          <w:color w:val="000000"/>
          <w:sz w:val="20"/>
          <w:lang w:val="en-US" w:eastAsia="en-US" w:bidi="ar-SA"/>
        </w:rPr>
        <w:t xml:space="preserve">, </w:t>
      </w:r>
      <w:hyperlink r:id="rId940" w:history="1">
        <w:r>
          <w:rPr>
            <w:rFonts w:ascii="arial" w:eastAsia="arial" w:hAnsi="arial" w:cs="arial"/>
            <w:i/>
            <w:color w:val="0077CC"/>
            <w:sz w:val="20"/>
            <w:u w:val="single"/>
            <w:shd w:val="clear" w:color="auto" w:fill="FFFFFF"/>
            <w:lang w:val="en-US" w:eastAsia="en-US" w:bidi="ar-SA"/>
          </w:rPr>
          <w:t>2004 BCSC 1389</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Dudley v. Orca Bay Arena Corp</w:t>
      </w:r>
      <w:r>
        <w:rPr>
          <w:rFonts w:ascii="arial" w:eastAsia="arial" w:hAnsi="arial" w:cs="arial"/>
          <w:color w:val="000000"/>
          <w:sz w:val="20"/>
          <w:lang w:val="en-US" w:eastAsia="en-US" w:bidi="ar-SA"/>
        </w:rPr>
        <w:t xml:space="preserve">., </w:t>
      </w:r>
      <w:hyperlink r:id="rId941" w:history="1">
        <w:r>
          <w:rPr>
            <w:rFonts w:ascii="arial" w:eastAsia="arial" w:hAnsi="arial" w:cs="arial"/>
            <w:i/>
            <w:color w:val="0077CC"/>
            <w:sz w:val="20"/>
            <w:u w:val="single"/>
            <w:shd w:val="clear" w:color="auto" w:fill="FFFFFF"/>
            <w:lang w:val="en-US" w:eastAsia="en-US" w:bidi="ar-SA"/>
          </w:rPr>
          <w:t>[2002] B.C.J. No. 1310</w:t>
        </w:r>
      </w:hyperlink>
      <w:r>
        <w:rPr>
          <w:rFonts w:ascii="arial" w:eastAsia="arial" w:hAnsi="arial" w:cs="arial"/>
          <w:color w:val="000000"/>
          <w:sz w:val="20"/>
          <w:lang w:val="en-US" w:eastAsia="en-US" w:bidi="ar-SA"/>
        </w:rPr>
        <w:t xml:space="preserve">, </w:t>
      </w:r>
      <w:hyperlink r:id="rId941" w:history="1">
        <w:r>
          <w:rPr>
            <w:rFonts w:ascii="arial" w:eastAsia="arial" w:hAnsi="arial" w:cs="arial"/>
            <w:i/>
            <w:color w:val="0077CC"/>
            <w:sz w:val="20"/>
            <w:u w:val="single"/>
            <w:shd w:val="clear" w:color="auto" w:fill="FFFFFF"/>
            <w:lang w:val="en-US" w:eastAsia="en-US" w:bidi="ar-SA"/>
          </w:rPr>
          <w:t>2002 BCSC 889</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Miller v. Bittner</w:t>
      </w:r>
      <w:r>
        <w:rPr>
          <w:rFonts w:ascii="arial" w:eastAsia="arial" w:hAnsi="arial" w:cs="arial"/>
          <w:color w:val="000000"/>
          <w:sz w:val="20"/>
          <w:lang w:val="en-US" w:eastAsia="en-US" w:bidi="ar-SA"/>
        </w:rPr>
        <w:t xml:space="preserve">, </w:t>
      </w:r>
      <w:hyperlink r:id="rId942" w:history="1">
        <w:r>
          <w:rPr>
            <w:rFonts w:ascii="arial" w:eastAsia="arial" w:hAnsi="arial" w:cs="arial"/>
            <w:i/>
            <w:color w:val="0077CC"/>
            <w:sz w:val="20"/>
            <w:u w:val="single"/>
            <w:shd w:val="clear" w:color="auto" w:fill="FFFFFF"/>
            <w:lang w:val="en-US" w:eastAsia="en-US" w:bidi="ar-SA"/>
          </w:rPr>
          <w:t>[1993] B.C.J. No. 2262</w:t>
        </w:r>
      </w:hyperlink>
      <w:r>
        <w:rPr>
          <w:rFonts w:ascii="arial" w:eastAsia="arial" w:hAnsi="arial" w:cs="arial"/>
          <w:color w:val="000000"/>
          <w:sz w:val="20"/>
          <w:lang w:val="en-US" w:eastAsia="en-US" w:bidi="ar-SA"/>
        </w:rPr>
        <w:t xml:space="preserve"> (S.C.); </w:t>
      </w:r>
      <w:r>
        <w:rPr>
          <w:rFonts w:ascii="arial" w:eastAsia="arial" w:hAnsi="arial" w:cs="arial"/>
          <w:b/>
          <w:i/>
          <w:color w:val="000000"/>
          <w:sz w:val="20"/>
          <w:lang w:val="en-US" w:eastAsia="en-US" w:bidi="ar-SA"/>
        </w:rPr>
        <w:t>Moore v. Zapalski</w:t>
      </w:r>
      <w:r>
        <w:rPr>
          <w:rFonts w:ascii="arial" w:eastAsia="arial" w:hAnsi="arial" w:cs="arial"/>
          <w:color w:val="000000"/>
          <w:sz w:val="20"/>
          <w:lang w:val="en-US" w:eastAsia="en-US" w:bidi="ar-SA"/>
        </w:rPr>
        <w:t xml:space="preserve">, </w:t>
      </w:r>
      <w:hyperlink r:id="rId943" w:history="1">
        <w:r>
          <w:rPr>
            <w:rFonts w:ascii="arial" w:eastAsia="arial" w:hAnsi="arial" w:cs="arial"/>
            <w:i/>
            <w:color w:val="0077CC"/>
            <w:sz w:val="20"/>
            <w:u w:val="single"/>
            <w:shd w:val="clear" w:color="auto" w:fill="FFFFFF"/>
            <w:lang w:val="en-US" w:eastAsia="en-US" w:bidi="ar-SA"/>
          </w:rPr>
          <w:t>[2003] B.C.J. No. 742</w:t>
        </w:r>
      </w:hyperlink>
      <w:r>
        <w:rPr>
          <w:rFonts w:ascii="arial" w:eastAsia="arial" w:hAnsi="arial" w:cs="arial"/>
          <w:color w:val="000000"/>
          <w:sz w:val="20"/>
          <w:lang w:val="en-US" w:eastAsia="en-US" w:bidi="ar-SA"/>
        </w:rPr>
        <w:t xml:space="preserve">, </w:t>
      </w:r>
      <w:hyperlink r:id="rId943" w:history="1">
        <w:r>
          <w:rPr>
            <w:rFonts w:ascii="arial" w:eastAsia="arial" w:hAnsi="arial" w:cs="arial"/>
            <w:i/>
            <w:color w:val="0077CC"/>
            <w:sz w:val="20"/>
            <w:u w:val="single"/>
            <w:shd w:val="clear" w:color="auto" w:fill="FFFFFF"/>
            <w:lang w:val="en-US" w:eastAsia="en-US" w:bidi="ar-SA"/>
          </w:rPr>
          <w:t>2003 BCSC 494</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Zacharias v. Leys</w:t>
      </w:r>
      <w:r>
        <w:rPr>
          <w:rFonts w:ascii="arial" w:eastAsia="arial" w:hAnsi="arial" w:cs="arial"/>
          <w:color w:val="000000"/>
          <w:sz w:val="20"/>
          <w:lang w:val="en-US" w:eastAsia="en-US" w:bidi="ar-SA"/>
        </w:rPr>
        <w:t xml:space="preserve">, </w:t>
      </w:r>
      <w:hyperlink r:id="rId944" w:history="1">
        <w:r>
          <w:rPr>
            <w:rFonts w:ascii="arial" w:eastAsia="arial" w:hAnsi="arial" w:cs="arial"/>
            <w:i/>
            <w:color w:val="0077CC"/>
            <w:sz w:val="20"/>
            <w:u w:val="single"/>
            <w:shd w:val="clear" w:color="auto" w:fill="FFFFFF"/>
            <w:lang w:val="en-US" w:eastAsia="en-US" w:bidi="ar-SA"/>
          </w:rPr>
          <w:t>[2003] B.C.J. No. 1811</w:t>
        </w:r>
      </w:hyperlink>
      <w:r>
        <w:rPr>
          <w:rFonts w:ascii="arial" w:eastAsia="arial" w:hAnsi="arial" w:cs="arial"/>
          <w:color w:val="000000"/>
          <w:sz w:val="20"/>
          <w:lang w:val="en-US" w:eastAsia="en-US" w:bidi="ar-SA"/>
        </w:rPr>
        <w:t xml:space="preserve">, </w:t>
      </w:r>
      <w:hyperlink r:id="rId944" w:history="1">
        <w:r>
          <w:rPr>
            <w:rFonts w:ascii="arial" w:eastAsia="arial" w:hAnsi="arial" w:cs="arial"/>
            <w:i/>
            <w:color w:val="0077CC"/>
            <w:sz w:val="20"/>
            <w:u w:val="single"/>
            <w:shd w:val="clear" w:color="auto" w:fill="FFFFFF"/>
            <w:lang w:val="en-US" w:eastAsia="en-US" w:bidi="ar-SA"/>
          </w:rPr>
          <w:t>2003 BCSC 1157</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Lawson v. Vu</w:t>
      </w:r>
      <w:r>
        <w:rPr>
          <w:rFonts w:ascii="arial" w:eastAsia="arial" w:hAnsi="arial" w:cs="arial"/>
          <w:color w:val="000000"/>
          <w:sz w:val="20"/>
          <w:lang w:val="en-US" w:eastAsia="en-US" w:bidi="ar-SA"/>
        </w:rPr>
        <w:t xml:space="preserve">, </w:t>
      </w:r>
      <w:hyperlink r:id="rId945" w:history="1">
        <w:r>
          <w:rPr>
            <w:rFonts w:ascii="arial" w:eastAsia="arial" w:hAnsi="arial" w:cs="arial"/>
            <w:i/>
            <w:color w:val="0077CC"/>
            <w:sz w:val="20"/>
            <w:u w:val="single"/>
            <w:shd w:val="clear" w:color="auto" w:fill="FFFFFF"/>
            <w:lang w:val="en-US" w:eastAsia="en-US" w:bidi="ar-SA"/>
          </w:rPr>
          <w:t>[2000] B.C.J. No. 230</w:t>
        </w:r>
      </w:hyperlink>
      <w:r>
        <w:rPr>
          <w:rFonts w:ascii="arial" w:eastAsia="arial" w:hAnsi="arial" w:cs="arial"/>
          <w:color w:val="000000"/>
          <w:sz w:val="20"/>
          <w:lang w:val="en-US" w:eastAsia="en-US" w:bidi="ar-SA"/>
        </w:rPr>
        <w:t xml:space="preserve">, </w:t>
      </w:r>
      <w:hyperlink r:id="rId945" w:history="1">
        <w:r>
          <w:rPr>
            <w:rFonts w:ascii="arial" w:eastAsia="arial" w:hAnsi="arial" w:cs="arial"/>
            <w:i/>
            <w:color w:val="0077CC"/>
            <w:sz w:val="20"/>
            <w:u w:val="single"/>
            <w:shd w:val="clear" w:color="auto" w:fill="FFFFFF"/>
            <w:lang w:val="en-US" w:eastAsia="en-US" w:bidi="ar-SA"/>
          </w:rPr>
          <w:t>2000 BCSC 206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Plaintiff's counsel submitted that the defence cases do not approximate the level of injury sustained by the plaintiff in the instant case. He relied most heavily on the decision in </w:t>
      </w:r>
      <w:r>
        <w:rPr>
          <w:rFonts w:ascii="arial" w:eastAsia="arial" w:hAnsi="arial" w:cs="arial"/>
          <w:b/>
          <w:i/>
          <w:color w:val="000000"/>
          <w:sz w:val="20"/>
          <w:lang w:val="en-US" w:eastAsia="en-US" w:bidi="ar-SA"/>
        </w:rPr>
        <w:t>Green v. Wilson</w:t>
      </w:r>
      <w:r>
        <w:rPr>
          <w:rFonts w:ascii="arial" w:eastAsia="arial" w:hAnsi="arial" w:cs="arial"/>
          <w:color w:val="000000"/>
          <w:sz w:val="20"/>
          <w:lang w:val="en-US" w:eastAsia="en-US" w:bidi="ar-SA"/>
        </w:rPr>
        <w:t xml:space="preserve">, </w:t>
      </w:r>
      <w:hyperlink r:id="rId946" w:history="1">
        <w:r>
          <w:rPr>
            <w:rFonts w:ascii="arial" w:eastAsia="arial" w:hAnsi="arial" w:cs="arial"/>
            <w:i/>
            <w:color w:val="0077CC"/>
            <w:sz w:val="20"/>
            <w:u w:val="single"/>
            <w:shd w:val="clear" w:color="auto" w:fill="FFFFFF"/>
            <w:lang w:val="en-US" w:eastAsia="en-US" w:bidi="ar-SA"/>
          </w:rPr>
          <w:t>[1998] B.C.J. No. 67</w:t>
        </w:r>
      </w:hyperlink>
      <w:r>
        <w:rPr>
          <w:rFonts w:ascii="arial" w:eastAsia="arial" w:hAnsi="arial" w:cs="arial"/>
          <w:color w:val="000000"/>
          <w:sz w:val="20"/>
          <w:lang w:val="en-US" w:eastAsia="en-US" w:bidi="ar-SA"/>
        </w:rPr>
        <w:t xml:space="preserve"> (S.C.). In that case the plaintiff was struck by a car and sustained a split depression fracture of the right proximal tibial plateau, a fracture of the length of the tibia, soft tissue injuries to the hip and back and scarring. She opted for a corrective osteotomy which achieved a satisfactory alignment and range of motion in the knee but still left her with significant pain. She had difficulty sleeping because of the pain, had to walk with a cane and suffered from migraine headaches about once a month. The accident left her moody, impatient and unable to concentrate. She spent a lot of time resting. The plaintiff was awarded $135,000 for 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In my view, while there are certainly some parallels to be drawn between the post-accident condition of the plaintiff in </w:t>
      </w:r>
      <w:r>
        <w:rPr>
          <w:rFonts w:ascii="arial" w:eastAsia="arial" w:hAnsi="arial" w:cs="arial"/>
          <w:b/>
          <w:i/>
          <w:color w:val="000000"/>
          <w:sz w:val="20"/>
          <w:lang w:val="en-US" w:eastAsia="en-US" w:bidi="ar-SA"/>
        </w:rPr>
        <w:t>Green</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xml:space="preserve"> with the plaintiff in the case at bar, there are also significant differences. For example, at para. 36, Macaulay J. noted that the plaintiff was an "intelligent, driven and somewhat obsessive personality" who since the accident was in constant unremitting pain and had become a sad person who constantly found herself to be impatient, frustrated and confused, moody and often short tempered. He also noted that the plaintiff no longer planned nor worked towards the future. This description cannot be applied to the plaintiff in the instant case who is presently working on a script for a documentary and plans to pursue funding to complete the project. There is evidence of some mild depression and she appears to have her consumption of alcohol under control. Fortunately, the plaintiff has not experienced the rather severe emotional and psychological outcome experienced by the plaintiff in the </w:t>
      </w:r>
      <w:r>
        <w:rPr>
          <w:rFonts w:ascii="arial" w:eastAsia="arial" w:hAnsi="arial" w:cs="arial"/>
          <w:b/>
          <w:i/>
          <w:color w:val="000000"/>
          <w:sz w:val="20"/>
          <w:lang w:val="en-US" w:eastAsia="en-US" w:bidi="ar-SA"/>
        </w:rPr>
        <w:t>Green</w:t>
      </w:r>
      <w:r>
        <w:rPr>
          <w:rFonts w:ascii="arial" w:eastAsia="arial" w:hAnsi="arial" w:cs="arial"/>
          <w:color w:val="000000"/>
          <w:sz w:val="20"/>
          <w:lang w:val="en-US" w:eastAsia="en-US" w:bidi="ar-SA"/>
        </w:rPr>
        <w:t xml:space="preserve"> case and her future employment capacity is nowhere near as restricted.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On the whole of the evidence relating to the plaintiff's left knee injury caused by her fall, her ongoing symptoms and future prognosis, I find that the plaintiff is entitled to an award for general damages of $110,000. I consider this amount to fairly reflect the pain, suffering and inconvenience experienced by the plaintiff, as well as the real likelihood of future surgery on her knee, the potentially serious risks associated with such surgery, the restrictions on her recreational and employment activities and her emotional state.</w:t>
      </w:r>
      <w:r>
        <w:rPr>
          <w:rFonts w:ascii="arial" w:eastAsia="arial" w:hAnsi="arial" w:cs="arial"/>
          <w:sz w:val="20"/>
          <w:lang w:val="en-US" w:eastAsia="en-US" w:bidi="ar-SA"/>
        </w:rPr>
        <w:cr/>
      </w:r>
    </w:p>
    <w:p>
      <w:pPr>
        <w:numPr>
          <w:numId w:val="12"/>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Wage Loss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Plaintiff's Witnesses</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During her stay in Greece just prior to the accident, the plaintiff was trying to pitch projects to film producers. One of these producers had a contract to make a feature film called "Captain Corelli's Mandolin".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After its release, Captain Corelli's Mandolin played in theatres internationally. It starred Nicolas Cage and Penelope Cruz. The plaintiff testified that this was the film that she aspired to work on and was the main reason she took the camera assistant course in Vancouver in March - April, 2000. She had planned to return to Greece on May 17, 2000. The film was to start shooting in Greece on May 20th.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In the summer of 2001, the plaintiff returned to work at the clothing boutique on Ios but she found the work was too physically demanding for her. She worked for less than two months. She said that the amount of medication she had to take to get her through the day was not worth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In Vancouver in 2001, the plaintiff worked in a couple of small film parts. She was an extra in a film shot at a Vancouver hotel which involved her sitting in a chair at a table in a bar. She worked about six hours and received $58. In another film production, filmed in a pub, she just had to walk off and on the set. She wore her knee brace and used one or two crutches.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plaintiff also acted in a film shot in Greece in 2002. In this production she stood in a bar. She was on the set for approximately twenty days and was paid about 25 Euros for a twelve hour period, which she said was equivalent to about $40 per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In the summer of 2002 Metaxas fell ill and the plaintiff had to care for him, first while he was in the hospital and later at their apartment in Athens. He had suffered a series of strokes and it took him a long time to recuperate. He slept a lot while he was recuperating at home. The plaintiff said that during this time her husband became her priority. At times she left him to go swimming. She was still recuperating from her fall. Looking after her husband, who is seven feet tall, was a physical challenge as he needed help to get in and out of bed. She pushed him in a wheelchair when they went shopping. This kept the plaintiff out of the workforce for about a year. She believes that she could have worked but the kind of jobs she could take were limited.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In 2004 the plaintiff worked at the Mountain Shadow Pub in Burnaby (the "pub") helping in the kitchen. It was only a few hours, a couple of days a week. The shifts were four hours long. She put dishes in the dishwasher and prepared food. She had difficulty standing and wore good orthopaedic shoes. She was able to move around and it was manageable. She took Tylenol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plaintiff also worked at the North Burnaby Inn Liquor Store (the "liquor store") for a couple of months, which she said was harder work than at the pub. This job involved a lot of standing and she had to lift cases of beer and wine.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plaintiff had made arrangements to work at the 2004 Summer Olympics in Athens as a volunteer marshal. Her duties were basically to facilitate the photo shoots of the athletes. When she returned to Vancouver in the fall she went back to work at the pub and worked there off and on until about December, 2005 when she was let go by the new owner who reduced the staff. This was her only employment in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During the period following the accident the plaintiff has been mainly working on a documentary about the life of the explorer Juan de Fuca who was born in a village in Greece quite close to where Metaxas was born. She did some research on the subject in Athens and met with government officials there. She explained that whether or not the Greek government has an interest in the project will depend on the outcome of the script she is writing, which she hoped to finish by the end of 2006. While no contract has been signed to do the project she has received expressions of interest which she hopes will generate future prospects. She is hopeful that experienced professional producers from other countries will co-produce the film with her and she has incorporated in Greece and Canada for this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plaintiff believes that the documentary will be successful and will have international interest. She is in the process of writing a good script and once it is finished she will submit it to the producers. She will not get funding until the producers have been engaged and the contracts have been signed.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In cross-examination, the plaintiff said that she did not look for work in 2000 because she was not able to work. From the time of the accident until June, 2001 she remained in Canada and then went to Ios where she worked for less than two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plaintiff said that she was able to do some kinds of work while she was in Greece but that she was not legally permitted to work there until January, 2004. She had a work permit before that date but it did not allow her to work in every kind of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plaintiff said that when she started working at the liquor store she intended to return to Greece to volunteer at the Olympics. Her work at the pub was on an on call basis so that if business was slow the employer told her not to come to work. Also, since the accident she has made a beer commercial and helped a friend produce a documentary.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plaintiff conceded that she did not have a contract to work on Captain Corelli's Mandolin. At this time she is writing the script for the Juan de Fuca film and said that she is putting all of her eggs in this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plaintiff also conceded that her job at the television station in Tripoli is the last job she held in film or television in Greece, apart from working as an extra on the film shot on Ios.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plaintiff said that she took the camera assistant's course but she did not apply for the second camera assistant training program sponsored by the union (IATSE Local 669). She did, however, spend a day at an information session. At the time of the accident she had not taken steps to become a trainee as the trainee program was not being offered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plaintiff said that she would have been happy to have been offered a job on the Captain Corelli's Mandolin movie but that there was no guarantee. However, she said there was a lot of discussion and faxes exchanged, and that she knew the understudy and her husband had a contact. She thought she was a "shoo in" for the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In re-examination, the plaintiff said that if she had not fallen, then her plan was to be a camera operator. Her original plan was to be an assistant camera operator but she loved both lighting and camera work and she was going for the cameras.</w:t>
      </w:r>
      <w:r>
        <w:rPr>
          <w:rFonts w:ascii="arial" w:eastAsia="arial" w:hAnsi="arial" w:cs="arial"/>
          <w:sz w:val="20"/>
          <w:lang w:val="en-US" w:eastAsia="en-US" w:bidi="ar-SA"/>
        </w:rPr>
        <w:cr/>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Schenkey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Schenkey visited the plaintiff when she was working at the liquor store. She testified that the plaintiff looked like she was in pain. The plaintiff was limping and flinching. Schenkey brought a stool to the store so that the plaintiff could sit but the employer would not let the plaintiff use it. Schenkey also said that at the time the plaintiff was working at the pub she was taking pain killers and icing her leg. At times Schenkey drove the plaintiff home after her shift as the plaintiff could not afford a taxi. Schenkey had known the plaintiff to walk part way home after work and be in a lot of pain.</w:t>
      </w:r>
      <w:r>
        <w:rPr>
          <w:rFonts w:ascii="arial" w:eastAsia="arial" w:hAnsi="arial" w:cs="arial"/>
          <w:sz w:val="20"/>
          <w:lang w:val="en-US" w:eastAsia="en-US" w:bidi="ar-SA"/>
        </w:rPr>
        <w:cr/>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Metaxas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Metaxas met the plaintiff in Athens in 1997. They attended a reception together where they met the owner of a newspaper and television station in Tripoli who offered them a job managing the station. A week later they left for Tripoli, where they ended up working for about four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Metaxas and the plaintiff worked together - he reported and she operated the camera. They visited villages covering local issues for television and newspaper. He recalled that the plaintiff worked with a camera for several hours at a time and received many compliments about her work. At the time they were both in good shape with no physical problems. When they were not working they were active with jogging, swimming, walking and dancing.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When Metaxas fell ill on Ios he was transferred to a hospital near Athens. The plaintiff stayed at the hospital next to his bed for about two months. He said she was responsible for his ability to recover and called her a hero for what she had done for him. He was bedridden for about a year and had to use a walker. The plaintiff assisted him with grooming and dressing and did the housework. It was about seven months before he was able to walk again. He said that the plaintiff did not spend all of her days looking after him because he slept much of the day. He said the plaintiff did not seek work because she was having problems with her leg.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Metaxas is now focusing on helping the plaintiff with the documentary on Juan de Fuca.</w:t>
      </w:r>
      <w:r>
        <w:rPr>
          <w:rFonts w:ascii="arial" w:eastAsia="arial" w:hAnsi="arial" w:cs="arial"/>
          <w:sz w:val="20"/>
          <w:lang w:val="en-US" w:eastAsia="en-US" w:bidi="ar-SA"/>
        </w:rPr>
        <w:cr/>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Robert Simpson ("Simpson")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Simpson has been a first and second camera assistant in British Columbia since 1988. He is now a first assistant. He explained that a first assistant carries the camera, the second camera assistant does everything else and the camera operator lines up the film shots with the director. He also explained that after 180 days of training in the IATSE program a person can apply to join the union for membership.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Simpson said that the certificate received by the plaintiff indicates that she is interested in the position of camera assistant and is a sign that she is serious about the position. He explained that the union training course involves classroom training as well as training in the field.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As for compensation, Simpson said that if a person works as a camera assistant on commercials she can receive greater pay than the union scale and that there is employment available at greater and lesser rates than union scale. The annual income in the Lower Mainland for a union member is anywhere between $45,000 to $100,000, or even higher ($120,000) for work on a television series where the hours per week are longer.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In cross-examination Simpson said that just because a person is a union member does not guarantee a job - they have to go after the work. He also said that the window for the union training program opens once a year for two weeks and there is almost no notice so an applicant should be in town, as the union receives a large number of applications - on average 200 - 300 applicants for 12 to 20 spots. There is an interview process and it is important for the applicant to commit to being around and available during the summer months. It would be a disadvantage if a person were away from Vancouver for the summer.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A union trainee receives a minimum wage of up to $15 per hour. Most of the camera assistants in this jurisdiction are union members, although there is work available on non-union jobs. The union provides many more avenues for employment so it is advantageous to be a member. He said that the camera assistant job is the same anywhere in the world.</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Plaintiff's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Plaintiff's counsel submitted that, had the plaintiff not injured her knee, the door would have been open for her in Canada or abroad to work as a second camera assistant. He said that she could have gone on to take further IATSE training or pursued comparable employment in Greece. He noted the evidence of Simpson that second camera assistants employed in this area earn in the range of $45,000 to as high as $120,000. Counsel did not submit that the plaintiff "would have" gone on to become an IATSE member earning a salary in this range; rather, this was simply a "could have" proposition.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Counsel argued that it was clear that camera work was the plaintiff's driving passion before the accident and that it was also clear from the evidence of Simpson and Dr. Watt that the plaintiff can no longer perform this kind of work at any competitive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Counsel also argued that the plaintiff was incapacitated in respects other than merely as a camera operator. He referred to Dr. Watt's opinion that the plaintiff's future employability has been significantly and adversely affected. He noted that the plaintiff aspired to become a camera operator and that there were many aspects of this occupation which she could no longer safely perform, such as prolonged standing or walking, bending and stooping, and that the scope of the work she will be able to do is almost inevitably going to become narrower as her disability progresses.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Counsel submitted that the plaintiff has a diminished earning capacity in other jobs of a more physical nature (bartending, kitchen help, shop keeping) that she would have accepted, where standing, bending and stooping are of critical importance. For example, the plaintiff had to quit her job at the clothing boutique and she experienced difficulty working in the liquor store and at the pub because of the standing, lifting and bending these jobs required. He noted that as her condition deteriorates these jobs will not be available to her. As well, if, as seems inevitable, the plaintiff has knee replacement surgery, she will lose income during the time of her rehabilitation, including the possible delay in her recovery time caused by the risks associated with such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Counsel submitted that at a time when her age and level of maturity would dictate settling into a career, the plaintiff is lost, searching for something that she can do and unable to settle on her chosen career. The script she is writing for the Juan de Fuca documentary is a speculative venture at best, but consistent with the plaintiff's physical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Counsel also submitted that the plaintiff's choice of training as a second camera assistant showed an awakening responsibility for the practical aspects of life: specifically, earning a living. Counsel conceded that the plaintiff's lack of earnings history is a difficulty for her to overcome, but not a fatal one to her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On the issue of past and future wage loss, counsel argued that it was clear that the accident robbed the plaintiff of her chance to pursue her career of choice in the film industry and had diminished, and will continue to diminish, her ability to earn income in other occupations or fields. He said that while the measure of her loss is difficult to assess because of her poor earnings history, it is nevertheless a significant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Counsel contended that the measure of loss should she be assessed on the fact that the plaintiff is 42 years of age with 20 or more years of earning capacity ahead of her. The evidence is that a second camera assistant could earn $45,000 to as high as $120,000 per annum. Counsel submitted that the lower end of the range ought to fairly represent the upper end of the scale for the plaintiff. Therefore, he submitted, an appropriate annual range for loss of income assessment would be $20,000 to $45,000 per annum.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For her past wage loss claim, counsel submitted that it would be fair and appropriate to award income (over and above what has already been earned) on a gradually increasing basis: 2000 ($10,000); 2001 ($12,500); 2002 ($15,000); 2003 (cared for husband); 2004 ($17,500); 2005 ($20,000); 2006 ($22,500) for a total of $97,500 (gross).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As for the plaintiff's future loss of earning capacity, counsel submitted that the court should apply Table 1 found in the report of Columbia Pacific Consulting dated October 13, 2006. Table 1 provides multipliers indicating the present value for each $1,000 of employment income earned (or lost) from the trial date onward: to age 55 - $10,767; to age 60 - $14,094; to age 65 - $16,959. Applying these figures, the plaintiff seeks damages in a range from $215,000 to $485,000.</w:t>
      </w:r>
      <w:r>
        <w:rPr>
          <w:rFonts w:ascii="arial" w:eastAsia="arial" w:hAnsi="arial" w:cs="arial"/>
          <w:sz w:val="20"/>
          <w:lang w:val="en-US" w:eastAsia="en-US" w:bidi="ar-SA"/>
        </w:rPr>
        <w:cr/>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Quantum of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In my opinion, the evidence does not support the quantum of wage loss claimed by the plaintiff.</w:t>
      </w:r>
      <w:r>
        <w:rPr>
          <w:rFonts w:ascii="arial" w:eastAsia="arial" w:hAnsi="arial" w:cs="arial"/>
          <w:sz w:val="20"/>
          <w:lang w:val="en-US" w:eastAsia="en-US" w:bidi="ar-SA"/>
        </w:rPr>
        <w:cr/>
      </w:r>
    </w:p>
    <w:p>
      <w:pPr>
        <w:numPr>
          <w:numId w:val="2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b/>
          <w:color w:val="000000"/>
          <w:sz w:val="20"/>
          <w:lang w:val="en-US" w:eastAsia="en-US" w:bidi="ar-SA"/>
        </w:rPr>
        <w:t>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A claim for past wage loss is not an assessment of a hypothetical or future event which is based on a real and substantial possibility of its occurrence (the test for future or hypothetical events), but rather is based on proof on a balance of probabilities that the injuries caused the loss claimed. The plaintiff is required to adduce evidence which demonstrates, on a balance of probabilities, that she suffered certain losses with a degree of particularity which is reasonable in light of the nature of the loss alleged. In </w:t>
      </w:r>
      <w:r>
        <w:rPr>
          <w:rFonts w:ascii="arial" w:eastAsia="arial" w:hAnsi="arial" w:cs="arial"/>
          <w:b/>
          <w:i/>
          <w:color w:val="000000"/>
          <w:sz w:val="20"/>
          <w:lang w:val="en-US" w:eastAsia="en-US" w:bidi="ar-SA"/>
        </w:rPr>
        <w:t>Thorpe v. Insurance Corporation of British Columbia</w:t>
      </w:r>
      <w:r>
        <w:rPr>
          <w:rFonts w:ascii="arial" w:eastAsia="arial" w:hAnsi="arial" w:cs="arial"/>
          <w:color w:val="000000"/>
          <w:sz w:val="20"/>
          <w:lang w:val="en-US" w:eastAsia="en-US" w:bidi="ar-SA"/>
        </w:rPr>
        <w:t xml:space="preserve"> </w:t>
      </w:r>
      <w:hyperlink r:id="rId947" w:history="1">
        <w:r>
          <w:rPr>
            <w:rFonts w:ascii="arial" w:eastAsia="arial" w:hAnsi="arial" w:cs="arial"/>
            <w:i/>
            <w:color w:val="0077CC"/>
            <w:sz w:val="20"/>
            <w:u w:val="single"/>
            <w:shd w:val="clear" w:color="auto" w:fill="FFFFFF"/>
            <w:lang w:val="en-US" w:eastAsia="en-US" w:bidi="ar-SA"/>
          </w:rPr>
          <w:t>(1998), 45 B.C.L.R. (3d) 25</w:t>
        </w:r>
      </w:hyperlink>
      <w:r>
        <w:rPr>
          <w:rFonts w:ascii="arial" w:eastAsia="arial" w:hAnsi="arial" w:cs="arial"/>
          <w:color w:val="000000"/>
          <w:sz w:val="20"/>
          <w:lang w:val="en-US" w:eastAsia="en-US" w:bidi="ar-SA"/>
        </w:rPr>
        <w:t xml:space="preserve"> (C.A.), Proudfoot J.A. states at paras. 30-32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appellant argues, however, that a less onerous standard of proof should have been applied in assessing damages under this category. He relies on the case of Steenblok v. Funk </w:t>
      </w:r>
      <w:hyperlink r:id="rId948" w:history="1">
        <w:r>
          <w:rPr>
            <w:rFonts w:ascii="arial" w:eastAsia="arial" w:hAnsi="arial" w:cs="arial"/>
            <w:i/>
            <w:color w:val="0077CC"/>
            <w:sz w:val="20"/>
            <w:u w:val="single"/>
            <w:shd w:val="clear" w:color="auto" w:fill="FFFFFF"/>
            <w:lang w:val="en-US" w:eastAsia="en-US" w:bidi="ar-SA"/>
          </w:rPr>
          <w:t>(1990), 46 B.C.L.R. (2d) 133</w:t>
        </w:r>
      </w:hyperlink>
      <w:r>
        <w:rPr>
          <w:rFonts w:ascii="arial" w:eastAsia="arial" w:hAnsi="arial" w:cs="arial"/>
          <w:color w:val="000000"/>
          <w:sz w:val="20"/>
          <w:lang w:val="en-US" w:eastAsia="en-US" w:bidi="ar-SA"/>
        </w:rPr>
        <w:t xml:space="preserve"> (B.C.C.A.), and the application of a standard of proof of "a real possibility".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However, the principle enunciated in Steenblok has no application to the proving of past facts, which are fundamental to proving the appellant's claim. With respect to the proving of past facts, Mr. Justice Major in Athey v. Leonati, </w:t>
      </w:r>
      <w:hyperlink r:id="rId107" w:history="1">
        <w:r>
          <w:rPr>
            <w:rFonts w:ascii="arial" w:eastAsia="arial" w:hAnsi="arial" w:cs="arial"/>
            <w:i/>
            <w:color w:val="0077CC"/>
            <w:sz w:val="20"/>
            <w:u w:val="single"/>
            <w:shd w:val="clear" w:color="auto" w:fill="FFFFFF"/>
            <w:lang w:val="en-US" w:eastAsia="en-US" w:bidi="ar-SA"/>
          </w:rPr>
          <w:t>[1997] 1 W.W.R. 97</w:t>
        </w:r>
      </w:hyperlink>
      <w:r>
        <w:rPr>
          <w:rFonts w:ascii="arial" w:eastAsia="arial" w:hAnsi="arial" w:cs="arial"/>
          <w:color w:val="000000"/>
          <w:sz w:val="20"/>
          <w:lang w:val="en-US" w:eastAsia="en-US" w:bidi="ar-SA"/>
        </w:rPr>
        <w:t xml:space="preserve"> (S.C.C.), made the following comments which are apposite: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Hypothetical events (such as how the plaintiff's life would have proceeded without the tortious injury) or future events need not be proven on a balance of probabilities. Instead, they are simply given weight according to their relative likelihood: Mallett v. McMonagle, [1970] A.C. 166 (H.L.); Malec v. J.C. Hutton Proprietary Ltd. (1990), 169 C.L.R. 638 (Aust. H.C.); Janiak v. Ippolito, </w:t>
      </w:r>
      <w:hyperlink r:id="rId949" w:history="1">
        <w:r>
          <w:rPr>
            <w:rFonts w:ascii="arial" w:eastAsia="arial" w:hAnsi="arial" w:cs="arial"/>
            <w:i/>
            <w:color w:val="0077CC"/>
            <w:sz w:val="20"/>
            <w:u w:val="single"/>
            <w:shd w:val="clear" w:color="auto" w:fill="FFFFFF"/>
            <w:lang w:val="en-US" w:eastAsia="en-US" w:bidi="ar-SA"/>
          </w:rPr>
          <w:t>[1985] 1 S.C.R. 146</w:t>
        </w:r>
      </w:hyperlink>
      <w:r>
        <w:rPr>
          <w:rFonts w:ascii="arial" w:eastAsia="arial" w:hAnsi="arial" w:cs="arial"/>
          <w:color w:val="000000"/>
          <w:sz w:val="20"/>
          <w:lang w:val="en-US" w:eastAsia="en-US" w:bidi="ar-SA"/>
        </w:rPr>
        <w:t xml:space="preserve">. For example, if there is a 30 per cent chance that the plaintiff's injuries will worsen, then the damage award may be increased by 30 per cent of the anticipated extra damages to reflect that risk. A future or hypothetical possibility will be taken into consideration as long as it is a real and substantial possibility and not mere speculation: Schrump v. Koot </w:t>
      </w:r>
      <w:hyperlink r:id="rId950" w:history="1">
        <w:r>
          <w:rPr>
            <w:rFonts w:ascii="arial" w:eastAsia="arial" w:hAnsi="arial" w:cs="arial"/>
            <w:i/>
            <w:color w:val="0077CC"/>
            <w:sz w:val="20"/>
            <w:u w:val="single"/>
            <w:shd w:val="clear" w:color="auto" w:fill="FFFFFF"/>
            <w:lang w:val="en-US" w:eastAsia="en-US" w:bidi="ar-SA"/>
          </w:rPr>
          <w:t>(1977), 18 O.R. (2d) 337</w:t>
        </w:r>
      </w:hyperlink>
      <w:r>
        <w:rPr>
          <w:rFonts w:ascii="arial" w:eastAsia="arial" w:hAnsi="arial" w:cs="arial"/>
          <w:color w:val="000000"/>
          <w:sz w:val="20"/>
          <w:lang w:val="en-US" w:eastAsia="en-US" w:bidi="ar-SA"/>
        </w:rPr>
        <w:t xml:space="preserve"> (C.A.), Graham v. Rourke </w:t>
      </w:r>
      <w:hyperlink r:id="rId951" w:history="1">
        <w:r>
          <w:rPr>
            <w:rFonts w:ascii="arial" w:eastAsia="arial" w:hAnsi="arial" w:cs="arial"/>
            <w:i/>
            <w:color w:val="0077CC"/>
            <w:sz w:val="20"/>
            <w:u w:val="single"/>
            <w:shd w:val="clear" w:color="auto" w:fill="FFFFFF"/>
            <w:lang w:val="en-US" w:eastAsia="en-US" w:bidi="ar-SA"/>
          </w:rPr>
          <w:t>(1990), 74 D.L.R. (4th) 1</w:t>
        </w:r>
      </w:hyperlink>
      <w:r>
        <w:rPr>
          <w:rFonts w:ascii="arial" w:eastAsia="arial" w:hAnsi="arial" w:cs="arial"/>
          <w:color w:val="000000"/>
          <w:sz w:val="20"/>
          <w:lang w:val="en-US" w:eastAsia="en-US" w:bidi="ar-SA"/>
        </w:rPr>
        <w:t xml:space="preserve"> (Ont. C.A.).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By contrast, past events must be proven, and once proven they are treated as certainties. In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the court must declare whether the defendant was negligent, and that conclusion cannot be couched in terms of probabilities. Likewise, the negligent conduct either was or was not a cause of the injury. The court must decide, on the available evidence, whether the thing alleged has been proven; if it has, it is accepted as a certainty: Mallett v. McMonagle,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Malec v. J.C. Hutton Proprietary Ltd.,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Cooper-Stephenson,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pp. 67 - 81.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This point was expressed by Lord Diplock in Mallett v. McMonagle,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 176:</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role of the court in making an assessment of damages which depends upon its view as to what will be and what would have been is to be contrasted with its ordinary function in civil actions of determining what was. In determining what did happen in the past a court decides on the balance of probabilities. Anything that is more probable than not it treats as certain. But in assessing damages which depend on its view as to what will happen in the future or would have happened in the future if something had not happened in the past, the court must make an estimate as to what are the chances that a particular thing will or would have happened and reflect those chances, whether they are more or less than even, in the amount of damages which it awards.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clear to me that the appellant cannot escape having to prove the past facts on a balance of probabilities. He must be able to first prove the causal connection between the injuries and the loss which he suffered and second, the method of calculating the target values. Neither fact was proved. As a result, the appellant cannot succeed on this ground. The trial judge did not err in applying the standard of proof as she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As earlier mentioned, prior to the accident the plaintiff had worked as a temporary employee in a variety of reception and clerical jobs before her move to Greece. From 1992 to 1997 it appears that the plaintiff mainly supported herself with the money she inherited from her father's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With regard to the plaintiff's aspirations to develop a career as a camera assistant or camera operator, her last employment in this field in film or television prior to the accident was in 1997 while living in Greece working for a television station in Tripoli.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As for the plaintiff's intention to return to Greece in May, 2000 to work on the Captain Corelli's Mandolin set, this opportunity can only be fairly characterized as speculative. The plaintiff did not testify that she was offered a position, only that she told the producer she "had to hire" her. There is no evidence about what position might have been available to her, nor the compensation or duration of the position. In fact, as of the date of the accident, the plaintiff was unemployed and did not have a contract or even a promise that she would be offered a position with the film company in Greece. Moreover, she had not completed her training in Canada as a camera assistant, which I think would militate against her being offered a job in this position in any event. Thus, I find that the degree of particularity required to rely upon this evidence to base an award for past wage loss is entirely missing.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 medical evidence is uncontradicted that by at least early 2002 the plaintiff was capable of accepting work in light sedentary jobs. In his report dated June 24, 2004, Dr. Travlos notes: "Based on her assessment today, she clearly is capable of full time employment ... I think it is probable that she would have been capable of gainful full time employment within two months or so of the hardware removal in November of 2001. Depending on the work, she probably could have worked full time prior to that at a sedentary office type job such as that required of data entry ... by the end of the first six to eight months she should have been capable of returning back to sedentary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In his report, Dr. Watt states that on the basis of his assessment the plaintiff's current physical activity status was that she was capable of all visual activity; colour vision; all hearing activity; sitting, standing and walking; and all limb coordination activities of medium physical demand - lifting, pushing, pulling and carrying up to 20 kilograms occasionally.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However, notwithstanding the medical evidence, the plaintiff's employment history following the accident is sparse. She worked as an extra for two days in two different locally-shot movies; one day for Elections Canada; about two months in 2001 on Ios operating the clothing boutique; a few days in March, 2002 at the UBC standardized patient program in simulation; as an extra on a movie shot in Greece in the summer of 2002; during a short period from the middle of May to the middle of June, 2004 she was employed at the liquor store; and between 2004 and 2005 she was employed from time to time in the kitchen at the pub.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 am mindful that in the period from 2002 to 2003 the plaintiff had to care for Metaxas while he was recuperating in Greece. However, Metaxas testified that while he was recuperating at home he slept a great deal and the plaintiff did not have to look after him 24/7.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Perhaps what the plaintiff told her doctors partly explains her failure to look for long term gainful sedentary employment following the accident. In June, 2004 Dr. Travlos notes that since the accident the plaintiff had not had any consistent work. He also notes the number of times that she had returned to Greece and states, "it is hard to know exactly what her work activities were, as she was unable to really provide this". In 2005, when Dr. Travlos asked the plaintiff whether she was planning to look for other jobs or follow a new career pathway she told him that she was not really sure what to do and that she was still planning to return to Greece for a period of time and therefore could not really look for any long term jobs in Vancouver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Since the accident the plaintiff has continued her pattern of living with one foot in Vancouver and one in Greece. While here after the accident she took some very short term employment. Given the circumstances surrounding her work history since the accident, and the fact that according to the medical evidence she was capable of returning to full time sedentary work by at least early 2002, I find that the plaintiff has failed to prove, on a balance of probabilities, that the injuries caused the loss claimed. Thus, her past wage loss claim is dismissed.</w:t>
      </w:r>
      <w:r>
        <w:rPr>
          <w:rFonts w:ascii="arial" w:eastAsia="arial" w:hAnsi="arial" w:cs="arial"/>
          <w:sz w:val="20"/>
          <w:lang w:val="en-US" w:eastAsia="en-US" w:bidi="ar-SA"/>
        </w:rPr>
        <w:cr/>
      </w:r>
    </w:p>
    <w:p>
      <w:pPr>
        <w:numPr>
          <w:numId w:val="2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I agree with defence counsel that this is a case where any damages under this head must necessarily be assessed as a loss of future earning capacity. The law on this point is thoroughly set out by Cumming J.A. in </w:t>
      </w:r>
      <w:r>
        <w:rPr>
          <w:rFonts w:ascii="arial" w:eastAsia="arial" w:hAnsi="arial" w:cs="arial"/>
          <w:b/>
          <w:i/>
          <w:color w:val="000000"/>
          <w:sz w:val="20"/>
          <w:lang w:val="en-US" w:eastAsia="en-US" w:bidi="ar-SA"/>
        </w:rPr>
        <w:t>Parypa v. Wickware</w:t>
      </w:r>
      <w:r>
        <w:rPr>
          <w:rFonts w:ascii="arial" w:eastAsia="arial" w:hAnsi="arial" w:cs="arial"/>
          <w:color w:val="000000"/>
          <w:sz w:val="20"/>
          <w:lang w:val="en-US" w:eastAsia="en-US" w:bidi="ar-SA"/>
        </w:rPr>
        <w:t xml:space="preserve">, </w:t>
      </w:r>
      <w:hyperlink r:id="rId120" w:history="1">
        <w:r>
          <w:rPr>
            <w:rFonts w:ascii="arial" w:eastAsia="arial" w:hAnsi="arial" w:cs="arial"/>
            <w:i/>
            <w:color w:val="0077CC"/>
            <w:sz w:val="20"/>
            <w:u w:val="single"/>
            <w:shd w:val="clear" w:color="auto" w:fill="FFFFFF"/>
            <w:lang w:val="en-US" w:eastAsia="en-US" w:bidi="ar-SA"/>
          </w:rPr>
          <w:t>[1999] B.C.J. No. 270</w:t>
        </w:r>
      </w:hyperlink>
      <w:r>
        <w:rPr>
          <w:rFonts w:ascii="arial" w:eastAsia="arial" w:hAnsi="arial" w:cs="arial"/>
          <w:color w:val="000000"/>
          <w:sz w:val="20"/>
          <w:lang w:val="en-US" w:eastAsia="en-US" w:bidi="ar-SA"/>
        </w:rPr>
        <w:t xml:space="preserve">, </w:t>
      </w:r>
      <w:hyperlink r:id="rId120" w:history="1">
        <w:r>
          <w:rPr>
            <w:rFonts w:ascii="arial" w:eastAsia="arial" w:hAnsi="arial" w:cs="arial"/>
            <w:i/>
            <w:color w:val="0077CC"/>
            <w:sz w:val="20"/>
            <w:u w:val="single"/>
            <w:shd w:val="clear" w:color="auto" w:fill="FFFFFF"/>
            <w:lang w:val="en-US" w:eastAsia="en-US" w:bidi="ar-SA"/>
          </w:rPr>
          <w:t>1999 BCCA 88</w:t>
        </w:r>
      </w:hyperlink>
      <w:r>
        <w:rPr>
          <w:rFonts w:ascii="arial" w:eastAsia="arial" w:hAnsi="arial" w:cs="arial"/>
          <w:color w:val="000000"/>
          <w:sz w:val="20"/>
          <w:lang w:val="en-US" w:eastAsia="en-US" w:bidi="ar-SA"/>
        </w:rPr>
        <w:t>, where at paras. 64-70 he states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is also the question of what types of factors the court should take into account when considering the extent of future loss of earning capacity. This issue was dealt with by Taggart J.A. in Kwei v. Boisclair, </w:t>
      </w:r>
      <w:hyperlink r:id="rId952" w:history="1">
        <w:r>
          <w:rPr>
            <w:rFonts w:ascii="arial" w:eastAsia="arial" w:hAnsi="arial" w:cs="arial"/>
            <w:i/>
            <w:color w:val="0077CC"/>
            <w:sz w:val="20"/>
            <w:u w:val="single"/>
            <w:shd w:val="clear" w:color="auto" w:fill="FFFFFF"/>
            <w:lang w:val="en-US" w:eastAsia="en-US" w:bidi="ar-SA"/>
          </w:rPr>
          <w:t>[1991] B.C.J. No. 3344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399: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trial judge, as I have said, referred to the judgment of Mr. Justice Finch in Brown v. Golaiy, </w:t>
      </w:r>
      <w:hyperlink r:id="rId127" w:history="1">
        <w:r>
          <w:rPr>
            <w:rFonts w:ascii="arial" w:eastAsia="arial" w:hAnsi="arial" w:cs="arial"/>
            <w:i/>
            <w:color w:val="0077CC"/>
            <w:sz w:val="20"/>
            <w:u w:val="single"/>
            <w:shd w:val="clear" w:color="auto" w:fill="FFFFFF"/>
            <w:lang w:val="en-US" w:eastAsia="en-US" w:bidi="ar-SA"/>
          </w:rPr>
          <w:t>[1985] B.C.J. No. 31</w:t>
        </w:r>
      </w:hyperlink>
      <w:r>
        <w:rPr>
          <w:rFonts w:ascii="arial" w:eastAsia="arial" w:hAnsi="arial" w:cs="arial"/>
          <w:color w:val="000000"/>
          <w:sz w:val="20"/>
          <w:lang w:val="en-US" w:eastAsia="en-US" w:bidi="ar-SA"/>
        </w:rPr>
        <w:t>, ... I think the considerations referred to by Mr. Justice Finch at p. 4 of his reasons have application in cases where loss of future earning capacity is in issue. I refer to this language at p. 4 of Mr. Finch's judgment: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means by which the value of the lost, or impaired, asset is to be assessed varies of course from case to case. Some of the considerations to take into account in making that assessment include whether:</w:t>
      </w:r>
    </w:p>
    <w:p>
      <w:pPr>
        <w:numPr>
          <w:numId w:val="2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2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2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him, had he not been inured; and</w:t>
      </w:r>
    </w:p>
    <w:p>
      <w:pPr>
        <w:numPr>
          <w:numId w:val="2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labour market.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Then how shall we determine the extent of the damage? What certainties, probabilities or possibilities must the plaintiff demonstrate in order for the court to conclude there has been damage to the plaintiff's earning capacity? This issue was addressed in Steenblok v. Funk </w:t>
      </w:r>
      <w:hyperlink r:id="rId948" w:history="1">
        <w:r>
          <w:rPr>
            <w:rFonts w:ascii="arial" w:eastAsia="arial" w:hAnsi="arial" w:cs="arial"/>
            <w:i/>
            <w:color w:val="0077CC"/>
            <w:sz w:val="20"/>
            <w:u w:val="single"/>
            <w:shd w:val="clear" w:color="auto" w:fill="FFFFFF"/>
            <w:lang w:val="en-US" w:eastAsia="en-US" w:bidi="ar-SA"/>
          </w:rPr>
          <w:t>(1990), 46 B.C.L.R. (2d) 133</w:t>
        </w:r>
      </w:hyperlink>
      <w:r>
        <w:rPr>
          <w:rFonts w:ascii="arial" w:eastAsia="arial" w:hAnsi="arial" w:cs="arial"/>
          <w:color w:val="000000"/>
          <w:sz w:val="20"/>
          <w:lang w:val="en-US" w:eastAsia="en-US" w:bidi="ar-SA"/>
        </w:rPr>
        <w:t xml:space="preserve"> (C.A.). In Steenblok, the trial judge dismissed the plaintiff's claim for damages for loss of future earning capacity, finding that the plaintiff had failed to show on a balance of probabilities, that his chronic pain from a soft tissue injury to his neck and upper back was irreversible. Hutcheon J.A. allowed the appeal, awarded $150,000 for loss of future earning capacity, and commented on the applicable burden of proof. He said at 135: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think that placed upon the plaintiff an unduly high burden in the proof of future loss of earning capacity. I shall return to a discussion of the burden on a plaintiff in respect of future events. It is sufficient at this point to state the proposition of law that in dealing with future loss substantial possibilities must be considered by estimating the chance of the event occurring and that the balance of probabilities is confined to determining what did in fact happen in the past. That is the law, as I understand it, decided in Kovats v. Ogilvie, </w:t>
      </w:r>
      <w:hyperlink r:id="rId953" w:history="1">
        <w:r>
          <w:rPr>
            <w:rFonts w:ascii="arial" w:eastAsia="arial" w:hAnsi="arial" w:cs="arial"/>
            <w:i/>
            <w:color w:val="0077CC"/>
            <w:sz w:val="20"/>
            <w:u w:val="single"/>
            <w:shd w:val="clear" w:color="auto" w:fill="FFFFFF"/>
            <w:lang w:val="en-US" w:eastAsia="en-US" w:bidi="ar-SA"/>
          </w:rPr>
          <w:t>[1971] 1 W.W.R. 561</w:t>
        </w:r>
      </w:hyperlink>
      <w:r>
        <w:rPr>
          <w:rFonts w:ascii="arial" w:eastAsia="arial" w:hAnsi="arial" w:cs="arial"/>
          <w:color w:val="000000"/>
          <w:sz w:val="20"/>
          <w:lang w:val="en-US" w:eastAsia="en-US" w:bidi="ar-SA"/>
        </w:rPr>
        <w:t xml:space="preserve">, </w:t>
      </w:r>
      <w:hyperlink r:id="rId953" w:history="1">
        <w:r>
          <w:rPr>
            <w:rFonts w:ascii="arial" w:eastAsia="arial" w:hAnsi="arial" w:cs="arial"/>
            <w:i/>
            <w:color w:val="0077CC"/>
            <w:sz w:val="20"/>
            <w:u w:val="single"/>
            <w:shd w:val="clear" w:color="auto" w:fill="FFFFFF"/>
            <w:lang w:val="en-US" w:eastAsia="en-US" w:bidi="ar-SA"/>
          </w:rPr>
          <w:t>17 D.L.R. (3d) 343</w:t>
        </w:r>
      </w:hyperlink>
      <w:r>
        <w:rPr>
          <w:rFonts w:ascii="arial" w:eastAsia="arial" w:hAnsi="arial" w:cs="arial"/>
          <w:color w:val="000000"/>
          <w:sz w:val="20"/>
          <w:lang w:val="en-US" w:eastAsia="en-US" w:bidi="ar-SA"/>
        </w:rPr>
        <w:t xml:space="preserve"> (B.C.C.A.); Schrump v. Koot </w:t>
      </w:r>
      <w:hyperlink r:id="rId950" w:history="1">
        <w:r>
          <w:rPr>
            <w:rFonts w:ascii="arial" w:eastAsia="arial" w:hAnsi="arial" w:cs="arial"/>
            <w:i/>
            <w:color w:val="0077CC"/>
            <w:sz w:val="20"/>
            <w:u w:val="single"/>
            <w:shd w:val="clear" w:color="auto" w:fill="FFFFFF"/>
            <w:lang w:val="en-US" w:eastAsia="en-US" w:bidi="ar-SA"/>
          </w:rPr>
          <w:t>(1977), 18 O.R. (2d) 337</w:t>
        </w:r>
      </w:hyperlink>
      <w:r>
        <w:rPr>
          <w:rFonts w:ascii="arial" w:eastAsia="arial" w:hAnsi="arial" w:cs="arial"/>
          <w:color w:val="000000"/>
          <w:sz w:val="20"/>
          <w:lang w:val="en-US" w:eastAsia="en-US" w:bidi="ar-SA"/>
        </w:rPr>
        <w:t xml:space="preserve">, </w:t>
      </w:r>
      <w:hyperlink r:id="rId950" w:history="1">
        <w:r>
          <w:rPr>
            <w:rFonts w:ascii="arial" w:eastAsia="arial" w:hAnsi="arial" w:cs="arial"/>
            <w:i/>
            <w:color w:val="0077CC"/>
            <w:sz w:val="20"/>
            <w:u w:val="single"/>
            <w:shd w:val="clear" w:color="auto" w:fill="FFFFFF"/>
            <w:lang w:val="en-US" w:eastAsia="en-US" w:bidi="ar-SA"/>
          </w:rPr>
          <w:t>4 C.C.L.T. 74</w:t>
        </w:r>
      </w:hyperlink>
      <w:r>
        <w:rPr>
          <w:rFonts w:ascii="arial" w:eastAsia="arial" w:hAnsi="arial" w:cs="arial"/>
          <w:color w:val="000000"/>
          <w:sz w:val="20"/>
          <w:lang w:val="en-US" w:eastAsia="en-US" w:bidi="ar-SA"/>
        </w:rPr>
        <w:t xml:space="preserve">, </w:t>
      </w:r>
      <w:hyperlink r:id="rId950" w:history="1">
        <w:r>
          <w:rPr>
            <w:rFonts w:ascii="arial" w:eastAsia="arial" w:hAnsi="arial" w:cs="arial"/>
            <w:i/>
            <w:color w:val="0077CC"/>
            <w:sz w:val="20"/>
            <w:u w:val="single"/>
            <w:shd w:val="clear" w:color="auto" w:fill="FFFFFF"/>
            <w:lang w:val="en-US" w:eastAsia="en-US" w:bidi="ar-SA"/>
          </w:rPr>
          <w:t>82 D.L.R. (3d) 553</w:t>
        </w:r>
      </w:hyperlink>
      <w:r>
        <w:rPr>
          <w:rFonts w:ascii="arial" w:eastAsia="arial" w:hAnsi="arial" w:cs="arial"/>
          <w:color w:val="000000"/>
          <w:sz w:val="20"/>
          <w:lang w:val="en-US" w:eastAsia="en-US" w:bidi="ar-SA"/>
        </w:rPr>
        <w:t xml:space="preserve"> (C.A.); and Janiak v. Ippolito, </w:t>
      </w:r>
      <w:hyperlink r:id="rId949" w:history="1">
        <w:r>
          <w:rPr>
            <w:rFonts w:ascii="arial" w:eastAsia="arial" w:hAnsi="arial" w:cs="arial"/>
            <w:i/>
            <w:color w:val="0077CC"/>
            <w:sz w:val="20"/>
            <w:u w:val="single"/>
            <w:shd w:val="clear" w:color="auto" w:fill="FFFFFF"/>
            <w:lang w:val="en-US" w:eastAsia="en-US" w:bidi="ar-SA"/>
          </w:rPr>
          <w:t>[1985] 1 S.C.R. 146</w:t>
        </w:r>
      </w:hyperlink>
      <w:r>
        <w:rPr>
          <w:rFonts w:ascii="arial" w:eastAsia="arial" w:hAnsi="arial" w:cs="arial"/>
          <w:color w:val="000000"/>
          <w:sz w:val="20"/>
          <w:lang w:val="en-US" w:eastAsia="en-US" w:bidi="ar-SA"/>
        </w:rPr>
        <w:t xml:space="preserve">, </w:t>
      </w:r>
      <w:hyperlink r:id="rId949" w:history="1">
        <w:r>
          <w:rPr>
            <w:rFonts w:ascii="arial" w:eastAsia="arial" w:hAnsi="arial" w:cs="arial"/>
            <w:i/>
            <w:color w:val="0077CC"/>
            <w:sz w:val="20"/>
            <w:u w:val="single"/>
            <w:shd w:val="clear" w:color="auto" w:fill="FFFFFF"/>
            <w:lang w:val="en-US" w:eastAsia="en-US" w:bidi="ar-SA"/>
          </w:rPr>
          <w:t>31 C.C.L.T. 113</w:t>
        </w:r>
      </w:hyperlink>
      <w:r>
        <w:rPr>
          <w:rFonts w:ascii="arial" w:eastAsia="arial" w:hAnsi="arial" w:cs="arial"/>
          <w:color w:val="000000"/>
          <w:sz w:val="20"/>
          <w:lang w:val="en-US" w:eastAsia="en-US" w:bidi="ar-SA"/>
        </w:rPr>
        <w:t xml:space="preserve">, </w:t>
      </w:r>
      <w:hyperlink r:id="rId949" w:history="1">
        <w:r>
          <w:rPr>
            <w:rFonts w:ascii="arial" w:eastAsia="arial" w:hAnsi="arial" w:cs="arial"/>
            <w:i/>
            <w:color w:val="0077CC"/>
            <w:sz w:val="20"/>
            <w:u w:val="single"/>
            <w:shd w:val="clear" w:color="auto" w:fill="FFFFFF"/>
            <w:lang w:val="en-US" w:eastAsia="en-US" w:bidi="ar-SA"/>
          </w:rPr>
          <w:t>16 D.L.R. (4th) 1</w:t>
        </w:r>
      </w:hyperlink>
      <w:r>
        <w:rPr>
          <w:rFonts w:ascii="arial" w:eastAsia="arial" w:hAnsi="arial" w:cs="arial"/>
          <w:color w:val="000000"/>
          <w:sz w:val="20"/>
          <w:lang w:val="en-US" w:eastAsia="en-US" w:bidi="ar-SA"/>
        </w:rPr>
        <w:t xml:space="preserve">, </w:t>
      </w:r>
      <w:hyperlink r:id="rId949" w:history="1">
        <w:r>
          <w:rPr>
            <w:rFonts w:ascii="arial" w:eastAsia="arial" w:hAnsi="arial" w:cs="arial"/>
            <w:i/>
            <w:color w:val="0077CC"/>
            <w:sz w:val="20"/>
            <w:u w:val="single"/>
            <w:shd w:val="clear" w:color="auto" w:fill="FFFFFF"/>
            <w:lang w:val="en-US" w:eastAsia="en-US" w:bidi="ar-SA"/>
          </w:rPr>
          <w:t>9 O.A.C. 1</w:t>
        </w:r>
      </w:hyperlink>
      <w:r>
        <w:rPr>
          <w:rFonts w:ascii="arial" w:eastAsia="arial" w:hAnsi="arial" w:cs="arial"/>
          <w:color w:val="000000"/>
          <w:sz w:val="20"/>
          <w:lang w:val="en-US" w:eastAsia="en-US" w:bidi="ar-SA"/>
        </w:rPr>
        <w:t xml:space="preserve">, </w:t>
      </w:r>
      <w:hyperlink r:id="rId949" w:history="1">
        <w:r>
          <w:rPr>
            <w:rFonts w:ascii="arial" w:eastAsia="arial" w:hAnsi="arial" w:cs="arial"/>
            <w:i/>
            <w:color w:val="0077CC"/>
            <w:sz w:val="20"/>
            <w:u w:val="single"/>
            <w:shd w:val="clear" w:color="auto" w:fill="FFFFFF"/>
            <w:lang w:val="en-US" w:eastAsia="en-US" w:bidi="ar-SA"/>
          </w:rPr>
          <w:t>57 N.R. 241</w:t>
        </w:r>
      </w:hyperlink>
      <w:r>
        <w:rPr>
          <w:rFonts w:ascii="arial" w:eastAsia="arial" w:hAnsi="arial" w:cs="arial"/>
          <w:color w:val="000000"/>
          <w:sz w:val="20"/>
          <w:lang w:val="en-US" w:eastAsia="en-US" w:bidi="ar-SA"/>
        </w:rPr>
        <w:t>. The proposition is based on language taken from those three cases.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Athey v. Leonati, </w:t>
      </w:r>
      <w:hyperlink r:id="rId107"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the Supreme Court of Canada adopted the same approach, at 470-471: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Hypothetical events (such as how the plaintiff's life would have proceeded without the tortious injury) or future events need not be proven on a balance of probabilities. Instead, they are simply given weight according to their relative likelihood.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These cases demonstrate that the trier of fact, in determining the extent of future loss of earning capacity, must take into account all substantial possibilities and give them weight according to how likely they are to occur, in light of all the evidence. However, in calculating such likelihoods, the plaintiff is not entitled to compensation based solely on the type of work she was performing at the time of the accident. There is a duty on the plaintiff to mitigate her damages by seeking, if at all possible, a line of work that can be pursued in spite of her injuries. If the plaintiff is unqualified for such work, then she is required, within the limits of her abilities, to pursue education or training that would qualify her for such work. If the plaintiff claims she is not able to mitigate by pursuing other lines of work or by retraining, she must prove this on a balance of probabilities. The requirement for mitigation is addressed by this court in Palmer, </w:t>
      </w:r>
      <w:hyperlink r:id="rId954" w:history="1">
        <w:r>
          <w:rPr>
            <w:rFonts w:ascii="arial" w:eastAsia="arial" w:hAnsi="arial" w:cs="arial"/>
            <w:i/>
            <w:color w:val="0077CC"/>
            <w:sz w:val="20"/>
            <w:u w:val="single"/>
            <w:shd w:val="clear" w:color="auto" w:fill="FFFFFF"/>
            <w:lang w:val="en-US" w:eastAsia="en-US" w:bidi="ar-SA"/>
          </w:rPr>
          <w:t>[1991] B.C.J. No. 16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59: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plaintiff is not entitled at the cost of the defendant to say, "The only sort of work I like is such and such. I cannot do that. Therefore, you must give me sufficient capital to replace the income I cannot earn on that sort of job".</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What the respondent proved in this case was that he had lost his capacity to follow the sort of occupation he was pursuing at the time of the accident. But that did not prove, on a balance of probabilities, that he could not earn by pursuing some other sort of occupation, as much as before.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Finally, once a loss of future earning capacity has been found, there is the question of how the court is to quantify that loss. In Duhra v. Basram </w:t>
      </w:r>
      <w:hyperlink r:id="rId955" w:history="1">
        <w:r>
          <w:rPr>
            <w:rFonts w:ascii="arial" w:eastAsia="arial" w:hAnsi="arial" w:cs="arial"/>
            <w:i/>
            <w:color w:val="0077CC"/>
            <w:sz w:val="20"/>
            <w:u w:val="single"/>
            <w:shd w:val="clear" w:color="auto" w:fill="FFFFFF"/>
            <w:lang w:val="en-US" w:eastAsia="en-US" w:bidi="ar-SA"/>
          </w:rPr>
          <w:t>(1991), 60 B.C.L.R. (2d) 78</w:t>
        </w:r>
      </w:hyperlink>
      <w:r>
        <w:rPr>
          <w:rFonts w:ascii="arial" w:eastAsia="arial" w:hAnsi="arial" w:cs="arial"/>
          <w:color w:val="000000"/>
          <w:sz w:val="20"/>
          <w:lang w:val="en-US" w:eastAsia="en-US" w:bidi="ar-SA"/>
        </w:rPr>
        <w:t xml:space="preserve"> (C.A.) at 83, characterised the process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Of course, the first step in measuring the loss in income earning capacity as a capital asset can be done and is most usually done by extrapolating a present income into the future and discounting it to a present value. But that is only an indicator of loss of capacity and should not be thought to be the compensable loss itself.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Although the first step may involve a mathematical extrapolation, it is clear from the following authorities that it is an error to calculate the final figure based solely on a mathematical calculation. In Mulholland (Guardian ad litem of) v. Riley Estate </w:t>
      </w:r>
      <w:hyperlink r:id="rId956"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(C.A.), Hollinrake J.A. stated at paragraph 43: "... the law is clear that in these cases the task of the court is to assess damages not to calculate them on some mathematical formula." Similarly, in Dillon, </w:t>
      </w:r>
      <w:hyperlink r:id="rId957" w:history="1">
        <w:r>
          <w:rPr>
            <w:rFonts w:ascii="arial" w:eastAsia="arial" w:hAnsi="arial" w:cs="arial"/>
            <w:i/>
            <w:color w:val="0077CC"/>
            <w:sz w:val="20"/>
            <w:u w:val="single"/>
            <w:shd w:val="clear" w:color="auto" w:fill="FFFFFF"/>
            <w:lang w:val="en-US" w:eastAsia="en-US" w:bidi="ar-SA"/>
          </w:rPr>
          <w:t>[1994] B.C.J. No. 795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Hinds J.A. held the trial judge erred on the basis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he calculated the plaintiff's "future loss of income" instead of determining the plaintiff's future loss of earning capacity. Furthermore, the trial judge calculated the plaintiff's future loss of income on an arithmetical basis, instead of assessing the plaintiff's loss of earning capacity by taking into account all relevant evidence. [p. 391]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Ultimately, the court must base its decision on what is reasonable in all of the circumstances. Projections, calculations and formulas are only useful to the extent that they help determine what is fair and reasonable. Macfarlane J.A., in Friesen v. Pretorius Estate </w:t>
      </w:r>
      <w:hyperlink r:id="rId958" w:history="1">
        <w:r>
          <w:rPr>
            <w:rFonts w:ascii="arial" w:eastAsia="arial" w:hAnsi="arial" w:cs="arial"/>
            <w:i/>
            <w:color w:val="0077CC"/>
            <w:sz w:val="20"/>
            <w:u w:val="single"/>
            <w:shd w:val="clear" w:color="auto" w:fill="FFFFFF"/>
            <w:lang w:val="en-US" w:eastAsia="en-US" w:bidi="ar-SA"/>
          </w:rPr>
          <w:t>(1997), 37 B.C.L.R. (3d) 255</w:t>
        </w:r>
      </w:hyperlink>
      <w:r>
        <w:rPr>
          <w:rFonts w:ascii="arial" w:eastAsia="arial" w:hAnsi="arial" w:cs="arial"/>
          <w:color w:val="000000"/>
          <w:sz w:val="20"/>
          <w:lang w:val="en-US" w:eastAsia="en-US" w:bidi="ar-SA"/>
        </w:rPr>
        <w:t>, identifies the importance of using estimates to arrive at a figure that is reasonable in all the circumstances, at 263: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Morris v. Rose Estate, </w:t>
      </w:r>
      <w:hyperlink r:id="rId959" w:history="1">
        <w:r>
          <w:rPr>
            <w:rFonts w:ascii="arial" w:eastAsia="arial" w:hAnsi="arial" w:cs="arial"/>
            <w:i/>
            <w:color w:val="0077CC"/>
            <w:sz w:val="20"/>
            <w:u w:val="single"/>
            <w:shd w:val="clear" w:color="auto" w:fill="FFFFFF"/>
            <w:lang w:val="en-US" w:eastAsia="en-US" w:bidi="ar-SA"/>
          </w:rPr>
          <w:t>(1996), 75 B.C.A.C. 263</w:t>
        </w:r>
      </w:hyperlink>
      <w:r>
        <w:rPr>
          <w:rFonts w:ascii="arial" w:eastAsia="arial" w:hAnsi="arial" w:cs="arial"/>
          <w:color w:val="000000"/>
          <w:sz w:val="20"/>
          <w:lang w:val="en-US" w:eastAsia="en-US" w:bidi="ar-SA"/>
        </w:rPr>
        <w:t xml:space="preserve"> (B.C.C.A.) Mr. Justice Donald, writing for the court said, at para. 24:</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Assessing damages in this area involves an estimate based on prophecies. Mathematical certainty is impossible in virtually all cases. While a comparative scenario approach will often be useful, the judge must step back and look at all the relevant factors, especially general incapacity, before fixing an amount. See the remarks of Lambert J.A. in Ryder v. Paquette, </w:t>
      </w:r>
      <w:hyperlink r:id="rId960" w:history="1">
        <w:r>
          <w:rPr>
            <w:rFonts w:ascii="arial" w:eastAsia="arial" w:hAnsi="arial" w:cs="arial"/>
            <w:i/>
            <w:color w:val="0077CC"/>
            <w:sz w:val="20"/>
            <w:u w:val="single"/>
            <w:shd w:val="clear" w:color="auto" w:fill="FFFFFF"/>
            <w:lang w:val="en-US" w:eastAsia="en-US" w:bidi="ar-SA"/>
          </w:rPr>
          <w:t>[1995] B.C.J. No. 644</w:t>
        </w:r>
      </w:hyperlink>
      <w:r>
        <w:rPr>
          <w:rFonts w:ascii="arial" w:eastAsia="arial" w:hAnsi="arial" w:cs="arial"/>
          <w:color w:val="000000"/>
          <w:sz w:val="20"/>
          <w:lang w:val="en-US" w:eastAsia="en-US" w:bidi="ar-SA"/>
        </w:rPr>
        <w:t xml:space="preserve">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at p. 264: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must be pointed out that the trial judge applied one of the methods referred to by Mr. Justice Finch in Pallos, </w:t>
      </w:r>
      <w:hyperlink r:id="rId126" w:history="1">
        <w:r>
          <w:rPr>
            <w:rFonts w:ascii="arial" w:eastAsia="arial" w:hAnsi="arial" w:cs="arial"/>
            <w:i/>
            <w:color w:val="0077CC"/>
            <w:sz w:val="20"/>
            <w:u w:val="single"/>
            <w:shd w:val="clear" w:color="auto" w:fill="FFFFFF"/>
            <w:lang w:val="en-US" w:eastAsia="en-US" w:bidi="ar-SA"/>
          </w:rPr>
          <w:t>[1995] B.C.J. No. 2</w:t>
        </w:r>
      </w:hyperlink>
      <w:r>
        <w:rPr>
          <w:rFonts w:ascii="arial" w:eastAsia="arial" w:hAnsi="arial" w:cs="arial"/>
          <w:color w:val="000000"/>
          <w:sz w:val="20"/>
          <w:lang w:val="en-US" w:eastAsia="en-US" w:bidi="ar-SA"/>
        </w:rPr>
        <w:t xml:space="preserve">. However, that decision does not detract from what was said in Andrews, </w:t>
      </w:r>
      <w:hyperlink r:id="rId134"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Palmer v. Goodall, or Earnshaw v. Despins, </w:t>
      </w:r>
      <w:hyperlink r:id="rId961" w:history="1">
        <w:r>
          <w:rPr>
            <w:rFonts w:ascii="arial" w:eastAsia="arial" w:hAnsi="arial" w:cs="arial"/>
            <w:i/>
            <w:color w:val="0077CC"/>
            <w:sz w:val="20"/>
            <w:u w:val="single"/>
            <w:shd w:val="clear" w:color="auto" w:fill="FFFFFF"/>
            <w:lang w:val="en-US" w:eastAsia="en-US" w:bidi="ar-SA"/>
          </w:rPr>
          <w:t>[1990] B.C.J. No. 944</w:t>
        </w:r>
      </w:hyperlink>
      <w:r>
        <w:rPr>
          <w:rFonts w:ascii="arial" w:eastAsia="arial" w:hAnsi="arial" w:cs="arial"/>
          <w:color w:val="000000"/>
          <w:sz w:val="20"/>
          <w:lang w:val="en-US" w:eastAsia="en-US" w:bidi="ar-SA"/>
        </w:rPr>
        <w:t>. In particular, it emphasises the duty of the court to make a fair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 defence submits that in the case at bar, the plaintiff had no steady pre-accident income stream. Counsel argued that her income earning history demonstrates that she was someone who was content to get by on whatever income she had available to her and that she was not prepared to commit to any long term employment, preferring to leave herself flexible to move from job to job and place to place as she desired.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From about 1998, the plaintiff developed the pattern of spending her summers working on Ios and returning to Vancouver for the fall and winter months. It appears that she worked minimal hours at temporary jobs while spending her time trying to develop potential work on film projects. Since the fall of 2002, the plaintiff has devoted most of her time to the creation of a script depicting the life of Juan de Fuca. She is in the process of finalizing the script and has spoken with producers abroad to fund and co-produce the film into what she believes could be a substantial production filmed in several different European and Canadian locations.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 defendants accept that the plaintiff's ability to pursue a career as a second camera assistant has been diminished as a result of her knee injury. However, they contend that there are a number of negative contingencies which must be considered. They say that the evidence is far from clear that she would have achieved her goal of qualifying as a second camera assistant and taking employment in this field even if the accident had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Defence counsel cited several cases which have considered loss of earning capacity for claimants engaged in artistic endeavours. For example, in </w:t>
      </w:r>
      <w:r>
        <w:rPr>
          <w:rFonts w:ascii="arial" w:eastAsia="arial" w:hAnsi="arial" w:cs="arial"/>
          <w:b/>
          <w:i/>
          <w:color w:val="000000"/>
          <w:sz w:val="20"/>
          <w:lang w:val="en-US" w:eastAsia="en-US" w:bidi="ar-SA"/>
        </w:rPr>
        <w:t>Leisen v. Groseclose</w:t>
      </w:r>
      <w:r>
        <w:rPr>
          <w:rFonts w:ascii="arial" w:eastAsia="arial" w:hAnsi="arial" w:cs="arial"/>
          <w:color w:val="000000"/>
          <w:sz w:val="20"/>
          <w:lang w:val="en-US" w:eastAsia="en-US" w:bidi="ar-SA"/>
        </w:rPr>
        <w:t xml:space="preserve">, </w:t>
      </w:r>
      <w:hyperlink r:id="rId962" w:history="1">
        <w:r>
          <w:rPr>
            <w:rFonts w:ascii="arial" w:eastAsia="arial" w:hAnsi="arial" w:cs="arial"/>
            <w:i/>
            <w:color w:val="0077CC"/>
            <w:sz w:val="20"/>
            <w:u w:val="single"/>
            <w:shd w:val="clear" w:color="auto" w:fill="FFFFFF"/>
            <w:lang w:val="en-US" w:eastAsia="en-US" w:bidi="ar-SA"/>
          </w:rPr>
          <w:t>[1993] B.C.J. No. 1904</w:t>
        </w:r>
      </w:hyperlink>
      <w:r>
        <w:rPr>
          <w:rFonts w:ascii="arial" w:eastAsia="arial" w:hAnsi="arial" w:cs="arial"/>
          <w:color w:val="000000"/>
          <w:sz w:val="20"/>
          <w:lang w:val="en-US" w:eastAsia="en-US" w:bidi="ar-SA"/>
        </w:rPr>
        <w:t xml:space="preserve"> (S.C.), at the time of the accident, the plaintiff was a promising artist who was finishing her final year at the Emily Carr College of Art and Design. The accident had interfered with her ability to pursue her career in her chosen field of photography. Following the accident the plaintiff completed a jewellery making course and worked in that field. The Court concluded that the plaintiff was no longer able to cope with her photographic development work; while she was able to physically perform the work it required, it was not without a great deal of pain. The Court also accepted that the plaintiff had lost her ability to earn money as a photographer in her area of interest and had to change her direction. The plaintiff would never again be able to pursue photography and printmaking to the same marketable level of competence that she could before the accident. She was awarded $50,000 for impairment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xml:space="preserve">  Counsel also made reference to </w:t>
      </w:r>
      <w:r>
        <w:rPr>
          <w:rFonts w:ascii="arial" w:eastAsia="arial" w:hAnsi="arial" w:cs="arial"/>
          <w:b/>
          <w:i/>
          <w:color w:val="000000"/>
          <w:sz w:val="20"/>
          <w:lang w:val="en-US" w:eastAsia="en-US" w:bidi="ar-SA"/>
        </w:rPr>
        <w:t>Shirley v. Regier,</w:t>
      </w:r>
      <w:r>
        <w:rPr>
          <w:rFonts w:ascii="arial" w:eastAsia="arial" w:hAnsi="arial" w:cs="arial"/>
          <w:color w:val="000000"/>
          <w:sz w:val="20"/>
          <w:lang w:val="en-US" w:eastAsia="en-US" w:bidi="ar-SA"/>
        </w:rPr>
        <w:t xml:space="preserve"> </w:t>
      </w:r>
      <w:hyperlink r:id="rId963" w:history="1">
        <w:r>
          <w:rPr>
            <w:rFonts w:ascii="arial" w:eastAsia="arial" w:hAnsi="arial" w:cs="arial"/>
            <w:i/>
            <w:color w:val="0077CC"/>
            <w:sz w:val="20"/>
            <w:u w:val="single"/>
            <w:shd w:val="clear" w:color="auto" w:fill="FFFFFF"/>
            <w:lang w:val="en-US" w:eastAsia="en-US" w:bidi="ar-SA"/>
          </w:rPr>
          <w:t>[1997] B.C.J. No. 1035</w:t>
        </w:r>
      </w:hyperlink>
      <w:r>
        <w:rPr>
          <w:rFonts w:ascii="arial" w:eastAsia="arial" w:hAnsi="arial" w:cs="arial"/>
          <w:color w:val="000000"/>
          <w:sz w:val="20"/>
          <w:lang w:val="en-US" w:eastAsia="en-US" w:bidi="ar-SA"/>
        </w:rPr>
        <w:t xml:space="preserve"> (S.C.), where the plaintiff suffered soft tissue injuries to her back and neck which healed soon after the accident. She also suffered knee injuries that hindered her movement for a lengthy period. She was not regularly employed, but was trained in film arts and desk-top publishing. The plaintiff claimed a loss of future income based on a career change from film technician to desk-top publishing caused by the chronic knee condition, as well as delayed entry into the workforce. She was awarded damages of $50,000 for delayed entry into the workforce.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Stecko v. Cavezza</w:t>
      </w:r>
      <w:r>
        <w:rPr>
          <w:rFonts w:ascii="arial" w:eastAsia="arial" w:hAnsi="arial" w:cs="arial"/>
          <w:color w:val="000000"/>
          <w:sz w:val="20"/>
          <w:lang w:val="en-US" w:eastAsia="en-US" w:bidi="ar-SA"/>
        </w:rPr>
        <w:t xml:space="preserve">, </w:t>
      </w:r>
      <w:hyperlink r:id="rId964" w:history="1">
        <w:r>
          <w:rPr>
            <w:rFonts w:ascii="arial" w:eastAsia="arial" w:hAnsi="arial" w:cs="arial"/>
            <w:i/>
            <w:color w:val="0077CC"/>
            <w:sz w:val="20"/>
            <w:u w:val="single"/>
            <w:shd w:val="clear" w:color="auto" w:fill="FFFFFF"/>
            <w:lang w:val="en-US" w:eastAsia="en-US" w:bidi="ar-SA"/>
          </w:rPr>
          <w:t>[1997] B.C.J. No. 1723</w:t>
        </w:r>
      </w:hyperlink>
      <w:r>
        <w:rPr>
          <w:rFonts w:ascii="arial" w:eastAsia="arial" w:hAnsi="arial" w:cs="arial"/>
          <w:color w:val="000000"/>
          <w:sz w:val="20"/>
          <w:lang w:val="en-US" w:eastAsia="en-US" w:bidi="ar-SA"/>
        </w:rPr>
        <w:t xml:space="preserve"> (S.C.), the plaintiff suffered a soft tissue injury to his right shoulder with continued pain. The plaintiff testified that it was his intention to work as a first camera assistant in the film industry for five years and then move on to the position of camera operator and finally to a position of director of photography. However, as a result of his injuries, he was unable to be employed as a camera operator. It was argued that the plaintiff could suffer a further loss of earning capacity after five years because of the risk that he had to take more time off work. He sought an award of $105,764 for the five years following the trial and $50,000 for loss of earning capacity thereafter. At para. 30 Oppal J. (as he then was) states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figure suggested by plaintiff's counsel have little evidentiary basis. The plaintiff's claim for damages is not insignificant. There simply is no basis on the evidence to award damages in the amounts sought. This case is noteworthy for its lack of material medical evidence. Having said that, I agree that by virtue of the injury suffered in the accident, the plaintiff is entitled to damages for a loss of future earning capacity because he is now less employable. In the circumstances a global amount of $15,000 is appropriate for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Defence counsel contended that in the case at bar the award for future loss of income earning capacity should be around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The issue for me to decide under this head is the extent to which the accident has impaired the plaintiff's earning capacity. As the cases indicate, the result cannot be calculated with anything approaching mathematical certainty: "The numerous uncertainties and contingencies render the resolution of that question an art rather than a science." </w:t>
      </w:r>
      <w:r>
        <w:rPr>
          <w:rFonts w:ascii="arial" w:eastAsia="arial" w:hAnsi="arial" w:cs="arial"/>
          <w:b/>
          <w:i/>
          <w:color w:val="000000"/>
          <w:sz w:val="20"/>
          <w:lang w:val="en-US" w:eastAsia="en-US" w:bidi="ar-SA"/>
        </w:rPr>
        <w:t>Miller v. Bittner,</w:t>
      </w:r>
      <w:r>
        <w:rPr>
          <w:rFonts w:ascii="arial" w:eastAsia="arial" w:hAnsi="arial" w:cs="arial"/>
          <w:i/>
          <w:color w:val="000000"/>
          <w:sz w:val="20"/>
          <w:lang w:val="en-US" w:eastAsia="en-US" w:bidi="ar-SA"/>
        </w:rPr>
        <w:t xml:space="preserve"> supra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In the instant case, I find that the figures submitted by the plaintiff should not be accepted for two main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xml:space="preserve">  First, I find that the award should not be based on the plaintiff's career prospects as a camera assistant or operator because her prospects were at the very least most uncertain at the time of the accident. She had not worked as a camera operator since 1997 in Greece, had only taken the single course for a camera assistant and had not even applied for admission to the IATSE training program. Moreover, unlike the findings in </w:t>
      </w:r>
      <w:r>
        <w:rPr>
          <w:rFonts w:ascii="arial" w:eastAsia="arial" w:hAnsi="arial" w:cs="arial"/>
          <w:b/>
          <w:i/>
          <w:color w:val="000000"/>
          <w:sz w:val="20"/>
          <w:lang w:val="en-US" w:eastAsia="en-US" w:bidi="ar-SA"/>
        </w:rPr>
        <w:t>Leisen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where the Court noted that photography was the plaintiff's passion for many years and that she excelled in it before her accident, in the case at bar, apart from the evidence of Metaxas that when they worked together in Tripoli she had many compliments, there is no evidence upon which to assess the quality of the plaintiff's work or whether she may have been successful in finding long term employment in this field.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Second, I find that the plaintiff has failed in her duty to mitigate her damages. The evidence is that she did not seek a line of work that she could pursue in spite of her injuries, nor did she take training for a line of work that she could pursue in spite of her injuries. On the contrary, she chose not to seek any employment for most of 2002 and 2003 and has worked only sporadically since 2003, even though the medical evidence is that she has been capable of working since early 2002. It would appear that instead of seeking employment in a job with lighter duties than that of a camera operator she has chosen instead to divide her time between living in Greece and Vancouver and to devote much of her time to a film project whose prospects for success are still very much uncertain.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The medical evidence is clear that the plaintiff's future employment will be restricted to lighter type duties and that her ability to sustain such work will be restricted in duration. Therefore, while I find that she is entitled to damages for future loss of income earning capacity, the evidence as outlined above cannot, in my view, support the amount she seeks. When I consider the principles for making an award under this head and the evidence before me I am satisfied that the plaintiff should receive an award of $100,000 for this head of her claim.</w:t>
      </w:r>
      <w:r>
        <w:rPr>
          <w:rFonts w:ascii="arial" w:eastAsia="arial" w:hAnsi="arial" w:cs="arial"/>
          <w:sz w:val="20"/>
          <w:lang w:val="en-US" w:eastAsia="en-US" w:bidi="ar-SA"/>
        </w:rPr>
        <w:cr/>
      </w:r>
    </w:p>
    <w:p>
      <w:pPr>
        <w:numPr>
          <w:numId w:val="2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Counsel submitted that the plaintiff will continue to incur expenses in her search to be pain-free, and to rebuild the leg muscles to stave off the inevitable progression of her knee degeneration. He argued that the amount of care required in the future would be more than what was expended in the past for several reasons: first, the plaintiff lacked sufficient funds to seek the appropriate level of care; second, owing to her difficulty in keeping records, some expenses have been lost and therefore the evidence may not reflect her actual expenditures.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Counsel submitted that the plaintiff should be entitled to an award for the following amounts:</w:t>
      </w:r>
      <w:r>
        <w:rPr>
          <w:rFonts w:ascii="arial" w:eastAsia="arial" w:hAnsi="arial" w:cs="arial"/>
          <w:sz w:val="20"/>
          <w:lang w:val="en-US" w:eastAsia="en-US" w:bidi="ar-SA"/>
        </w:rPr>
        <w:cr/>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annually recurring sums of $1,500 or $2,000 which he calculated at $32,236 to $42,982 based on Table 2 of the Columbia Pacific Consulting report (cost of future care multiplier). Counsel said that the plaintiff will regularly incur expenses for such items as medications, physical therapy, massage, chiropractic and physiotherapy treatments;</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plaintiff has surgery on her knee in the future she will require basic care, a wheelchair, knee brace, physical therapy treatments and medications costing her $10,000;</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one time expense of a 14 week conditioning program at a cost of $2,900 plus GST, or a 20 week program at a cost of $4,200 plus GST, according to the estimates of Mr. Rob Williams, a kinesiologist, of Mixx Co-Fitness Studio.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Defence counsel argued that the only medically recommended future care costs are those from Dr. Travlos, who recommended a three month conditioning program. He noted Mr. Williams' estimate for an intensive 14 week (3 1/2 month) conditioning program at a one time cost of $2,940. Counsel submitted that beyond this, none of the experts have recommended that the plaintiff attend regular ongoing physical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Counsel said that Dr. Travlos recommended the regular use of anti-inflammatory medications or alternatively glucosamine but that he had not recommended the use of any other prescription medication. If knee surgery is required in the future Dr. Travlos suggested that some physiotherapy would likely be required during the three to six month recovery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The parties have agreed on a figure of $2,700 for special damages. Defence counsel contended that if the plaintiff has incurred only this amount in the six years since the accident then her estimate of requiring $2,000 annually for future care costs has no basis in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Dr. Travlos recommended that the plaintiff take a concerted conditioning program over approximately three months. He also recommended that the plaintiff consider the use of regular anti-inflammatory medication to control arthritis of her knee and the use of a Generation II brace.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Dr. Watt recommended that the plaintiff be referred to an orthotist and a rheumatologist, that she take certain medications as well as treatments such as a stretching and strengthening program. He also explained that knee replacement requires a recuperation period of at least three to four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Thus, I find on the whole of the evidence that the plaintiff should receive an award of future care costs in the amount of $20,000, which amount, I think, is fair to address the plaintiff's requirements to take a conditioning program, regular recurring amounts for medication and physical treatments and expenses associated with her probable future knee surgery.</w:t>
      </w:r>
      <w:r>
        <w:rPr>
          <w:rFonts w:ascii="arial" w:eastAsia="arial" w:hAnsi="arial" w:cs="arial"/>
          <w:sz w:val="20"/>
          <w:lang w:val="en-US" w:eastAsia="en-US" w:bidi="ar-SA"/>
        </w:rPr>
        <w:cr/>
      </w:r>
    </w:p>
    <w:p>
      <w:pPr>
        <w:numPr>
          <w:numId w:val="2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In Trust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Schenkey, a psychiatric nurse, said she had no wish for any compensation for looking after the plaintiff. She explained that the plaintiff had been living with her elderly mother who was in no position to look after her so when the plaintiff was discharged after her surgery Schenkey took her to her home. She assisted the plaintiff to shower. The plaintiff was bedridden and used a walker and was in a wheelchair for the first part of her stay. She used a brace for her leg. Schenkey got a shower chair and the plaintiff used a hand held shower head. Schenkey assisted her to the toilet. The plaintiff was not able to cook or come to the meal table. Schenkey and her family members cooked meals and took them to the plaintiff. After a while the plaintiff was able to come to the table. At no time before the plaintiff left to move in with her older sister was she able to cook or walk without some assistance. The plaintiff could not put on makeup because she was in too much pain. Schenkey did the plaintiff's hair.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The plaintiff's sister rented a wheelchair for the plaintiff when the plaintiff moved to her home. The wheelchair became the plaintiff's principal mode of transportation. The plaintiff lived in the downstairs of the house where she had a bed, bathroom and television. The plaintiff's sister worked during the day and when she was at work her partner, who works from home, was available to assist the plaintiff. Initially she helped the plaintiff with getting to the toilet and bathing and cooked her meals. This went on for about two months, after which the plaintiff moved back to her mother's home. She said that the plaintiff would like to have compensated her but she had no money and after all the plaintiff was her sister so she looked after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Bystedt (Guardian ad litem of) v. Hay</w:t>
      </w:r>
      <w:r>
        <w:rPr>
          <w:rFonts w:ascii="arial" w:eastAsia="arial" w:hAnsi="arial" w:cs="arial"/>
          <w:color w:val="000000"/>
          <w:sz w:val="20"/>
          <w:lang w:val="en-US" w:eastAsia="en-US" w:bidi="ar-SA"/>
        </w:rPr>
        <w:t xml:space="preserve">, </w:t>
      </w:r>
      <w:hyperlink r:id="rId965" w:history="1">
        <w:r>
          <w:rPr>
            <w:rFonts w:ascii="arial" w:eastAsia="arial" w:hAnsi="arial" w:cs="arial"/>
            <w:i/>
            <w:color w:val="0077CC"/>
            <w:sz w:val="20"/>
            <w:u w:val="single"/>
            <w:shd w:val="clear" w:color="auto" w:fill="FFFFFF"/>
            <w:lang w:val="en-US" w:eastAsia="en-US" w:bidi="ar-SA"/>
          </w:rPr>
          <w:t>[2001] B.C.J. No. 2679</w:t>
        </w:r>
      </w:hyperlink>
      <w:r>
        <w:rPr>
          <w:rFonts w:ascii="arial" w:eastAsia="arial" w:hAnsi="arial" w:cs="arial"/>
          <w:color w:val="000000"/>
          <w:sz w:val="20"/>
          <w:lang w:val="en-US" w:eastAsia="en-US" w:bidi="ar-SA"/>
        </w:rPr>
        <w:t xml:space="preserve">, </w:t>
      </w:r>
      <w:hyperlink r:id="rId966" w:history="1">
        <w:r>
          <w:rPr>
            <w:rFonts w:ascii="arial" w:eastAsia="arial" w:hAnsi="arial" w:cs="arial"/>
            <w:i/>
            <w:color w:val="0077CC"/>
            <w:sz w:val="20"/>
            <w:u w:val="single"/>
            <w:shd w:val="clear" w:color="auto" w:fill="FFFFFF"/>
            <w:lang w:val="en-US" w:eastAsia="en-US" w:bidi="ar-SA"/>
          </w:rPr>
          <w:t>2001 BCSC 1735</w:t>
        </w:r>
      </w:hyperlink>
      <w:r>
        <w:rPr>
          <w:rFonts w:ascii="arial" w:eastAsia="arial" w:hAnsi="arial" w:cs="arial"/>
          <w:color w:val="000000"/>
          <w:sz w:val="20"/>
          <w:lang w:val="en-US" w:eastAsia="en-US" w:bidi="ar-SA"/>
        </w:rPr>
        <w:t xml:space="preserve">; aff'd, </w:t>
      </w:r>
      <w:hyperlink r:id="rId967" w:history="1">
        <w:r>
          <w:rPr>
            <w:rFonts w:ascii="arial" w:eastAsia="arial" w:hAnsi="arial" w:cs="arial"/>
            <w:i/>
            <w:color w:val="0077CC"/>
            <w:sz w:val="20"/>
            <w:u w:val="single"/>
            <w:shd w:val="clear" w:color="auto" w:fill="FFFFFF"/>
            <w:lang w:val="en-US" w:eastAsia="en-US" w:bidi="ar-SA"/>
          </w:rPr>
          <w:t>[2004] B.C.J. No. 401</w:t>
        </w:r>
      </w:hyperlink>
      <w:r>
        <w:rPr>
          <w:rFonts w:ascii="arial" w:eastAsia="arial" w:hAnsi="arial" w:cs="arial"/>
          <w:color w:val="000000"/>
          <w:sz w:val="20"/>
          <w:lang w:val="en-US" w:eastAsia="en-US" w:bidi="ar-SA"/>
        </w:rPr>
        <w:t xml:space="preserve">, </w:t>
      </w:r>
      <w:hyperlink r:id="rId967" w:history="1">
        <w:r>
          <w:rPr>
            <w:rFonts w:ascii="arial" w:eastAsia="arial" w:hAnsi="arial" w:cs="arial"/>
            <w:i/>
            <w:color w:val="0077CC"/>
            <w:sz w:val="20"/>
            <w:u w:val="single"/>
            <w:shd w:val="clear" w:color="auto" w:fill="FFFFFF"/>
            <w:lang w:val="en-US" w:eastAsia="en-US" w:bidi="ar-SA"/>
          </w:rPr>
          <w:t>2004 BCCA 124</w:t>
        </w:r>
      </w:hyperlink>
      <w:r>
        <w:rPr>
          <w:rFonts w:ascii="arial" w:eastAsia="arial" w:hAnsi="arial" w:cs="arial"/>
          <w:color w:val="000000"/>
          <w:sz w:val="20"/>
          <w:lang w:val="en-US" w:eastAsia="en-US" w:bidi="ar-SA"/>
        </w:rPr>
        <w:t>, D.M. Smith J. at paras. 178-180, summarizes the factors to be considered in the assessment of "in trust" claims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considerations to be applied in assessing compensation to third parties in personal injury claims were clarified in Crane v. Worwood </w:t>
      </w:r>
      <w:hyperlink r:id="rId968" w:history="1">
        <w:r>
          <w:rPr>
            <w:rFonts w:ascii="arial" w:eastAsia="arial" w:hAnsi="arial" w:cs="arial"/>
            <w:i/>
            <w:color w:val="0077CC"/>
            <w:sz w:val="20"/>
            <w:u w:val="single"/>
            <w:shd w:val="clear" w:color="auto" w:fill="FFFFFF"/>
            <w:lang w:val="en-US" w:eastAsia="en-US" w:bidi="ar-SA"/>
          </w:rPr>
          <w:t>(1992), 65 B.C.L.R. (2d) 16</w:t>
        </w:r>
      </w:hyperlink>
      <w:r>
        <w:rPr>
          <w:rFonts w:ascii="arial" w:eastAsia="arial" w:hAnsi="arial" w:cs="arial"/>
          <w:color w:val="000000"/>
          <w:sz w:val="20"/>
          <w:lang w:val="en-US" w:eastAsia="en-US" w:bidi="ar-SA"/>
        </w:rPr>
        <w:t xml:space="preserve"> (S.C.). Huddart J. (now J.A.) was faced with two contradictory Court of Appeal decisions that would have produced two different answers on the facts of the case: DeSousa v. Kuntz </w:t>
      </w:r>
      <w:hyperlink r:id="rId969" w:history="1">
        <w:r>
          <w:rPr>
            <w:rFonts w:ascii="arial" w:eastAsia="arial" w:hAnsi="arial" w:cs="arial"/>
            <w:i/>
            <w:color w:val="0077CC"/>
            <w:sz w:val="20"/>
            <w:u w:val="single"/>
            <w:shd w:val="clear" w:color="auto" w:fill="FFFFFF"/>
            <w:lang w:val="en-US" w:eastAsia="en-US" w:bidi="ar-SA"/>
          </w:rPr>
          <w:t>(1989), 42 B.C.L.R. (2d) 186</w:t>
        </w:r>
      </w:hyperlink>
      <w:r>
        <w:rPr>
          <w:rFonts w:ascii="arial" w:eastAsia="arial" w:hAnsi="arial" w:cs="arial"/>
          <w:color w:val="000000"/>
          <w:sz w:val="20"/>
          <w:lang w:val="en-US" w:eastAsia="en-US" w:bidi="ar-SA"/>
        </w:rPr>
        <w:t xml:space="preserve">, and Hall v. Miller </w:t>
      </w:r>
      <w:hyperlink r:id="rId970" w:history="1">
        <w:r>
          <w:rPr>
            <w:rFonts w:ascii="arial" w:eastAsia="arial" w:hAnsi="arial" w:cs="arial"/>
            <w:i/>
            <w:color w:val="0077CC"/>
            <w:sz w:val="20"/>
            <w:u w:val="single"/>
            <w:shd w:val="clear" w:color="auto" w:fill="FFFFFF"/>
            <w:lang w:val="en-US" w:eastAsia="en-US" w:bidi="ar-SA"/>
          </w:rPr>
          <w:t>(1989), 64 D.L.R. (4th) 369</w:t>
        </w:r>
      </w:hyperlink>
      <w:r>
        <w:rPr>
          <w:rFonts w:ascii="arial" w:eastAsia="arial" w:hAnsi="arial" w:cs="arial"/>
          <w:color w:val="000000"/>
          <w:sz w:val="20"/>
          <w:lang w:val="en-US" w:eastAsia="en-US" w:bidi="ar-SA"/>
        </w:rPr>
        <w:t>. She followed the latter, holding that an award may be made for services a spouse provides outside the normal range of duties and which would have to be done by a hired third party if the spouse did not perform them. The services need not be of a professional nature. The court will award the costs of reasonable care, which it held was the lower of the actual costs of care or the costs of a reasonable care giver.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change has been the subject of supportive comment in subsequent cases: see for example McCloskey v. Lymn </w:t>
      </w:r>
      <w:hyperlink r:id="rId971" w:history="1">
        <w:r>
          <w:rPr>
            <w:rFonts w:ascii="arial" w:eastAsia="arial" w:hAnsi="arial" w:cs="arial"/>
            <w:i/>
            <w:color w:val="0077CC"/>
            <w:sz w:val="20"/>
            <w:u w:val="single"/>
            <w:shd w:val="clear" w:color="auto" w:fill="FFFFFF"/>
            <w:lang w:val="en-US" w:eastAsia="en-US" w:bidi="ar-SA"/>
          </w:rPr>
          <w:t>(1996), 26 B.C.L.R. (3d) 118</w:t>
        </w:r>
      </w:hyperlink>
      <w:r>
        <w:rPr>
          <w:rFonts w:ascii="arial" w:eastAsia="arial" w:hAnsi="arial" w:cs="arial"/>
          <w:color w:val="000000"/>
          <w:sz w:val="20"/>
          <w:lang w:val="en-US" w:eastAsia="en-US" w:bidi="ar-SA"/>
        </w:rPr>
        <w:t xml:space="preserve"> (S.C.). The Court of Appeal has recognized a similar principle in Kroeker v. Jansen </w:t>
      </w:r>
      <w:hyperlink r:id="rId972" w:history="1">
        <w:r>
          <w:rPr>
            <w:rFonts w:ascii="arial" w:eastAsia="arial" w:hAnsi="arial" w:cs="arial"/>
            <w:i/>
            <w:color w:val="0077CC"/>
            <w:sz w:val="20"/>
            <w:u w:val="single"/>
            <w:shd w:val="clear" w:color="auto" w:fill="FFFFFF"/>
            <w:lang w:val="en-US" w:eastAsia="en-US" w:bidi="ar-SA"/>
          </w:rPr>
          <w:t>(1995), 4 B.C.L.R. (3d) 178</w:t>
        </w:r>
      </w:hyperlink>
      <w:r>
        <w:rPr>
          <w:rFonts w:ascii="arial" w:eastAsia="arial" w:hAnsi="arial" w:cs="arial"/>
          <w:color w:val="000000"/>
          <w:sz w:val="20"/>
          <w:lang w:val="en-US" w:eastAsia="en-US" w:bidi="ar-SA"/>
        </w:rPr>
        <w:t>. Kroeker was a decision of a five-member panel of the Court of Appeal and the leading authority on the subject of diminished housekeeping capacity. At page 183, Gibbs J.A. explained: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housekeeping and other spousal services have economic value for which a claim by an injured party will lie even where those services are replaced gratuitously from within the family.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a review of these authorities one can construct a summary of the factors to be considered in the assessment of "in trust" claims:</w:t>
      </w:r>
    </w:p>
    <w:p>
      <w:pPr>
        <w:numPr>
          <w:numId w:val="2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services provided must replace services necessary for the care of the plaintiff as a result of a plaintiff's injuries;</w:t>
      </w:r>
    </w:p>
    <w:p>
      <w:pPr>
        <w:numPr>
          <w:numId w:val="2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services are rendered by a family member, they must be over and above what would be expected from the family relationship (here, the normal care of an uninjured child);</w:t>
      </w:r>
    </w:p>
    <w:p>
      <w:pPr>
        <w:numPr>
          <w:numId w:val="2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maximum value of such services is the cost of obtaining the services outside the family;</w:t>
      </w:r>
    </w:p>
    <w:p>
      <w:pPr>
        <w:numPr>
          <w:numId w:val="2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opportunity cost to the care-giving family member is lower than the cost of obtaining the services independently, the court will award the lower amount;</w:t>
      </w:r>
    </w:p>
    <w:p>
      <w:pPr>
        <w:numPr>
          <w:numId w:val="2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quantification should reflect the true and reasonable value of the services performed taking into account the time, quality and nature of those services. In this regard, the damages should reflect the wage of a substitute caregiver. There should not be a discounting or undervaluation of such services because of the nature of the relationship; and,</w:t>
      </w:r>
    </w:p>
    <w:p>
      <w:pPr>
        <w:numPr>
          <w:numId w:val="2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family members providing the services need not forego other income and there need not be payment for the services rendered.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Plaintiff's counsel submitted that the test for making an "in trust" award was easily satisfied in the case at bar. He argued that the plaintiff's claim was different from most similar cases where ICBC, or another first party insurer, supplied at least a basic level of safety-net benefits. Here, the plaintiff had no resources and no insurance policy, so she was forced to rely on the care of friends and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The duration of the care involved is approximately three months. For the first month following the accident the plaintiff stayed in the home of Schenkey's parents and was looked after by Schenkey and her immediate family members. Counsel submitted that there was no familial obligation upon Schenkey to assume the care of the plaintiff. The other two months the plaintiff was cared for by her older sister at her home in Maple Ridge. Counsel said that in each case the care provided to the plaintiff involved toileting, bathing, transfer from wheelchair to shower and toilet, laundry, cooking and feeding and taking the plaintiff to visit her healthcare providers.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Counsel submitted that it would be appropriate to award the plaintiff a lump sum and leave it to the plaintiff to reimburse her sister for the expenses she incurred in connection with the care she provided to the plaintiff. Moreover, he submitted that Schenkey is entitled to be reimbursed notwithstanding the fact that in her testimony she waived any claim. Counsel said that her waiver should not benefit the defendants who caused the plaintiff's injury and that the entire award, therefore, should be payable to the plaintiff in trust for her sister. He said that to hold otherwise would allow the defendants to benefit from the plaintiff's injury. Counsel submitted that in all of the circumstances, and guided by the authorities, $15,000 would be an appropriate award: See </w:t>
      </w:r>
      <w:r>
        <w:rPr>
          <w:rFonts w:ascii="arial" w:eastAsia="arial" w:hAnsi="arial" w:cs="arial"/>
          <w:b/>
          <w:i/>
          <w:color w:val="000000"/>
          <w:sz w:val="20"/>
          <w:lang w:val="en-US" w:eastAsia="en-US" w:bidi="ar-SA"/>
        </w:rPr>
        <w:t>Green v. Wilson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Ha v. Fritzke</w:t>
      </w:r>
      <w:r>
        <w:rPr>
          <w:rFonts w:ascii="arial" w:eastAsia="arial" w:hAnsi="arial" w:cs="arial"/>
          <w:color w:val="000000"/>
          <w:sz w:val="20"/>
          <w:lang w:val="en-US" w:eastAsia="en-US" w:bidi="ar-SA"/>
        </w:rPr>
        <w:t xml:space="preserve">, </w:t>
      </w:r>
      <w:hyperlink r:id="rId973" w:history="1">
        <w:r>
          <w:rPr>
            <w:rFonts w:ascii="arial" w:eastAsia="arial" w:hAnsi="arial" w:cs="arial"/>
            <w:i/>
            <w:color w:val="0077CC"/>
            <w:sz w:val="20"/>
            <w:u w:val="single"/>
            <w:shd w:val="clear" w:color="auto" w:fill="FFFFFF"/>
            <w:lang w:val="en-US" w:eastAsia="en-US" w:bidi="ar-SA"/>
          </w:rPr>
          <w:t>[1999] B.C.J. No. 2711</w:t>
        </w:r>
      </w:hyperlink>
      <w:r>
        <w:rPr>
          <w:rFonts w:ascii="arial" w:eastAsia="arial" w:hAnsi="arial" w:cs="arial"/>
          <w:color w:val="000000"/>
          <w:sz w:val="20"/>
          <w:lang w:val="en-US" w:eastAsia="en-US" w:bidi="ar-SA"/>
        </w:rPr>
        <w:t xml:space="preserve">, </w:t>
      </w:r>
      <w:hyperlink r:id="rId973" w:history="1">
        <w:r>
          <w:rPr>
            <w:rFonts w:ascii="arial" w:eastAsia="arial" w:hAnsi="arial" w:cs="arial"/>
            <w:i/>
            <w:color w:val="0077CC"/>
            <w:sz w:val="20"/>
            <w:u w:val="single"/>
            <w:shd w:val="clear" w:color="auto" w:fill="FFFFFF"/>
            <w:lang w:val="en-US" w:eastAsia="en-US" w:bidi="ar-SA"/>
          </w:rPr>
          <w:t>1999 BCCA 667</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Tardif v. Wiebe</w:t>
      </w:r>
      <w:r>
        <w:rPr>
          <w:rFonts w:ascii="arial" w:eastAsia="arial" w:hAnsi="arial" w:cs="arial"/>
          <w:color w:val="000000"/>
          <w:sz w:val="20"/>
          <w:lang w:val="en-US" w:eastAsia="en-US" w:bidi="ar-SA"/>
        </w:rPr>
        <w:t xml:space="preserve">, </w:t>
      </w:r>
      <w:hyperlink r:id="rId974" w:history="1">
        <w:r>
          <w:rPr>
            <w:rFonts w:ascii="arial" w:eastAsia="arial" w:hAnsi="arial" w:cs="arial"/>
            <w:i/>
            <w:color w:val="0077CC"/>
            <w:sz w:val="20"/>
            <w:u w:val="single"/>
            <w:shd w:val="clear" w:color="auto" w:fill="FFFFFF"/>
            <w:lang w:val="en-US" w:eastAsia="en-US" w:bidi="ar-SA"/>
          </w:rPr>
          <w:t>[1996] B.C.J. No. 2254</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xml:space="preserve">  I disagree with the plaintiff's position. First, in </w:t>
      </w:r>
      <w:r>
        <w:rPr>
          <w:rFonts w:ascii="arial" w:eastAsia="arial" w:hAnsi="arial" w:cs="arial"/>
          <w:b/>
          <w:i/>
          <w:color w:val="000000"/>
          <w:sz w:val="20"/>
          <w:lang w:val="en-US" w:eastAsia="en-US" w:bidi="ar-SA"/>
        </w:rPr>
        <w:t>Tardif</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Ha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the plaintiffs sustained serious head injuries involving considerable homecare assistance from a girlfriend in </w:t>
      </w:r>
      <w:r>
        <w:rPr>
          <w:rFonts w:ascii="arial" w:eastAsia="arial" w:hAnsi="arial" w:cs="arial"/>
          <w:b/>
          <w:i/>
          <w:color w:val="000000"/>
          <w:sz w:val="20"/>
          <w:lang w:val="en-US" w:eastAsia="en-US" w:bidi="ar-SA"/>
        </w:rPr>
        <w:t>Tardif,</w:t>
      </w:r>
      <w:r>
        <w:rPr>
          <w:rFonts w:ascii="arial" w:eastAsia="arial" w:hAnsi="arial" w:cs="arial"/>
          <w:i/>
          <w:color w:val="000000"/>
          <w:sz w:val="20"/>
          <w:lang w:val="en-US" w:eastAsia="en-US" w:bidi="ar-SA"/>
        </w:rPr>
        <w:t xml:space="preserve"> supra</w:t>
      </w:r>
      <w:r>
        <w:rPr>
          <w:rFonts w:ascii="arial" w:eastAsia="arial" w:hAnsi="arial" w:cs="arial"/>
          <w:color w:val="000000"/>
          <w:sz w:val="20"/>
          <w:lang w:val="en-US" w:eastAsia="en-US" w:bidi="ar-SA"/>
        </w:rPr>
        <w:t xml:space="preserve">, and from a son in </w:t>
      </w:r>
      <w:r>
        <w:rPr>
          <w:rFonts w:ascii="arial" w:eastAsia="arial" w:hAnsi="arial" w:cs="arial"/>
          <w:b/>
          <w:i/>
          <w:color w:val="000000"/>
          <w:sz w:val="20"/>
          <w:lang w:val="en-US" w:eastAsia="en-US" w:bidi="ar-SA"/>
        </w:rPr>
        <w:t>Ha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I do not think these cases can be used as support for the plaintiff in the case at bar as the injuries in those cases clearly involved services that were over and above what would be expected from a family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xml:space="preserve">  A case which is closer to the facts in the instant case is </w:t>
      </w:r>
      <w:r>
        <w:rPr>
          <w:rFonts w:ascii="arial" w:eastAsia="arial" w:hAnsi="arial" w:cs="arial"/>
          <w:b/>
          <w:i/>
          <w:color w:val="000000"/>
          <w:sz w:val="20"/>
          <w:lang w:val="en-US" w:eastAsia="en-US" w:bidi="ar-SA"/>
        </w:rPr>
        <w:t>Graham v. Kada</w:t>
      </w:r>
      <w:r>
        <w:rPr>
          <w:rFonts w:ascii="arial" w:eastAsia="arial" w:hAnsi="arial" w:cs="arial"/>
          <w:color w:val="000000"/>
          <w:sz w:val="20"/>
          <w:lang w:val="en-US" w:eastAsia="en-US" w:bidi="ar-SA"/>
        </w:rPr>
        <w:t xml:space="preserve">, </w:t>
      </w:r>
      <w:hyperlink r:id="rId975" w:history="1">
        <w:r>
          <w:rPr>
            <w:rFonts w:ascii="arial" w:eastAsia="arial" w:hAnsi="arial" w:cs="arial"/>
            <w:i/>
            <w:color w:val="0077CC"/>
            <w:sz w:val="20"/>
            <w:u w:val="single"/>
            <w:shd w:val="clear" w:color="auto" w:fill="FFFFFF"/>
            <w:lang w:val="en-US" w:eastAsia="en-US" w:bidi="ar-SA"/>
          </w:rPr>
          <w:t>[1993] B.C.J. No. 171</w:t>
        </w:r>
      </w:hyperlink>
      <w:r>
        <w:rPr>
          <w:rFonts w:ascii="arial" w:eastAsia="arial" w:hAnsi="arial" w:cs="arial"/>
          <w:color w:val="000000"/>
          <w:sz w:val="20"/>
          <w:lang w:val="en-US" w:eastAsia="en-US" w:bidi="ar-SA"/>
        </w:rPr>
        <w:t xml:space="preserve"> (S.C.), where the plaintiff's injuries included a fractured ankle and a cracked sternum and rib. Her family performed housekeeping tasks during the period she was unable to perform them herself due to her injuries, as well as providing services to her in the nature of personal care which included bathing and washing her hair. At paras. 43 - 44 Clancy J. states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then, compensation for housekeeping services provided prior to trial is by way of non-pecuniary damages where no payment for the service has been made by the plaintiff and, where payment has been made, by way of the usual order for special damages. In neither case will the award be made "in trust". An "in trust" award may be made for compensation for services provided in the nature of personal care if those services are of a kind that is above and beyond the type of service undertaken by friends and relatives out of love, friendship or family duty.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Mrs. Graham's loss of housekeeping ability I have taken into account her recovery of her wage loss and included an award of $2,000 in the assessment of her non-pecuniary damages. I decline to make an award for personal care services provided to her. The services provided by her family were only those which would be expected within a caring family relationship. The plaintiff's claim for an award for special damages "in trust"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In my opinion, the plaintiff's "in trust" claim is not supported by the evidence and I find that the services provided by Schenkey and the plaintiff's sister do not fall within the test for making an "in trust" award. Thus, her claim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V.</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Conclusion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In the result, the plaintiff shall receive an award for damages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2"/>
        <w:gridCol w:w="419"/>
        <w:gridCol w:w="3136"/>
        <w:gridCol w:w="2300"/>
        <w:gridCol w:w="365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General Damages</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$110,000</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4182"/>
        <w:gridCol w:w="1255"/>
        <w:gridCol w:w="365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Future Earning Capacity</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$100,000</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3241"/>
        <w:gridCol w:w="2195"/>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Care Costs</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$ 20,000</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2"/>
        <w:gridCol w:w="419"/>
        <w:gridCol w:w="3136"/>
        <w:gridCol w:w="1359"/>
        <w:gridCol w:w="941"/>
        <w:gridCol w:w="365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2,700</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2404"/>
        <w:gridCol w:w="3033"/>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35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297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$232,700</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xml:space="preserve">  The above amounts shall be reduced by 25% to account for the finding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COHEN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5" style="position:absolute;z-index:2518056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76"/>
          <w:headerReference w:type="default" r:id="rId977"/>
          <w:footerReference w:type="even" r:id="rId978"/>
          <w:footerReference w:type="default" r:id="rId979"/>
          <w:headerReference w:type="first" r:id="rId980"/>
          <w:footerReference w:type="first" r:id="rId98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82" w:history="1">
        <w:r>
          <w:rPr>
            <w:rFonts w:ascii="arial" w:eastAsia="arial" w:hAnsi="arial" w:cs="arial"/>
            <w:b/>
            <w:bCs/>
            <w:i/>
            <w:color w:val="0077CC"/>
            <w:kern w:val="32"/>
            <w:sz w:val="28"/>
            <w:szCs w:val="32"/>
            <w:u w:val="single"/>
            <w:shd w:val="clear" w:color="auto" w:fill="FFFFFF"/>
            <w:lang w:val="en-US" w:eastAsia="en-US" w:bidi="ar-SA"/>
          </w:rPr>
          <w:t>Ferguson v. Brown, [2015] B.C.J. No. 1964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L.D. Russell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24-26,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14,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M134644, M136266, M142723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1964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1638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Connor Ferguson, Plaintiffs, and Donald C. Brown, Siemens Canada Ltd., Wheels Leasing Canada Ltd., Manfred G. Trupke and Solomon Kennedy, Defendants And between Brittany Werner, Plaintiff, and Donald C. Brown, Siemens Canada Limited, Wheels Leasing Canada Ltd., Manfred G Trupke and Solomon B. Kennedy, Defendants And between Danielle Werner, Plaintiff, and Solomon B. Kennedy,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(143 paras.)</w:t>
      </w:r>
    </w:p>
    <w:p>
      <w:pPr>
        <w:jc w:val="both"/>
        <w:rPr>
          <w:rFonts w:ascii="arial" w:eastAsia="arial" w:hAnsi="arial" w:cs="arial"/>
          <w:sz w:val="20"/>
          <w:lang w:val="en-US" w:eastAsia="en-US" w:bidi="ar-SA"/>
        </w:rPr>
      </w:pPr>
      <w:bookmarkStart w:id="206" w:name="Counsel_44"/>
      <w:bookmarkEnd w:id="20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6" style="position:absolute;z-index:2517043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Plaintiffs Connor Ferguson and Brittany Werner: Nancy Wilhelm-Morden, Karen Emond.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Plaintiff Danielle Werner: Britni Troy.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Solomon Kennedy: Kisa MacDonald.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07" w:name="Judgment_44"/>
      <w:bookmarkEnd w:id="207"/>
      <w:r>
        <w:pict>
          <v:line id="_x0000_s1187" style="position:absolute;z-index:25175552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8" w:name="L.D. RUSSELL J."/>
            <w:bookmarkEnd w:id="208"/>
            <w:r>
              <w:rPr>
                <w:rFonts w:ascii="arial" w:eastAsia="arial" w:hAnsi="arial" w:cs="arial"/>
                <w:b/>
                <w:color w:val="000000"/>
                <w:sz w:val="30"/>
                <w:lang w:val="en-US" w:eastAsia="en-US" w:bidi="ar-SA"/>
              </w:rPr>
              <w:t>L.D. RUSSELL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trial arises from an accident that occurred on the North Morris Valley Road also known as the Weaver Creek Road (the "Road") near Agassiz, British Columbia on May 19, 2012 (the "Accident"). It was brought as fast-track litigation subject to Rule 15-1 of the </w:t>
      </w:r>
      <w:r>
        <w:rPr>
          <w:rFonts w:ascii="arial" w:eastAsia="arial" w:hAnsi="arial" w:cs="arial"/>
          <w:i/>
          <w:color w:val="000000"/>
          <w:sz w:val="20"/>
          <w:lang w:val="en-US" w:eastAsia="en-US" w:bidi="ar-SA"/>
        </w:rPr>
        <w:t>Supreme Court Civil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trial only concerns liability. The plaintiffs seek the attribution of fault to the defendant Solomon Kennedy. Mr. Kennedy seeks apportionment of fault between him and the plaintiff Connor Ferguson. The defendant concedes some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his part but says that Mr. Ferguson's failure to avoid the Accident should result in some apportionment of fault. The defendant says liability should be divided either 50/50 or failing that determination, 75/25 in favour of the plaintiff Ferguson.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Before the trial, Mr. Kennedy withdrew his counterclaim against Mr. Ferguson. He also admitted there was no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plaintiffs Brittany Werner and Danielle Werner, who were the passengers in Mr. Ferguson's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day of the Accident was a sunny, clear spring day. Mr. Ferguson was driving his then fiancée's father's 1999 Jeep TJ. Brittany Werner was in the front seat and Danielle Werner was in the back seat. All of the occupants were wearing their seatbelts.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Ferguson and the Werners were travelling toward a campground where they planned to meet some friends for the weekend. About two hours after they left their homes in Tsawwassen, they turned onto the Road near Agassiz, and proceeded northward.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Road is a mountain road. There do not seem to have been speed limits posted on it. It winds somewhat and has both up and down grades. The Accident occurred along a straight stretch.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Road is a two-lane road without a centre line. It can accommodate two cars passing in opposite directions without difficulty. The surface of the Road is well-travelled, but there is little in the way of a shoulder. What shoulder there is contains gravel with large stones on top of a slight downslope for drainage.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To the right of the Road on both sides there is a substantial upslope covered with brush and trees. The slope on the southbound side of the Road is more substantial in the area of the Accident than it appears to be on the northbound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Ferguson had driven the Road at least once or twice before but he was proceeding cautiously. This was no doubt partly due to the nature of the Road, and partly due to the fact he was driving his future father-in-law's car. Several vehicles had passed the Jeep heading south.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At the approximately 11 km mark, the Ferguson party noticed an oncoming reddish SUV or truck travelling southbound (the "Red Truck"). The Red Truck was travelling quickly, but there was room for it to pass the Ferguson party safely on the southbound side of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Red Truck had just passed the car behind it, a 1995 Mazda Precidia. As it passed, it kicked up a dust cloud. The Mazda became visible to the occupants of the Jeep as soon as the Red Truck had passed.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Mazda seemed to the occupants of the Jeep to be over the centre of the road. Almost immediately, Mr. Ferguson realized the Mazda would not be able to pull back into its lane in time to avoid the Jeep. He braked hard and the Jeep came to a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two cars hit, and both vehicles sustained damage to the left front driver's side. The Jeep, a much sturdier vehicle than the Mazda, fared somewhat better with damage confined to its front bumper and left fender. The Jeep's bumper was pushed back and wrapped around the left front tire. The tire itself was intact. The damage to the Jeep was estimated at about $3,300.00.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Mazda was badly damaged and lost its left front headlight, the corner of the left front bumper, and quarter panel. What was likely the quarter panel was underneath the driver's side of the Mazda. Sometime later that piece of the Mazda was moved off the road and onto the rocky shoulder in front of the Jeep. The Mazda was written off as the cost of repairs would have exceeded its value of $500.00 (as estimated by Mr. Kennedy).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Fortunately, there were no serious injuries and the parties were able to get out of their vehicle after the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After determining that everyone was in one piece, there was a brief exchange between the drivers.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According to Mr. Ferguson and to Brittany and Danielle Werner, Mr. Kennedy said something about both drivers being at fault "50/50". Mr. Ferguson was sufficiently annoyed at Mr. Kennedy's assessment of what Mr. Ferguson believed was an accident totally caused by Mr. Kennedy that he did not continue the conversation.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Kennedy denies "discussing liability, or insurance services" at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There was patchy cellular service available and one of the parties called the police. A lone RCMP officer arrived, proceeding southbound along the Road. The officer determined there were no injuries and that the parties had exchanged the necessary information. His accident report was tendered as an exhibit, but it is of no use to the question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Immediately after the Accident, Mr. Ferguson instructed Brittany Werner to use his camera to take pictures of the site. She took 63 photos. They were marked as exhibits in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Brittany Werner testified that in almost every one of her photographs, neither of the cars had been moved from the positions they were in immediately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At some point, the parties decided they should move the Mazda as if it were left where it landed after the impact, it would pose a hazard by blocking the Road. Since neither car could be driven, the Mazda had to be pushed to the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Subsequently, a tow truck arrived. The driver was able to pull the Jeep bumper out so that the left front tire was released and the Jeep was once again drivable.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Ferguson party carried on to the campground. They camped for the night and returned home the following day, a Sunday.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Kennedy had to wait four hours for a tow truck for his Mazda.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sole question is whether the Accident was caused solely by Mr. Kennedy's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or whether liability should be apportioned between Mr. Ferguson and Mr. Kennedy.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All three occupants of the Jeep driven by Mr. Ferguson gave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Brittany Werner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Brittany Werner has had a BC Driver's License since she was 16. She is currently 28 years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She testified that her father's Jeep was in good shape. Mr. Ferguson had driven it a number of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She was in the front passenger seat and her sister, Danielle Werner, was in the back seat. Both were wearing their seatbelts.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They had no deadline to meet at the campsite so were in no hurry on the dusty, firm, dirt Road. There were not too many potholes to slow their progress.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Brittany Werner recalls that there was occasional oncoming traffic on the Road that morning. She stated that they were cautious passing oncoming cars and slowed but did not stop. There is no clear centre line on the Road, but it is common sense to keep to the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Brittany Werner recalls that they were travelling along a straight stretch of the Road with good visibility at the point of the Accident. She saw the Red Truck approaching at what seemed to be a high speed. There was a cloud of dust behind it and as the dust dissipated, she saw a small car that had been behind the oncoming Red Truck. She later learned the small car was a Mazda driven by the defendant, Solomon Kennedy.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To Brittany Werner, the small car appeared to be moving at some speed. It also seemed to her to be outside its lane, and heading for the Jeep.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To her recollection, Mr. Ferguson did not turn the wheel in response to seeing the Mazda. She believes they were well within their lane of travel and there was only about one foot of loose gravel and rocks between them as a form of "shoulder" before the upslope.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She recalls that Mr. Ferguson honked his horn and braked. The Jeep was stopped at the point of impact with the small car. The small car began to slide towards them. She realized the small car was going to hit the Jeep, braced herself and then felt the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Post-impact, Brittany Werner exited the Jeep, heard Mr. Ferguson talking to Mr. Kennedy and heard Mr. Kennedy make a comment about fault being "50/50".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Ferguson directed her to get his camera and take pictures of the scene. Brittany Werner took 63 pictures, most of which were taken before either vehicle was moved. She believed taking the photos was a sensible step to take since there were no independent witnesses at the scene. The driver of the Red Truck did not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She stated that both vehicles were in the position they were in immediately following impact until sometime later when the Mazda was rolled to a position in front of the Jeep to reduce the risk to other vehicles attempting to 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Ms. Brittany Werner was clear and direct in her evidence. She answered the questions put to her and indicated what she could not recall.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Connor Ferguson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Ferguson described himself as a confident but careful driver. He was wearing his seatbelt the day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Ferguson had driven the Jeep several times before the day of the Accident. His own car is an old Mercedes, and he did not believe it was suitable to drive on the Road. He had his future father-in-law's permission to use the Jeep.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Jeep was in good mechanical condition. It has a 4 X 4 capability, but Mr. Ferguson was not using it that day. Mr. Ferguson explained that the road was dry, and he was travelling at a reduced speed so he did not require the extra traction resulting from the 4 X 4 setting.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According to Mr. Ferguson, the Road is mostly flat, but with some hills. It winds because it is a mountain road. He stated that it is easily wide enough for two cars to pass safely. In the course of travel northbound on the Road that day, a few oncoming cars went past him. He did not have to stop to allow them to 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Ferguson recalled seeing the Red Truck approaching, but could not recall his speed at the time. The dust cloud caused by the Red Truck passing the Mazda did not obscure Mr. Ferguson's vision. The sun was behind Mr. Ferguson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As the Red Truck passed the Jeep, he saw the Mazda. It was his immediate impression that the Mazda was trying to see if there was room to pass the Red Truck and for that purpose, had pulled over into the centre of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On seeing the Mazda, Mr. Ferguson believes he pulled over slightly at first, then moved over more and braked. He pulled over to the right as far as he felt he safely could. He was concerned about losing control if his right wheels became caught in the loose gravel and large rocks in the drainage area to the right of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Although the Jeep's tires appear to be turned to the right at its resting place following impact, Mr. Ferguson believes that must have been caused by the impact because he braked in a straight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Ferguson is clear that he was safely within his lane of travel and Mr. Kennedy crossed over the centre line into his lane, resulting in the collision. He points out that he did not have to move over for the oncoming SUV/truck as it passed.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After the impact, Mr. Ferguson heard Mr. Kennedy say that the Accident "just happened" and that they "couldn't see each other". Mr. Ferguson felt this was an inaccurate description of what had happened and after exchanging necessary information, he stopped talking to Mr. Kennedy.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RCMP officer who attended the site called for a tow truck using a radio. He did not take any measurements.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found Mr. Ferguson to be a credible witness who admitted what he could not recall and did not exaggerate or embellish his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Danielle Werner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Danielle Werner's evidence was consistent with that of her sister and Mr. Ferguson.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She was sitting in the back seat of the Jeep on a bench seat that supported her back to her shoulders.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She remembers that the Accident occurred on a straightaway with a curve coming up. She corroborates that the Jeep was stopped at the time of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Danielle Werner's recollection is of seeing the Red Truck approaching slightly towards the centre of the Road. It passed, the Mazda appeared behind it moving towards the Jeep over the centre of the Road, "on our side". She saw the Mazda would hit the Jeep and that it was sliding and out of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Danielle Werner expected the impact but suffered a minor concussion when the vehicles collided, as she hit her head and then a wine bottle hit her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She confirmed that the cars bounced off one another and came to rest as shown in the photographs.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After the Accident one vehicle stopped to ask if everyone was OK. The cars were not yet moved out of their post-impact position and there was room on the Mazda's side of the Road for the car to 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She did not speak at all to Mr. Kennedy after she heard him make the comment about fault being 50/50.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accept Danielle Werner's evidence. It was clear and responsive.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plaintiffs retained Mr. Bradley Heinrichs, P.Eng., M.Sc., of MEA Forensic Engineers and Scientists. He gave evidence as a Professional Engineer specializing in accident reconstruction.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Heinrichs did not visit the scene, but relied on the photographs taken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He began by determining how the vehicles collided, determined the "energy" with which they hit to compare the damage each suffered and to try to estimate the speed they were going just before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He used a computer software program to "scale" the photos he relied on, that is, to determine through the use of the software the measurements of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He used the known measurements of both cars taken from a Transport Canada database to determine their width in relation to the width of the Road he had estimated from the photographs.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There were no other measurements of the Road taken by the parties or the RCMP officer who attended.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Therefore we are left with Mr. Heinrichs' computer-simulated "measurements".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He came to the following conclusions (at page 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the assumptions and analysis detailed in this report:</w:t>
      </w:r>
    </w:p>
    <w:p>
      <w:pPr>
        <w:numPr>
          <w:numId w:val="1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Ferguson Jeep was on its half of the road at impact.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Kennedy Mazda was at least partly into the Jeep's lane at impact.</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Ferguson Jeep was either aligned with its lane or angled towards the right edge of its lane at impact.</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Kennedy Mazda was probably angled back towards its own lane at impact.</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Ferguson Jeep was travelling between 0 and 16 km/h at impact.</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Kennedy Mazda was travelling between 24 and 32 km/h at impact.</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Mazda's angle at impact indicates that it was probably re-entering its lane from the oncoming lane.</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Jeep's angle at impact indicates that it was either aligned with the road or moving to its right from a central position.</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nothing in the provided materials to confirm or refute pre-impact braking by either vehicle. The vehicles were braked from impact to 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take no issue with Mr. Heinrichs' report. But it does suffer from the reality that he has no actual measurements of the site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I also note that an expert report may be accepted or rejected by a judge or jury as seen fit: </w:t>
      </w:r>
      <w:r>
        <w:rPr>
          <w:rFonts w:ascii="arial" w:eastAsia="arial" w:hAnsi="arial" w:cs="arial"/>
          <w:i/>
          <w:color w:val="000000"/>
          <w:sz w:val="20"/>
          <w:lang w:val="en-US" w:eastAsia="en-US" w:bidi="ar-SA"/>
        </w:rPr>
        <w:t>R. v. Abbey,</w:t>
      </w:r>
      <w:r>
        <w:rPr>
          <w:rFonts w:ascii="arial" w:eastAsia="arial" w:hAnsi="arial" w:cs="arial"/>
          <w:color w:val="000000"/>
          <w:sz w:val="20"/>
          <w:lang w:val="en-US" w:eastAsia="en-US" w:bidi="ar-SA"/>
        </w:rPr>
        <w:t xml:space="preserve"> </w:t>
      </w:r>
      <w:hyperlink r:id="rId983" w:history="1">
        <w:r>
          <w:rPr>
            <w:rFonts w:ascii="arial" w:eastAsia="arial" w:hAnsi="arial" w:cs="arial"/>
            <w:i/>
            <w:color w:val="0077CC"/>
            <w:sz w:val="20"/>
            <w:u w:val="single"/>
            <w:shd w:val="clear" w:color="auto" w:fill="FFFFFF"/>
            <w:lang w:val="en-US" w:eastAsia="en-US" w:bidi="ar-SA"/>
          </w:rPr>
          <w:t>[1982] 2 S.C.R. 24</w:t>
        </w:r>
      </w:hyperlink>
      <w:r>
        <w:rPr>
          <w:rFonts w:ascii="arial" w:eastAsia="arial" w:hAnsi="arial" w:cs="arial"/>
          <w:color w:val="000000"/>
          <w:sz w:val="20"/>
          <w:lang w:val="en-US" w:eastAsia="en-US" w:bidi="ar-SA"/>
        </w:rPr>
        <w:t xml:space="preserve"> at p.43. I note that while the employment of an accident reconstruction expert is prudent and advisable in many cases, others do not require such reports to determine what may have happened: </w:t>
      </w:r>
      <w:r>
        <w:rPr>
          <w:rFonts w:ascii="arial" w:eastAsia="arial" w:hAnsi="arial" w:cs="arial"/>
          <w:i/>
          <w:color w:val="000000"/>
          <w:sz w:val="20"/>
          <w:lang w:val="en-US" w:eastAsia="en-US" w:bidi="ar-SA"/>
        </w:rPr>
        <w:t>Fung v. Berkun</w:t>
      </w:r>
      <w:r>
        <w:rPr>
          <w:rFonts w:ascii="arial" w:eastAsia="arial" w:hAnsi="arial" w:cs="arial"/>
          <w:color w:val="000000"/>
          <w:sz w:val="20"/>
          <w:lang w:val="en-US" w:eastAsia="en-US" w:bidi="ar-SA"/>
        </w:rPr>
        <w:t xml:space="preserve"> </w:t>
      </w:r>
      <w:hyperlink r:id="rId615" w:history="1">
        <w:r>
          <w:rPr>
            <w:rFonts w:ascii="arial" w:eastAsia="arial" w:hAnsi="arial" w:cs="arial"/>
            <w:i/>
            <w:color w:val="0077CC"/>
            <w:sz w:val="20"/>
            <w:u w:val="single"/>
            <w:shd w:val="clear" w:color="auto" w:fill="FFFFFF"/>
            <w:lang w:val="en-US" w:eastAsia="en-US" w:bidi="ar-SA"/>
          </w:rPr>
          <w:t>(1982), 36 B.C.L.R. 352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this case, where there are no complex questions around damages or causation of injuries, I am able to determine liability from the evidence of the parties and the photographic exhibits without reference to the expert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Defendant Solomon Kennedy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Solomon Kennedy lives in Vancouver, where he works in the film industry as an actor. He had held a full BC Driver's License for approximately 6 years and a graduated License for 10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car he was driving the day of the Accident was a 1995 4-cylinder, front wheel drive, manual, Mazda Precidia. The Mazda is a small coupe very low to the ground and Mr. Kennedy estimates that his eye level in it is about 3 feet off the ground. His car did not have ABS braking capability. Mr. Kennedy had owned the car for three or four years, and stated that it was in good mechanical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Kennedy's passenger was Ms. Paru Kavia, a new companion of approximately six months. He wished to take her on an adventure in the wilderness that weekend, a novel experience for her as an ex-Londoner.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Kennedy and Ms. Kavia were returning from a night at the Twenty Mile Bay campsite on the northwest side of Harrison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Kennedy stated that the Road has twists and turns and various grades and some washed-out areas. He believes that it is a logging road used by trucks. When he was asked if he had seen logging trucks on the Road, he said he thought he saw some at the entrance to the Road, and that a native band controls access to the Road. He conceded he did not see any logging trucks on the Road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his direct testimony, Mr. Kennedy stated he has driven the Road a half dozen times to go camping, so he was "semi-familiar" with it. In cross-examination, he said he had driven it maybe a couple of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He and Ms. Kavia headed up the Road with their camping gear the night before following dinner. They did not have watches but he estimated it was 6:00 or 7:00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That first night, there was some traffic on the Road, mostly heading in the same direction that he was. Mr. Kennedy conceded that the other vehicles he mostly saw were better equipped for the Road than his was. Some cars passed him since he was not going very fast as his car was not an off-road vehicle. As he expressed it, he was trying to keep his girlfriend calm.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He did not believe there was a lot of space to pass, particularly taking into account the potholes and puddles on the Road. He stated there was room to pass, but generally drivers waited to get to a wider portion of the Road. Mr. Kennedy described some drivers as "rowdies" who would pass anywhere.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When he got to the campsite, he found, as he put it, a "plethora" of kids partying - a "mêlée", in his words. He and Ms. Kavia hiked away from the crowd but they could not escape the noise caused by rowdy kids celebrating graduation.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Mr. Kennedy was trying to salvage his weekend with his new companion. The campsite was noisy and not what he had planned for a wilderness weekend. He wanted to get Ms. Kavia out before her frustration with the noisy, drunk kids set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Mr. Kennedy and Ms. Kavia got up with the sun, made breakfast and decided to leave for home. As they left, there were All-Terrain Vehicles ("ATVs") on the Road: "that certain segment of the population that likes big loud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In Mr. Kennedy's estimation, The Road between the campsite and the highway takes about 40 minutes. He thinks the Accident happened about 30 minutes en route, at about 10:00 a.m. Both of them were wearing their seatbelts. He recalls passing a mile marker on the left side of the road just before the Accident occurred. He says the Accident happened on an "uphill climb" but later called it just a slight incline.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Just before the Accident, Mr. Kennedy was driving ahead of a Dodge Ram. He could not recall its make, model or colour. But he was close enough to see it was lifted, had mag wheels and to note the insignia and that the truck did not have a canopy. This was the vehicle the plaintiffs described as the SUV/truck, and which I have called the "Red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Mr. Kennedy took his foot off the accelerator to allow the Red Truck to pass him, since his four-cylinder car was struggling to maintain its speed on the Road. He did not need to brake to lose speed and stated he was barely in second gear, although he is not certain he had geared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Mr. Kennedy was well into the straightaway when the Red Truck passed him, leaving a rooster tail of dust behind. He says he had "zero visibility" for a couple of seconds after he was passed and the Red Truck pulled back into his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He estimated that the Red Truck was travelling at least 30-50 km per hour and was unimpeded by the slight incline. Mr. Kennedy had slowed from about 30 km per hour to about 10 km per hour to allow the truck to pass, then he accelerated to 20 km.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On accelerating, Mr. Kennedy saw the Jeep "on top of us" in the dust cloud. After the Red Truck passed, he could not see any other vehicle in front of him until he saw the Jeep "veering" towards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Mr. Kennedy felt the Jeep was skidding straight at him so he tried to take evasive measures by heading for the ditch, or what really constituted the shoulder of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He says he cranked the wheel, tried to brake, gear down and at the same time reach over to protect his companion, all the while trying to aim for the sharp upslope on his right hand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His car went into a slight skid and he could not maneuver the car to the right enough to avoid impact with the Jeep. His efforts to brake had no effect and the impact with the Jeep, as he described it, was "instantaneous from the time they saw each other". He felt the impact and saw steam rising from his engine.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Post-impact, Mr. Kennedy tried to move the Mazda, but it was dead. He stated that it was a very unpleasant beginning with a new girlfriend.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After a little brainstorming, it occurred to him that his car left where it was could be a safety risk. He did not recall seeing other vehicles on the road but one photo in the exhibits shows at least two vehicles on the Road to the left of and behind the Jeep. He and very likely Mr. Ferguson rolled the Mazda back to the Jeep's side of the Road in front of the Jeep.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Mr. Kennedy believed the RCMP officer arrived and only stayed briefly after they had moved the Mazda. He did not recall the officer doing much after he learned the two drivers had exchanged their "vitals". He surmised the officer was the only one patrolling the Road and was somewhat preoccupied dealing with the rowdy kids. Of course, he did not know this to be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tow truck driver was able to pull out the Jeep's bumper from its "compression" of the left front tire by the bumper. This allowed Mr. Ferguson and his passengers to carry on southbound to go camping. Mr. Kennedy and Ms. Kavia waited for some time before a tow truck arrived for his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Mr. Kennedy believes the damage to the Mazda was to the bumper, quarter panel, headlight and tire. There must also have been damage to the radiator as he saw steam rising from the motor area after the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In cross-examination, Mr. Kennedy continued to be the voluble witness he had been in direct.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When asked if he was anxious to get home, he tried to avoid the answer and said he was feeling optimistic on the cusp of a new relationship and had visions of Pharell Williams' song "Happy".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Once again urged to answer the question, he said that the disastrous weekend could be a deal breaker for his new relationship. I infer from his answer that he was anxious to get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When asked if the Road was wide enough to allow vehicles to pass each other he first answered that this depended on the width of the vehicle. He then said the Road was wide enough through most of the route.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He did not recall stopping for oncoming cars himself but said it was commonplace for cars to stop to let cars pass. Then he said he had seen it and done it. He did not believe the Road wide enough to pass [oncoming] cars freely.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When asked if one had to keep right on the Road, he said: "That's the general rule." When pushed, he agreed it is the rule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Mr. Kennedy stated that he was following the Road but in his small car, he could not drive over the "divots" in the Road and had to drive around them. He conceded that on occasion, he would move over the centre of the Road into the oncoming lane if it were safe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Mr. Kennedy was shown Exhibit 1, tab G, page 33. This photograph was taken soon after impact and shows him at the driver's door of his car. His windshield appears to be at least partly obscured by dust although it is much worse around the margins of the windshield than in what would be the centre of his line of vision. Certainly vision to the driver's left would be impaired by the heavy margin of dust.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He did say that with the dust cloud caused by the truck pulling back into the right lane ahead of him he was "blinded by his dust."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Mr. Kennedy would not agree that he was driving into the sun. He equivocated by saying that it was the highest point of the summer and the sun was directly above him. In fact, it was May and the "highest point of the summer" is not until the summer solstice of June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In any event, the photographs show him squinting into the sun. He did not remember if he was wearing sunglasses but again, from the photographs, it appears he was not. From Exhibit 1, tab G, pp. 15 and 16, I can infer that if he had had sunglasses, he would have been wearing them as he is pictured shielding his eyes while looking southbound in the direction he would have been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He admitted that he lost sight of where he was on the Road after the truck pulled in. His reaction was to slow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But by the time he saw the Jeep, he was accelerating in second gear. He could not estimate his speed but repeated that the impact was a "low velocity impact". I take this to mean he was not moving at high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Mr. Kennedy was confident in direct that the two vehicles had been moved before the RCMP officer arrived at the scene. In cross-examination, however, after some vague responses, and some attempts by counsel to make his answer more precise, he agreed that the Jeep could not have moved until the tow truck driver pulled its bumper out from the left front tire. Ultimately, he agreed the Jeep was still "relatively in the same place" when the RCMP officer arrived. He had rolled his car off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After the impact, and before Mr. Kennedy rolled his car out of the southbound portion of the Road, there is a photograph of the back part of what looks to be an SUV southbound passing the Accident. (Exhibit 2, p.7).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Mr. Kennedy claimed it was an ATV or something that could climb the bank because he had no recollection of any vehicle passing. However, from the pictures, it is quite clearly an SUV, very likely a Jeep Cherokee, passing the Mazda heading southbound.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It appears there was sufficient room for the vehicle to pass to the right of the Mazda post-impact and before the Mazda was moved. There is no evidence that any vehicle was able to or did pass to the right of the Jeep in its post-impact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After the Mazda was moved, a number of vehicles passed by in the southbound "lane". Mr. Kennedy had difficulty with a question in cross to this effect because he disputed that there were lanes on this logging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He later confirmed there was clearly sufficient width at the point of the accident for two oncoming vehicles to pass each other safely, provided each keeps to the right, in his own "lane", which I take to refer to his side of the travelled area of the Road. With his attempts to turn his wheel and brake to avoid the Jeep, Mr. Kennedy conceded he was trying to get out of the middle of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 found Mr. Kennedy to be evasive, argumentative, and to both attempt to enhance his credibility by providing unnecessary detail in his answers, and to try to qualify his answers to create ambiguity in his favour.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 prefer the evidence of the plaintiffs to that of Mr. Kennedy.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Mr. Kennedy has admitted that he was blinded by the dust of the Red Truck that had just passed him, and was over the centre of the Road to the left when he saw the oncoming Jeep.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In addition, the photographic exhibits make it clear that Mr. Kennedy's vision was not only obscured by dust on the Road, but the quantity of dust on his windshield impaired his ability to see to his left. The effect of the dusty windshield was exacerbated by the bright sunshine into which he was looking as he travelled south in the morning at the time of the Accident. Mr. Kennedy's car was also low to the Road, further impairing his line of sight.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Mr. Kennedy was also in the course of accelerating to pull himself up the slight incline to the straightaway ahead. He may well have been in second gear but his speed was greater than it ought to have been with such poor visibility.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With his immediate inability to locate himself on the Road, Mr. Kennedy had an obligation to pull to the right, stop his car until the dust cleared and he could see oncoming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 also note that the photographs in Exhibits 1, 2, and 3 show clearly that the Mazda is well to the left of its half of the travelled surface of the Road post-impact, even after it had bounced to the right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As such, Mr. Kennedy was in violation of section 150 (1)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It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150(1) The driver of a vehicle must confine the course of the vehicle to the right hand half of the roadway if the roadway is of sufficient width and it is practicable to do so,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He was also in violation of section 154 (1)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which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154 (1) The driver of a vehicle must drive the vehicle on the right hand side of the roadway when meeting another vehicle that is moving.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 take these provisions into account as informing the requisite duty of care (</w:t>
      </w:r>
      <w:r>
        <w:rPr>
          <w:rFonts w:ascii="arial" w:eastAsia="arial" w:hAnsi="arial" w:cs="arial"/>
          <w:i/>
          <w:color w:val="000000"/>
          <w:sz w:val="20"/>
          <w:lang w:val="en-US" w:eastAsia="en-US" w:bidi="ar-SA"/>
        </w:rPr>
        <w:t>Ryan v. Victoria</w:t>
      </w:r>
      <w:r>
        <w:rPr>
          <w:rFonts w:ascii="arial" w:eastAsia="arial" w:hAnsi="arial" w:cs="arial"/>
          <w:color w:val="000000"/>
          <w:sz w:val="20"/>
          <w:lang w:val="en-US" w:eastAsia="en-US" w:bidi="ar-SA"/>
        </w:rPr>
        <w:t xml:space="preserve">, </w:t>
      </w:r>
      <w:hyperlink r:id="rId925" w:history="1">
        <w:r>
          <w:rPr>
            <w:rFonts w:ascii="arial" w:eastAsia="arial" w:hAnsi="arial" w:cs="arial"/>
            <w:i/>
            <w:color w:val="0077CC"/>
            <w:sz w:val="20"/>
            <w:u w:val="single"/>
            <w:shd w:val="clear" w:color="auto" w:fill="FFFFFF"/>
            <w:lang w:val="en-US" w:eastAsia="en-US" w:bidi="ar-SA"/>
          </w:rPr>
          <w:t>[1999] 1 S.C.R. 201</w:t>
        </w:r>
      </w:hyperlink>
      <w:r>
        <w:rPr>
          <w:rFonts w:ascii="arial" w:eastAsia="arial" w:hAnsi="arial" w:cs="arial"/>
          <w:color w:val="000000"/>
          <w:sz w:val="20"/>
          <w:lang w:val="en-US" w:eastAsia="en-US" w:bidi="ar-SA"/>
        </w:rPr>
        <w:t xml:space="preserve"> at para.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Mr. Kennedy also has a duty of care at common law to drive on the right so that an oncoming vehicle could pass him safely. He violated this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Taken together with Mr. Kennedy's admissions, I conclude that he is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negligent. The question then becomes whether Mr. Ferguson is also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Where two or more persons are said to have negligently contributed to harm to the plaintiffs, the court must determine the degree to which each person is at fault. Apportionment of liability is governed by ss. 1 and 4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xml:space="preserve">. By virtue of s.1(3)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"[n]othing in the section operates to make a person liable for damage or loss to which the person's fault has not contributed."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In this case, to prove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Mr. Ferguson, Mr. Kennedy must show that Mr. Ferguson is in part at fault for the Accident. He could do so by showing that Mr. Ferguson's location on the Road failed to take into account the likelihood that oncoming drivers could be driving close to the centre of the travelled surface. Mr. Ferguson will be contributory negligent if it can be shown that he ought to have proceeded closer to the shoulder of the road to more promptly react to avoid the Accident. (Here see </w:t>
      </w:r>
      <w:r>
        <w:rPr>
          <w:rFonts w:ascii="arial" w:eastAsia="arial" w:hAnsi="arial" w:cs="arial"/>
          <w:i/>
          <w:color w:val="000000"/>
          <w:sz w:val="20"/>
          <w:lang w:val="en-US" w:eastAsia="en-US" w:bidi="ar-SA"/>
        </w:rPr>
        <w:t>Watson v. Monfils,</w:t>
      </w:r>
      <w:r>
        <w:rPr>
          <w:rFonts w:ascii="arial" w:eastAsia="arial" w:hAnsi="arial" w:cs="arial"/>
          <w:color w:val="000000"/>
          <w:sz w:val="20"/>
          <w:lang w:val="en-US" w:eastAsia="en-US" w:bidi="ar-SA"/>
        </w:rPr>
        <w:t xml:space="preserve"> </w:t>
      </w:r>
      <w:hyperlink r:id="rId984" w:history="1">
        <w:r>
          <w:rPr>
            <w:rFonts w:ascii="arial" w:eastAsia="arial" w:hAnsi="arial" w:cs="arial"/>
            <w:i/>
            <w:color w:val="0077CC"/>
            <w:sz w:val="20"/>
            <w:u w:val="single"/>
            <w:shd w:val="clear" w:color="auto" w:fill="FFFFFF"/>
            <w:lang w:val="en-US" w:eastAsia="en-US" w:bidi="ar-SA"/>
          </w:rPr>
          <w:t>1999 BCCA 312</w:t>
        </w:r>
      </w:hyperlink>
      <w:r>
        <w:rPr>
          <w:rFonts w:ascii="arial" w:eastAsia="arial" w:hAnsi="arial" w:cs="arial"/>
          <w:color w:val="000000"/>
          <w:sz w:val="20"/>
          <w:lang w:val="en-US" w:eastAsia="en-US" w:bidi="ar-SA"/>
        </w:rPr>
        <w:t xml:space="preserve"> cited in </w:t>
      </w:r>
      <w:r>
        <w:rPr>
          <w:rFonts w:ascii="arial" w:eastAsia="arial" w:hAnsi="arial" w:cs="arial"/>
          <w:i/>
          <w:color w:val="000000"/>
          <w:sz w:val="20"/>
          <w:lang w:val="en-US" w:eastAsia="en-US" w:bidi="ar-SA"/>
        </w:rPr>
        <w:t>Hale v. MacEwen</w:t>
      </w:r>
      <w:r>
        <w:rPr>
          <w:rFonts w:ascii="arial" w:eastAsia="arial" w:hAnsi="arial" w:cs="arial"/>
          <w:color w:val="000000"/>
          <w:sz w:val="20"/>
          <w:lang w:val="en-US" w:eastAsia="en-US" w:bidi="ar-SA"/>
        </w:rPr>
        <w:t xml:space="preserve">, </w:t>
      </w:r>
      <w:hyperlink r:id="rId985" w:history="1">
        <w:r>
          <w:rPr>
            <w:rFonts w:ascii="arial" w:eastAsia="arial" w:hAnsi="arial" w:cs="arial"/>
            <w:i/>
            <w:color w:val="0077CC"/>
            <w:sz w:val="20"/>
            <w:u w:val="single"/>
            <w:shd w:val="clear" w:color="auto" w:fill="FFFFFF"/>
            <w:lang w:val="en-US" w:eastAsia="en-US" w:bidi="ar-SA"/>
          </w:rPr>
          <w:t>2011 BCSC 1404</w:t>
        </w:r>
      </w:hyperlink>
      <w:r>
        <w:rPr>
          <w:rFonts w:ascii="arial" w:eastAsia="arial" w:hAnsi="arial" w:cs="arial"/>
          <w:color w:val="000000"/>
          <w:sz w:val="20"/>
          <w:lang w:val="en-US" w:eastAsia="en-US" w:bidi="ar-SA"/>
        </w:rPr>
        <w:t xml:space="preserve"> at paras. 57-59) However, the difficulty with this argument is that Mr. Ferguson was driving carefully, well on his side of the travelled surface of the Road, in a vehicle with good driver visibility at a cautious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 accept the plaintiffs' evidence that several oncoming cars had passed Mr. Ferguson safely. In light of that, Mr. Ferguson was not obligated to attempt to foresee the unlikely possibility that an oncoming car would be in his lane of travel.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There is no evidence that Mr. Ferguson was "hugging" the centre of the Road such that he invited collision with an oncoming car also "hugging" the centre of the Road. (Here see </w:t>
      </w:r>
      <w:r>
        <w:rPr>
          <w:rFonts w:ascii="arial" w:eastAsia="arial" w:hAnsi="arial" w:cs="arial"/>
          <w:i/>
          <w:color w:val="000000"/>
          <w:sz w:val="20"/>
          <w:lang w:val="en-US" w:eastAsia="en-US" w:bidi="ar-SA"/>
        </w:rPr>
        <w:t>Watson.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The photographs show that there was a very small amount of space between the right hand side of the Jeep and the steep upslope to the right of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Mr. Kennedy argues that this additional space would have allowed Mr. Ferguson to avoid the front of his car as he struggled to pull his Mazda back to the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evidence shows that this drainage area was full of rocks and large gravel so that in the agony of the moment, Mr. Ferguson's concern about moving further right was justified.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Instead, he braked to a stop and simultaneously sounded his horn. He was stopped when the Mazda hit the Jeep.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Mr. Ferguson at no time breached his duty of care to keep right and was at no time beyond his side of the travelled surface of the Road or even driving unreasonably close to the centre of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That this is so is clear from the fact that immediately preceding the Accident, the oncoming Red Truck had passed the Jeep safely without either vehicle needing to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 conclude that Mr. Ferguson did not violate his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 find Mr. Kennedy 100% liable for the Accident and dismiss the case against Connor Ferguson.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 plaintiffs will have one set of costs pursuant to Rule 15-1.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Ms. Danielle Werner was separately represented and will have her costs under Rule 15-1.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L.D. RUSSELL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8" style="position:absolute;z-index:2518067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86"/>
          <w:headerReference w:type="default" r:id="rId987"/>
          <w:footerReference w:type="even" r:id="rId988"/>
          <w:footerReference w:type="default" r:id="rId989"/>
          <w:headerReference w:type="first" r:id="rId990"/>
          <w:footerReference w:type="first" r:id="rId99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92" w:history="1">
        <w:r>
          <w:rPr>
            <w:rFonts w:ascii="arial" w:eastAsia="arial" w:hAnsi="arial" w:cs="arial"/>
            <w:b/>
            <w:bCs/>
            <w:i/>
            <w:color w:val="0077CC"/>
            <w:kern w:val="32"/>
            <w:sz w:val="28"/>
            <w:szCs w:val="32"/>
            <w:u w:val="single"/>
            <w:shd w:val="clear" w:color="auto" w:fill="FFFFFF"/>
            <w:lang w:val="en-US" w:eastAsia="en-US" w:bidi="ar-SA"/>
          </w:rPr>
          <w:t>Gajoum v. Keenan, [2020] B.C.J. No. 402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A.D. Francis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15-19, 22-26, December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11-12, 2019; January 20, 2020.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12, 2020.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M106380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[2020] B.C.J. No. 402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2020 BCSC 360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Kamiar Gajoum, Plaintiff, and James Keenan, Star Limousine Service Ltd., Brown Bros. Motor Lease Canada Ltd. and Sharon Dernovshek,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(156 paras.)</w:t>
      </w:r>
    </w:p>
    <w:p>
      <w:pPr>
        <w:jc w:val="both"/>
        <w:rPr>
          <w:rFonts w:ascii="arial" w:eastAsia="arial" w:hAnsi="arial" w:cs="arial"/>
          <w:sz w:val="20"/>
          <w:lang w:val="en-US" w:eastAsia="en-US" w:bidi="ar-SA"/>
        </w:rPr>
      </w:pPr>
      <w:bookmarkStart w:id="209" w:name="Counsel_45"/>
      <w:bookmarkEnd w:id="20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9" style="position:absolute;z-index:2517053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P. Granger, D. Balkaran.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James Keenan, Star Limousine Service Ltd. and Brown Bros. Motor Lease Canada Ltd.: C. Morcom, M. Mirosolin.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0" w:name="Judgment_45"/>
      <w:bookmarkEnd w:id="210"/>
      <w:r>
        <w:pict>
          <v:line id="_x0000_s1190" style="position:absolute;z-index:25175654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BACKGROUND 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Prior to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After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 Surveillance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EXPERT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Dr. Colin Horricks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Dr. Rosemary Nairn Stewart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Dr. John Fuller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 Min Trevor Kyi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 Kathryn Minard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 Peter van den Berg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 Darren Benning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CREDIBILITY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Credibility issues arising from Dr. Horricks' evidence</w:t>
      </w:r>
      <w:r>
        <w:rPr>
          <w:rFonts w:ascii="arial" w:eastAsia="arial" w:hAnsi="arial" w:cs="arial"/>
          <w:sz w:val="20"/>
          <w:lang w:val="en-US" w:eastAsia="en-US" w:bidi="ar-SA"/>
        </w:rPr>
        <w:cr/>
      </w:r>
    </w:p>
    <w:p>
      <w:pPr>
        <w:numPr>
          <w:numId w:val="1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Left side v. right side neck pain</w:t>
      </w:r>
    </w:p>
    <w:p>
      <w:pPr>
        <w:numPr>
          <w:numId w:val="1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Late emergence of lower back pain</w:t>
      </w:r>
    </w:p>
    <w:p>
      <w:pPr>
        <w:numPr>
          <w:numId w:val="1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Gap in visits to family doctor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Plaintiff's testimony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Inconsistencies between discovery evidence and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Non-Pecuniary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Loss of Earning Capacity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Legal framework</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Past loss of income earning capacity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Future Earning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Cost of Future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VIII.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IX. COSTS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11" w:name="A.D. FRANCIS J."/>
            <w:bookmarkEnd w:id="211"/>
            <w:r>
              <w:rPr>
                <w:rFonts w:ascii="arial" w:eastAsia="arial" w:hAnsi="arial" w:cs="arial"/>
                <w:b/>
                <w:color w:val="000000"/>
                <w:sz w:val="30"/>
                <w:lang w:val="en-US" w:eastAsia="en-US" w:bidi="ar-SA"/>
              </w:rPr>
              <w:t>A.D. FRANCIS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proceeding arises from a motor vehicle accident that occurred on December 29, 2008 (the "Accident"). Liability has been admitted by the defendants and the matter proceeded to trial on the issue of damages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 Kamiar Gajoum, was 13 years of age at the time of the Accident. He suffered injuries to his neck, back, shoulder and knee. He claims that he is partially disabled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specifically that his capacity to pursue his career as an artistic painter has been diminished from the injuries he suffers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defence to the plaintiff's claim is focussed almost entirely on credibility. The defendants argue that the only evidence in support of causation or damages is the subjective evidence of the plaintiff. On the basis of their submission that the plaintiff is not a credible witness, the defendants argue that the plaintiff's subjective evidence is insufficient to make out his case. They also take the position that, to the extent that the plaintiff suffered any loss, he failed to mitigate. Other than consenting to a modest award for non-pecuniary damages, the defendants resist all elements of the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BACKGROUND 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At the time of the Accident the plaintiff was a grade 8 high school student and had started taking steps towards working as a professional artistic painter. He was trained by his stepfather Kal Gajoum, who is himself a successful artist, and at the time of the Accident he was working as an apprentice as well as selling some of his own paintings. When the Accident occurred, the plaintiff, unlike most other thirteen year olds, had both a defined career path and some measure of career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There is no evidence of the plaintiff having any injuries or disabilities prior to the Accident. He appears to have been an active and athletic teenager.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Accident took place on the Whistler highway. The plaintiff, the plaintiff's mother, Baymisal Parvanta, and Kal Gajoum were travelling in a limousine back to Vancouver after attending an art show at the Plaza Gallery in Whistler in which Kal Gajoum was featured. The Accident happened just outside of Squamish, where the driver, James Keenan, had pulled over to remove chains from the tires on the limousine. Just before pulling back on the highway, the limousine collided with another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There is very little evidence about the specific circumstances of the Accident, such as the speed at which the limousine was driving or the force of the impact. The plaintiff testified that he was sitting in a backwards facing seat in the back of the limousine. On impact, he braced himself with his right leg and his upper body jerked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Keenan testified at trial. He had difficulty recalling details of the Accident. At discovery he testified that he believed there were only two passengers in the car; at trial he testified that "apparently there were three people" although it was clear that he could not remember any specifics about the passengers in his vehicle including how many there were. He could not remember any interactions he had with the passengers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While the evidence given by each of Kal Gajoum, Ms. Parvanta, the plaintiff and Mr. Keenan about the precise events of the Accident is somewhat different, these differences do not impact my assessment of any of the witness' credibility. The Accident happened more than ten years ago. It is not the least bit surprising that memories have faded. In any event, the details of the Accident are not particularly material to the plaintiff's claim as none of the medical experts relied on facts about the nature of the collision to form their views about the diagnosis or prognosis of the plaintiff's injuries.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testified that he started to feel pain in the days after the Accident. He described the pain as situated in his neck and upper back, his lower back and his right knee and ankle. He also testified that in the early months after the Accident he had recurring headaches. He was able to continue with his normal life of going to school and painting but he was no longer able to remain in a single posture for an extended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2009, the plaintiff went to physiotherapy 24 times. He found these sessions to be helpful. While the plaintiff also attended four sessions with a chiropractor, these sessions did not alleviate his pain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has a fairly active lifestyle that he has maintained since the Accident. In 2009, shortly after the Accident, Ms. Parvanta arranged for the plaintiff to see a personal trainer. From 2009 to 2017, the plaintiff worked out 3-4 times a week in a gym in the building that the plaintiff lived in with Kal Gajoum and Ms. Parvanta. Additionally, the plaintiff swam at the Terminal City Club on weekends. Because he does not drive a car, and walking is his preferred means of transportation, the plaintiff estimates that he walks for a minimum of an hour a day. Every morning he does a set of stretches and a set of 25 push ups and 25 sit ups.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finished high school in 2013 and immediately started working full time as an artist. Along with his mother and, until recently, Kal Gajoum, the plaintiff spends approximately half of each year travelling. This is because both Kal Gajoum and the plaintiff are painters of cityscapes and their artistic method involves visiting cities for a period of weeks or months, making sketches, and then returning home to their studios in Canada to use those sketches as the subject of paintings.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2017, the relationship between Kal Gajoum and Ms. Parvanta came to an end. By all accounts it was an unhappy breakup and the plaintiff is now estranged from Kal Gajoum.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Until the breakdown of the relationship between Kal Gajoum and Ms. Parvanta, the plaintiff and Kal Gajoum worked together closely. They had co-exhibitions of their work at the Plaza Gallery in Whistler, Gainsborough Gallery in Calgary and the Eclectic Gallery on Maui. The plaintiff worked as Kal Gajoum's apprentice from 2008 to 2017, taking care of his studio and doing restoration work on his paintings.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Since his mother and stepfather split up, the plaintiff has been financially supporting himself and his mother, who acts as his manager, from his painting sales.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At birth, and at the time of Accident, the plaintiff's last name was Arziab. In 2014, he legally changed his last name to Gajoum. The circumstances of this, and whether Kal Gajoum approved of his stepson taking his name, are matters of some dispute that were canvassed at trial but are not relevant to the circumstances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terms of his current complaints, the plaintiff says he wakes up sore every day but that his pain is minor in the morning and gets worse throughout the day. The main areas of discomfort that continue to trouble the plaintiff are his neck, shoulder and lower back. He also testified that he continues to have some pain in his right knee but it is really only exacerbated by running, which he has mostly stopped doing, and by working on large paintings, which requires him to sit on his knees for periods of time. His sleep is disturbed once or twice a night due to pain in his neck and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testified about the physical nature of his work as a painter. His work can be broadly categorized into two different activities: sketching and painting. When he is sketching he is on location, drawing streetscapes using a graphite pencil. It takes him two to three hours to make a sketch. Often sketches must be made standing up, since the desirable perspective can be elusive and is not necessarily in a place where there is anywhere to sit. This means keeping his pencil box on the ground and regularly bending to sharpen his pencil. When the plaintiff is travelling, he sketches most days. The sketches are then brought home and used to create paintings.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When the plaintiff is painting, he starts by mixing oil paint, which takes the first 45 minutes to an hour of every daily painting session. He testified that this work strains his shoulders as the paint is hard and takes time to break down by using a pallet knife in a figure eight motion. He testified that this activity causes him pain in his shoulder and neck. After mixing he takes a break to stretch his neck and then begins applying paint to his canvass with a pallet knife. The pallet knife is the plaintiff's preferred painting implement. He described the "wet on wet" technique that he uses when working with a pallet knife and the time constraints entailed with this technique. In short, a pallet knife painting must be completed in one day, as the paint becomes tacky overnight and more paint cannot be added on top with a pallet knife. If a pallet knife painting is not finished on the first day, it can only be completed with a brush, which takes more time to layer and makes the process for completing a painting take approximately three times longer than it would if the entire painting was done with a pallet knife.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testified that his injuries require him to work shorter days. He estimates that in a full day, he is only able to productively work for 5 to 6 hours. This is because he needs to take regular breaks of 10 to 15 minutes to stretch his neck, shoulders and back. He also testified that his pallet knife and brush work require him to hold a very static position. He takes frequent "micro-breaks" of a few seconds that allow him to ease up the tension before going back into position for painting. He testified that the 5 to 6 productive hours he has in a day are not enough time to complete even a relatively small pallet knife painting. It takes him three to four days to do a small painting and a larger painting takes three weeks or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testified that, if he were not in pain, he would be able to finish a large painting in a single day because more of the painting could be done with a pallet knife which is much faster than a brush. He also testified that he would be able to produce a higher number of large paintings if he did not have pain because his pain would not be exacerbated by the considerable reaching and bending that is required to produce large paintings.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plaintiff's financial circumstances are difficult to discern. This is partially due to the breakdown of the relationship between Ms. Parvanta and Kal Gajoum in 2017, which has caused a significant change in the way the plaintiff's business affairs are handled, as well as the fact that the income and business affairs of this family were never recorded or reported in a particularly clear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three family members were, until 2017, a single economic unit supported mostly though Kal Gajoum's company, Gajoum D'Art Studios. The plaintiff received his income (both employment income from working for Kal Gajoum and income from art sales) via T4 employment income from Gajoum D'Art Studios. Sales of the plaintiff's paintings were sometimes invoiced by Gajoum D'Art Studios and sometimes invoiced by Gajoum &amp; Gajoum Expositions (the plaintiff's sole proprietorship). It is not clear how much income the plaintiff received from the sale of his paintings prior to 2018. Nor is it clear what relationship his T4 income bears to painting sales. To further complicate matters, in the years 2014 - 2017, it appears that a T4 was issued to the plaintiff from Gajoum D'Art Studios, but the plaintiff testified that he did not receive any income in these years directly from Gajoum D'Art Studios. Instead his income was invested in a property in Nice, France, where the family spent a portion of every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It is therefore not possible to determine the plaintiff's income from the sale of art during the period 2014 - 2017 by reviewing his tax returns.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December 2017, the plaintiff entered into a consignment agreement with Le Soleil Gallery in Vancouver. The agreement stipulates that the plaintiff shall exclusively sell his artwork through Le Soleil, although both the plaintiff and Dror Darel, the proprietor of Le Soleil, testified that the parties collaterally agreed that the plaintiff could sell his art through other galleries that are outside the lower mainland.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best source of information with respect to the plaintiff's income from the sale of art in 2018 and 2019 is the invoices from his sole proprietorship, Gajoum and Gajoum Expositions, to Le Soleil. Based on those invoices it appears that the plaintiff's gross income from art sales was $30,550 in 2018 and $18,900 in the first half of 2019.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testified that he pays his mother a salary every month to act as his manager, but he also testified that he paid his mother by way of covering their rent and other expenses, as they reside together. It appears that the financial arrangement between the plaintiff and his mother is not formalized in any way, adding a further challenge to determining his net income as an artist.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At the time of trial, Le Soleil had 64 pieces of art by the plaintiff in its inventory. This consisted of a combination of paintings and prints. Mr. Darel testified that the plaintiff is his number one selling artist and that his paintings sell five to eight times better than any other artist in his gallery. Notwithstanding the healthy number of the plaintiff's paintings already in inventory at Le Soleil, Mr. Darel testified that he would like more paintings from the plaintiff, particularly in large sizes. He noted that Le Soleil only has three large paintings made by the plaintiff and he would like to have 6 to 10 large paintings in his gallery. Unfortunately, the plaintiff is only able to produce 1 to 2 large paintings per year. Mr. Darel was asked whether it was unusual to have 50 or more unsold paintings in inventory for a specific artist. He testified that this is not unusual and he characterized the plaintiff as an artist in high demand from whom he would like to receive much more in the way of inventory.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When the parties appeared for final argument in January 2020, the defendant sought leave to introduce new evidence about the recent closure of Le Soleil Gallery in August 2019. The plaintiff produced an affidavit from Mr. Darel that was entered into evidence on consent. The affidavit states that Mr. Darel is in the process of opening a new gallery on south Granville Street and that the plaintiff will continue to be one of his featured artists.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Le Soleil is not the only gallery through which the plaintiff displayed his work in recent years. In the fall of 2018, negotiations took place between Ms. Parvanta on behalf of the plaintiff and Mountain Galleries in Whistler. While four of the plaintiff's paintings were displayed at Mountain Galleries over the 2018/2019 winter season, they did not sell. In April 2019, the relationship between the plaintiff and Mountain Galleries came to an end. Wendy Wacko, the executive director of Mountain Galleries at Whistler, testified about the unsuccessful relationship between the plaintiff and Mountain Galleries. Neither party seems to have felt there was a good fit between the artist and the gallery, and they each ultimately went their separate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Both Ms. Parvanta and Kal Gajoum testified at trial. There appear to be many facts in dispute between the two of them. Kal Gajoum gave evidence which was for the most part extraneous to the matters I must determine. He appeared focussed on portraying Ms. Parvanta and the plaintiff as opportunists who exploited their association with him for their own financial ends. There can be no question that Ms. Parvanta, Kal Gajoum and the plaintiff were once a family unit (although Kal Gajoum now denies this) and that their financial, personal and artistic lives were intertwined for a number of years. The breakdown of the family relationship has no doubt been difficult for all of them. However, very little of the evidence the defendants elicited from Kal Gajoum about personal matters relating to this family was relevant to the matters before 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Surveillance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defendants took surveillance video of the plaintiff on two occasions: May 5, 2019 and June 29, 2019. Both videos were taken while the plaintiff was participating in a live painting demonstration at Le Soleil Art Gallery. There was a contested application mid-trial about the admissibility of the surveillance videos and I ruled that they were admissible.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videos suffer from a number of deficiencies. They were tendered by the defendants to support the proposition that the plaintiff is fully capable of engaging in his chosen profession of artistic painting. From the videos I am asked to infer that the plaintiff was capable, on two very recent occasions, of engaging in public painting sessions that were five hours or longer. However, the videos are not by any means continuous. Each video shows only portions of time during the painting demonstration, with lengthy breaks between. Further, for the vast majority of both videos, the viewer does not have a full body view of the plaintiff. Much of both videos appears to have been shot from across the street from the gallery, and the image of the plaintiff painting is mostly obscured by posters on the window of the gallery. I cannot form any conclusion from the videos about the length of time the plaintiff is able to work continuously.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There are some facts that can be taken from the videos, however:</w:t>
      </w:r>
      <w:r>
        <w:rPr>
          <w:rFonts w:ascii="arial" w:eastAsia="arial" w:hAnsi="arial" w:cs="arial"/>
          <w:sz w:val="20"/>
          <w:lang w:val="en-US" w:eastAsia="en-US" w:bidi="ar-SA"/>
        </w:rPr>
        <w:cr/>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moves almost constantly when he paints. He frequently shifts his weight, stretches and bends when he is painting. This is consistent with his evidence that he feels the most pain when he is static for a period of time;</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takes "micro breaks" regularly when he is painting, which consist of him stepping back and shifting his weight. On cross-examination he explained that this eases the tension that builds up in his neck and back from the stillness and control required to make strokes with a brush or pallet knife;</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second painting demonstration on June 29, 2019, the plaintiff took at least two breaks where he went outside to smoke cannabis. On cross-examination he testified that he did this as a way to help with his pain symptoms; and</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end of the second painting demonstration on June 29, 2019, the plaintiff went to a medical marijuana dispensary that had a vaping bar and vaped CBD as a way to alleviate his pain from the day's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 called a number of experts at trial, including three medical doctors, an occupational therapist, a vocational rehabilitation expert and an art advisory expert. The defendants did not tender any expert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Dr. Colin Horricks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Dr. Horricks was the plaintiff's family doctor until his retirement in August 2018. He first treated the plaintiff for his injuries approximately three weeks after the Accident and most recently examined him in July 2018. Dr. Horricks was qualified as an expert in family medicine.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Dr. Horricks first assessed the plaintiff on January 20, 2009, approximately three weeks after the Accident. At the time, the primary symptoms reported by the plaintiff were in his neck. Some weeks later, the plaintiff reported to Dr. Horricks that he was also suffering pain in his lower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January 2009, Dr. Horricks requisitioned an x-ray of the plaintiff's neck. The x-ray revealed a loss or lordosis, which is a straightening of the natural curvature of the spine. Dr. Horricks opined that the loss of lordosis was the result of muscle spasm resulting from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Dr. Horricks reported a visit from the plaintiff on October 20, 2011, at which the plaintiff reported he had been struck in the shoulder by a garage door. He complained of left lower paracervical pain and bruising with strain of his left acromioclavicular joint.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late July 2018, Dr. Horricks ordered a second x-ray of the plaintiff's neck, low back and right knee. The x-ray of the plaintiff's neck found continued straightening of the plaintiff's neck curvature arising from muscle spasm.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Dr. Rosemary Nairn Stewart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Stewart was qualified as an expert in the field of physical medicine and rehabilitation. She examined the plaintiff on October 25,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Dr. Stewart's physical examination of the plaintiff was unremarkable. She found that he was generally flexible and there was no tenderness over his neck or back. He experienced a decreased range of motion in his neck when turning and tilting his head to the left by a few degrees as compared to the right, but other neck movements were full. He had full rotation in his back and was able to bend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Dr. Stewart opined that the plaintiff suffered soft tissue injuries to his neck and back in the Accident. She noted in her testimony that most soft tissue injuries do not have physical symptoms on examination. Based on her examination, Dr. Horricks' notes and the plaintiff's reporting of his symptoms, she concluded that the plaintiff's symptoms were ongoing and unlikely to improve.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Dr. Stewart recommended that the plaintiff review and update his exercise program and that he continue with his daily stretching exercises and attend the gym. She also recommended massage 12 times a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On cross-examination, Dr. Stewart was asked whether the October 20, 2011 incident, in which the plaintiff's shoulder collided with a garage door, could be the cause of the plaintiff's ongoing pain symptoms. She opined that it could not. She explained that the garage door struck the plaintiff in the shoulder joint, and this would not cause pain in the plaintiff's trapezius muscle, which is the primary location of his ongoing pain.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Dr. John Fuller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Dr. Fuller was qualified as an orthopedic specialist. He examined the plaintiff on April 10, 2019. He found that the plaintiff presented with a degree of residual dysfunction through the sacroiliac level of the back. He opined that it is more probable than not that the Accident caused the plaintiff's ongoing symptoms with reference to headache, neck pain and low back pain. He further opined that the combination of these symptoms has led to a significant level of functional compromise.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Dr. Fuller's physical examination found some spasm in the back and trapezius muscles. He found compromised range of motion in the neck and shoulder and a slight reduction of range of movement in the right knee. He testified that the results of his examination of the plaintiff were consistent with the finding that the plaintiff suffered an overload to the axial skeleton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On cross-examination, Dr. Fuller opined that the Accident caused ligamentous injury to the plaintiff's neck, causing muscle spasm in his neck which caused the loss of lordosis. Additionally, Dr. Fuller was asked whether the ligamentous injuries suffered by the plaintiff could have been caused by the plaintiff's shoulder colliding with a garage door in 2011. He opined that this was unlikely.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Min Trevor Kyi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Kyi was qualified as an expert in occupational therapy with a speciality in functional capacity evaluations. He performed a functional capacity analysis on the plaintiff on April 2, 2019. Mr. Kyi undertook a number of tests on the plaintiff over the course of one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Kyi found that the plaintiff's scores on many tests declined between early morning testing and late in the day, consistent with the plaintiff's evidence that he tends to start each day with little pain, and that his symptoms progress throughout the day. Mr. Kyi found that the plaintiff had limited neck flexion, rotation and tilt. His lower back flexion was normal early in the day and limited at the end of the day. In tests designed to stimulate the plaintiff's vocation of artistic painting, Mr. Kyi observed that the plaintiff took a number of small breaks to shrug or rub his shoulders or neck and repeat tests showed a slowing of productivity over the course of the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Kyi noted that while the plaintiff was highly functional when working at the correct heights and being ergonomically supported, he had functional limitations, particularly with respect to bending and stretching, that would limit his ability to do larger paintings. Ultimately, Mr. Kyi concluded that the plaintiff had consistent physical limitations that impact his work and productivity levels.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Kyi made a number of future care recommendations that are dealt with below.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Kathryn Minard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Ms. Minard was qualified as an expert in the field of art advisory, art appraising and the business of art. She opined that the plaintiff's physical limitations due to his injuries have impeded and will continue to impede his commercial success. She opined that he is likely to make less money over his career because his physical limitations reduce the number and size of paintings he can produce, interfere with his creative process, limit the number of exhibitions he can mount and compromise his ability to participate in live painting demonstrations to promote his work. She opined that the plaintiff's success as a painter was considerable for an artist of his age. Unfortunately, Ms. Minard's report does not contain much in the way of opinion about the extent to which the plaintiff's career success will be impeded by his injuries or information that this Court could use to quantify his loss.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 Peter van den Berg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van den Berg was qualified as an expert in vocational rehabilitation. He prepared a vocational rehabilitation report in April 2019, in which he opined that the plaintiff has likely sustained a mild to moderate reduction in his vocational capacity as an artistic painter as a result of his functional limitations. He found that the plaintiff retains the capacity for full time employment as an artist, but his productivity and ability to compete with other artists at the same level is reduced with a likely impact on his earning capacity. Like Ms. Minard, Mr. van den Berg did not quantify the likely impact of the plaintiff's functional limitations on his future income capacity, although his characterization of the reduction in the plaintiff's vocational capacity as "mild to moderate" provides some guidance in this regard. Mr. van den Berg defines "mild" and "moderate" vocational disabilities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Mild</w:t>
      </w:r>
      <w:r>
        <w:rPr>
          <w:rFonts w:ascii="arial" w:eastAsia="arial" w:hAnsi="arial" w:cs="arial"/>
          <w:color w:val="000000"/>
          <w:sz w:val="20"/>
          <w:lang w:val="en-US" w:eastAsia="en-US" w:bidi="ar-SA"/>
        </w:rPr>
        <w:t>. An individual has sustained a mild vocational impact when the injury occasionally impacts their performance, however, they are able to significantly mitigate this through compensatory strategies, and that are still able to perform their crucial job duties.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Moderate</w:t>
      </w:r>
      <w:r>
        <w:rPr>
          <w:rFonts w:ascii="arial" w:eastAsia="arial" w:hAnsi="arial" w:cs="arial"/>
          <w:color w:val="000000"/>
          <w:sz w:val="20"/>
          <w:lang w:val="en-US" w:eastAsia="en-US" w:bidi="ar-SA"/>
        </w:rPr>
        <w:t>. An individual has sustained moderate vocational impact when they are still able to work, however they are not able to perform a significant portion of their job demands, they may require reduced hours, they may require an alternate occupation, they are significantly less competitively employable, they may require job accommodations, their range of job options have been significantly reduced, and they are at increased risk for periods of vocational instability.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Some of Mr. van den Berg's conclusions appear to be informed by the assumption that the plaintiff's income as stated on his tax returns was all income from the sale of his art. This is not a correct assumption. It appears that, up until 2017, the bulk of the plaintiff's income came from the salary he drew from Gajoum D'Art Studios, which consisted of compensation for the work he did as an apprentice to Kal Gajoum and some painting sales. As such, I approach Mr. van den Berg's report with some caution but I accept his overall conclusion that the plaintiff's vocational capacity is impacted by his injuries by a mild to moderate degree. This is because the tax returns are not central to his conclusion about the plaintiff's vocational capacity. Mr. van den Berg's conclusions about decreased productivity instead appear to derive from the self reporting of the plaintiff and Mr. van den Berg's own expertise about the vocational demands of an artistic painter.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 Darren Benning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Benning is an economist who authored an expert report on future income loss multipliers and present value of future costs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Benning's report provides a calculation for determining the plaintiff's future income loss on the basis of full labour force participation until the plaintiff is 67, as well as the present value of his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defendants' case primarily rests upon this Court making an adverse credibility finding against the plaintiff. The defendants tendered no expert evidence, and they sought to undermine the conclusions in all three medical expert reports on the basis that the experts relied on the subjective reporting of the plaintiff, whom the defendants submit is not credible.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None of the expert medical reports relied solely on the subjective reporting of the plaintiff and so I would not dismiss the conclusions of the experts on that basis in any event. However, since credibility is so central to the defendants' case, I must give careful consideration to the defendants' argument that the plaintiff is simply not credible in any of his evidence about his symptoms or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order to find that none of the plaintiff's subjective reporting to the experts is reliable, which is the defendants' position, I would have to find that the plaintiff was fabricating or significantly exaggerating his symptoms when he reported them to Dr. Horricks, Dr. Fuller, Dr. Stewart and Mr. Kyi. This would go beyond simply applying scrutiny to the plaintiff's evidence, or preferring another witness' testimony over his. The defendants are asking me to find that the plaintiff has been engaged in a long term pattern of deceit with respect to his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In considering an allegation of deliberate deceit on the part of the plaintiff in </w:t>
      </w:r>
      <w:r>
        <w:rPr>
          <w:rFonts w:ascii="arial" w:eastAsia="arial" w:hAnsi="arial" w:cs="arial"/>
          <w:i/>
          <w:color w:val="000000"/>
          <w:sz w:val="20"/>
          <w:lang w:val="en-US" w:eastAsia="en-US" w:bidi="ar-SA"/>
        </w:rPr>
        <w:t>Midgley v. Nguyen</w:t>
      </w:r>
      <w:r>
        <w:rPr>
          <w:rFonts w:ascii="arial" w:eastAsia="arial" w:hAnsi="arial" w:cs="arial"/>
          <w:color w:val="000000"/>
          <w:sz w:val="20"/>
          <w:lang w:val="en-US" w:eastAsia="en-US" w:bidi="ar-SA"/>
        </w:rPr>
        <w:t xml:space="preserve">, </w:t>
      </w:r>
      <w:hyperlink r:id="rId884" w:history="1">
        <w:r>
          <w:rPr>
            <w:rFonts w:ascii="arial" w:eastAsia="arial" w:hAnsi="arial" w:cs="arial"/>
            <w:i/>
            <w:color w:val="0077CC"/>
            <w:sz w:val="20"/>
            <w:u w:val="single"/>
            <w:shd w:val="clear" w:color="auto" w:fill="FFFFFF"/>
            <w:lang w:val="en-US" w:eastAsia="en-US" w:bidi="ar-SA"/>
          </w:rPr>
          <w:t>2013 BCSC 693</w:t>
        </w:r>
      </w:hyperlink>
      <w:r>
        <w:rPr>
          <w:rFonts w:ascii="arial" w:eastAsia="arial" w:hAnsi="arial" w:cs="arial"/>
          <w:color w:val="000000"/>
          <w:sz w:val="20"/>
          <w:lang w:val="en-US" w:eastAsia="en-US" w:bidi="ar-SA"/>
        </w:rPr>
        <w:t>, Dardi J. held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a plaintiff is accused of deliberate deceit, more than mere speculation and innuendo is required. As the court aptly observed in </w:t>
      </w:r>
      <w:r>
        <w:rPr>
          <w:rFonts w:ascii="arial" w:eastAsia="arial" w:hAnsi="arial" w:cs="arial"/>
          <w:i/>
          <w:color w:val="000000"/>
          <w:sz w:val="20"/>
          <w:lang w:val="en-US" w:eastAsia="en-US" w:bidi="ar-SA"/>
        </w:rPr>
        <w:t>Hardychuk v. Johnstone</w:t>
      </w:r>
      <w:r>
        <w:rPr>
          <w:rFonts w:ascii="arial" w:eastAsia="arial" w:hAnsi="arial" w:cs="arial"/>
          <w:color w:val="000000"/>
          <w:sz w:val="20"/>
          <w:lang w:val="en-US" w:eastAsia="en-US" w:bidi="ar-SA"/>
        </w:rPr>
        <w:t xml:space="preserve">, </w:t>
      </w:r>
      <w:hyperlink r:id="rId896" w:history="1">
        <w:r>
          <w:rPr>
            <w:rFonts w:ascii="arial" w:eastAsia="arial" w:hAnsi="arial" w:cs="arial"/>
            <w:i/>
            <w:color w:val="0077CC"/>
            <w:sz w:val="20"/>
            <w:u w:val="single"/>
            <w:shd w:val="clear" w:color="auto" w:fill="FFFFFF"/>
            <w:lang w:val="en-US" w:eastAsia="en-US" w:bidi="ar-SA"/>
          </w:rPr>
          <w:t>2012 BCSC 1359</w:t>
        </w:r>
      </w:hyperlink>
      <w:r>
        <w:rPr>
          <w:rFonts w:ascii="arial" w:eastAsia="arial" w:hAnsi="arial" w:cs="arial"/>
          <w:color w:val="000000"/>
          <w:sz w:val="20"/>
          <w:lang w:val="en-US" w:eastAsia="en-US" w:bidi="ar-SA"/>
        </w:rPr>
        <w:t xml:space="preserve"> at para. 9, "[a] charge of deliberate deceit under oath is a serious attack on an individual's integrity which should not be lightly treated or lightly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this case, the defence has built its case on the plaintiff's complete lack of credibility. The defendants ask the Court to find that the plaintiff has been deliberately deceitful with the medical practitioners and with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do not accept the defendants' characterization of the plaintiff's evidence and I do not find that the plaintiff has been deliberately deceitful with the medical practitioners and with the Court. However, I have some concerns about the reliability of some of the plaintiff's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will endeavour to discuss below some aspects of the plaintiff's evidence that were highlighted by the defendants. I do not propose to address each of the deficiencies alleged by the defendants, only those that I find to be the most pertinent.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defendants' primary challenges to the plaintiff's credibility can be broadly arranged into three categories:</w:t>
      </w:r>
      <w:r>
        <w:rPr>
          <w:rFonts w:ascii="arial" w:eastAsia="arial" w:hAnsi="arial" w:cs="arial"/>
          <w:sz w:val="20"/>
          <w:lang w:val="en-US" w:eastAsia="en-US" w:bidi="ar-SA"/>
        </w:rPr>
        <w:cr/>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inconsistencies between the notes and records of Dr. Horricks and the plaintiff's evidence;</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evasive and non-responsive answers given by the plaintiff in cross-examination; and</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inconsistencies between the discovery evidence and the evidence given by the plaintiff at trial.</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Credibility issues arising from Dr. Horricks' evidence</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Left side v. right side neck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Dr. Horricks' notes from his first assessment of the plaintiff on January 20, 2009, indicate that the plaintiff expressed "left paracervical discomfort and left suprascapular discomfort". On the ICBC injury form Dr. Horricks completed, he wrote that the plaintiff exhibited "bilateral suprascapular tenderness". The plaintiff testified that his primary complaint has always been the right, not the left, side of his neck. The defendants ask me to conclude from this apparent conflict between the evidence of Dr. Horricks and the plaintiff that the plaintiff's evidence about his neck pain is not credible.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find the most likely explanation for this apparent inconsistency is either that Dr. Horricks' notes of his first assessment contain an error, or that the plaintiff, an adolescent at the time, did not describe his injuries very well to his doctor on the first visit. It is extremely unlikely, in my view, that the plaintiff has been fabricating an injury to the right side of his neck for the last 11 years. Given the overwhelming preponderance of evidence to support that the plaintiff did indeed injure the right side of his neck, I decline to make any adverse credibility finding against the plaintiff on the basis of Dr. Horricks' reference to left paracervical and suprascapular discomfort in his notes.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Late emergence of lower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defendants submit that it is not credible that the plaintiff's lower back pain arose from the Accident because the plaintiff did not report back pain to Dr. Horricks until February 24, 2009, almost two months after the Accident. Dr. Fuller, the orthopedic specialist, was asked about this on cross-examination. He noted that the sequencing of patient symptoms is "not black and white" but rather is a nebulous process, in part because the brain tends to focus on only one problem at a time. As such, he opined that pain symptoms in one part of the body could emerge two months or more after an injury. I therefore decline to draw the inference sought by the defendants.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3. Gap in visits to family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Dr. Horricks' report does not make any reference to the plaintiff seeing him for his Accident related injuries between September 2009 and June 2016. The defendants argue that the plaintiff's evidence about the ongoing pain he has suffered since the Accident is undermined by the relatively few times he appears to have seen his family doctor to complain of his injuries 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I am unable to make the inference sought by the defendants with respect to the gap in medical records. As Mr. Justice Smith noted in </w:t>
      </w:r>
      <w:r>
        <w:rPr>
          <w:rFonts w:ascii="arial" w:eastAsia="arial" w:hAnsi="arial" w:cs="arial"/>
          <w:i/>
          <w:color w:val="000000"/>
          <w:sz w:val="20"/>
          <w:lang w:val="en-US" w:eastAsia="en-US" w:bidi="ar-SA"/>
        </w:rPr>
        <w:t>Edmondson v. Payer</w:t>
      </w:r>
      <w:r>
        <w:rPr>
          <w:rFonts w:ascii="arial" w:eastAsia="arial" w:hAnsi="arial" w:cs="arial"/>
          <w:color w:val="000000"/>
          <w:sz w:val="20"/>
          <w:lang w:val="en-US" w:eastAsia="en-US" w:bidi="ar-SA"/>
        </w:rPr>
        <w:t xml:space="preserve">, </w:t>
      </w:r>
      <w:hyperlink r:id="rId104" w:history="1">
        <w:r>
          <w:rPr>
            <w:rFonts w:ascii="arial" w:eastAsia="arial" w:hAnsi="arial" w:cs="arial"/>
            <w:i/>
            <w:color w:val="0077CC"/>
            <w:sz w:val="20"/>
            <w:u w:val="single"/>
            <w:shd w:val="clear" w:color="auto" w:fill="FFFFFF"/>
            <w:lang w:val="en-US" w:eastAsia="en-US" w:bidi="ar-SA"/>
          </w:rPr>
          <w:t>2011 BCSC 118</w:t>
        </w:r>
      </w:hyperlink>
      <w:r>
        <w:rPr>
          <w:rFonts w:ascii="arial" w:eastAsia="arial" w:hAnsi="arial" w:cs="arial"/>
          <w:color w:val="000000"/>
          <w:sz w:val="20"/>
          <w:lang w:val="en-US" w:eastAsia="en-US" w:bidi="ar-SA"/>
        </w:rPr>
        <w:t xml:space="preserve"> at para. 36, aff'd </w:t>
      </w:r>
      <w:hyperlink r:id="rId105" w:history="1">
        <w:r>
          <w:rPr>
            <w:rFonts w:ascii="arial" w:eastAsia="arial" w:hAnsi="arial" w:cs="arial"/>
            <w:i/>
            <w:color w:val="0077CC"/>
            <w:sz w:val="20"/>
            <w:u w:val="single"/>
            <w:shd w:val="clear" w:color="auto" w:fill="FFFFFF"/>
            <w:lang w:val="en-US" w:eastAsia="en-US" w:bidi="ar-SA"/>
          </w:rPr>
          <w:t>2012 BCCA 114</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the content of a clinical record may be evidence for some purposes, the absence of a record is not, in itself, evidence of anything. For example, the absence of reference to a symptom in a doctor's notes of a particular visit cannot be the sole basis for any inference about the existence or non-existence of that symptom. At most, it indicates only that it was not the focus of discussion on that occasion.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cannot infer that if Dr. Horricks did not make a note of something, it was not observed. Nor can I infer that if the plaintiff did not visit Dr. Horricks, he was not suffering pain from his injuries. Dr. Fuller and Dr. Stewart were both cross-examined on the issue of the plaintiff's lack of visits to his family doctor for accident related pain and neither agreed with the defendants' proposition that large gaps in the records of the family doctor were indicative that the plaintiff was not suffering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plaintiff testified that over time he adapted to his pain, and did not see any point in visiting Dr. Horricks. Over the years, Dr. Horricks had repeatedly given the plaintiff the same advice, which was to keep up the physical activity he was already doing. I accept this as a reasonable explanation for the plaintiff not continuing to see his family doctor for his injuries related to the Accident. I decline to draw any inferences about the plaintiff's injuries from his infrequent visits to Dr. Horricks or the relatively few times Dr. Horricks' notes refer to injuries from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Plaintiff's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While the plaintiff was easily distractible when giving evidence, there was nothing in his testimony that caused me to be concerned about his credibility. Indeed there were a number of times in his evidence where it appeared that he found the whole process of talking about his injuries to be quite tiresome and on at least two occasions he apologized to his lawyer for not taking the court case seriously enough over the last few years. Far from being a malingerer, the plaintiff appeared to be someone who is singularly focussed on his work rather than his injuries, and who would not be pursuing his claim were it not for the fact that his injuries impede his ability to fully realize his artistic 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There were numerous points in his direct and cross-examination in which the plaintiff struggled to stay on point and to express himself clearly. The plaintiff is a young adult who is clearly unaccustomed to expressing himself verbally in a public forum. However, in my view, neither his failure to be succinct in his answers nor his tendency to offer irrelevant evidence speak in any meaningful way to the credibility of his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Inconsistencies between discovery evidence and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defendants raise the following inconsistencies between the plaintiff's evidence on examination for discovery and trial:</w:t>
      </w:r>
      <w:r>
        <w:rPr>
          <w:rFonts w:ascii="arial" w:eastAsia="arial" w:hAnsi="arial" w:cs="arial"/>
          <w:sz w:val="20"/>
          <w:lang w:val="en-US" w:eastAsia="en-US" w:bidi="ar-SA"/>
        </w:rPr>
        <w:cr/>
      </w:r>
    </w:p>
    <w:p>
      <w:pPr>
        <w:numPr>
          <w:numId w:val="1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discovery, the plaintiff said he had pain in his neck on most days (not every day) and that the frequency of his pain was decreasing over time. At trial, he said that evidence was incorrect, and that at the discovery he wanted to make himself believe his symptoms were better, so he minimized them. He testified at trial that in fact he has pain in his neck every day.</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discovery, the plaintiff said there were no activities that aggravated the symptoms in his right shoulder, at trial he said that his right shoulder hurt every day at the end of a day of painting.</w:t>
      </w:r>
    </w:p>
    <w:p>
      <w:pPr>
        <w:numPr>
          <w:numId w:val="1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discovery the plaintiff said that the quality of his paintings was not diminished by his injuries, only the speed at which he could produce them. At trial he testified that both quality and productivity were diminished as a result of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plaintiff testified that his memory now is more accurate than it was at the discovery, in part because he has thought more about his injuries and his pain and this made him better able to describe his pain at trial than at discovery. The discovery took place four years prior to the trial, on July 15,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do not accept the plaintiff's evidence that he was better able to describe his symptoms in 2019 than he was in 2015 because he has thought about them more. The discovery took place six and a half years after the Accident. The trial took place ten and a half years after the Accident. The plaintiff's recollection of events and the progress of his symptoms would have been better at discovery than at trial. At discovery the plaintiff reported current pain symptoms that were on the whole less dramatic than the current pain symptoms he reported at trial. I find that the evidence given by the plaintiff on examination for discovery on these points is more reliable than the evidence he gave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However, I do not find that the variations between the evidence given at examination for discovery and trial are significant enough to call into question the credibility of the entirety of the plaintiff's evidence as the defendants have asked me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objective evidence, which includes the x-ray imaging, the results of physical examinations done by the doctors and the vocational testing done by Mr. Kyi, overwhelmingly supports the conclusion that the plaintiff suffers from chronic pain in his neck, lower back and knee. I therefore find that any doubts about the plaintiff's credibility more generally with respect to his claims of chronic pain and diminished function must be resolved in his favour.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While the plaintiff was mostly credible in his evidence, this is not to say his evidence was always reliable. His lack of interest in the business side of his occupation was evident in the confused answers he gave when asked to testify about his income and expenses. In this regard, I agree with the defendants that his evidence was vague, confusing, and ultimately unhelpful to the Court in ascertaining his prior income. I have not relied on any of the plaintiff's evidence about his income or business affairs in assessing damages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The plaintiff must establish on a balance of probabilities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materially contributed to an injury.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need not be the sole cause of the injury. As long as a defendant is part of the cause of an injury, the defendant is liable, even though his act alone was not enough to create the injury: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07"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paras. 13-17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 am satisfied that the Accident caused or materially contributed to the plaintiff's ongoing neck and back pain. The plaintiff was credible when he testified that he has suffered pain in his neck, back and knee for the last ten years. No evidence was tendered to suggest that he had a pre-existing injury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only evidence of any possible intervening event was the notation in Dr. Horricks' report that the plaintiff saw him in October 2011 after he ran into a garage door and struck his shoulder. The defendants ask me to infer that the October 2011 garage door event is the causative factor in the plaintiff's ongoing symptoms. This proposition was put to each of Dr. Horricks, Dr. Fuller and Dr. Stewart and none agreed. The defendants tendered no medical expert who advanced this opinion. Therefore there is no basis on which I could conclude that the October 2011 garage door event caused or contributed to 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Therefore, I conclude that the plaintiff has established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materially contributed to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A plaintiff has an obligation to take all reasonable measures to reduce his damages, including undergoing treatment to alleviate or cure injuries: </w:t>
      </w:r>
      <w:r>
        <w:rPr>
          <w:rFonts w:ascii="arial" w:eastAsia="arial" w:hAnsi="arial" w:cs="arial"/>
          <w:i/>
          <w:color w:val="000000"/>
          <w:sz w:val="20"/>
          <w:lang w:val="en-US" w:eastAsia="en-US" w:bidi="ar-SA"/>
        </w:rPr>
        <w:t>Danicek v. Alexander Holburn Beaudin &amp; Lang</w:t>
      </w:r>
      <w:r>
        <w:rPr>
          <w:rFonts w:ascii="arial" w:eastAsia="arial" w:hAnsi="arial" w:cs="arial"/>
          <w:color w:val="000000"/>
          <w:sz w:val="20"/>
          <w:lang w:val="en-US" w:eastAsia="en-US" w:bidi="ar-SA"/>
        </w:rPr>
        <w:t xml:space="preserve">, </w:t>
      </w:r>
      <w:hyperlink r:id="rId993" w:history="1">
        <w:r>
          <w:rPr>
            <w:rFonts w:ascii="arial" w:eastAsia="arial" w:hAnsi="arial" w:cs="arial"/>
            <w:i/>
            <w:color w:val="0077CC"/>
            <w:sz w:val="20"/>
            <w:u w:val="single"/>
            <w:shd w:val="clear" w:color="auto" w:fill="FFFFFF"/>
            <w:lang w:val="en-US" w:eastAsia="en-US" w:bidi="ar-SA"/>
          </w:rPr>
          <w:t>2010 BCSC 1111</w:t>
        </w:r>
      </w:hyperlink>
      <w:r>
        <w:rPr>
          <w:rFonts w:ascii="arial" w:eastAsia="arial" w:hAnsi="arial" w:cs="arial"/>
          <w:color w:val="000000"/>
          <w:sz w:val="20"/>
          <w:lang w:val="en-US" w:eastAsia="en-US" w:bidi="ar-SA"/>
        </w:rPr>
        <w:t>, at para. 234.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The duty to mitigate is a positive duty but if a defendant's position is that the plaintiff could reasonably have avoided some part of the loss, the defendant bears the onus of proof on that issue: </w:t>
      </w:r>
      <w:r>
        <w:rPr>
          <w:rFonts w:ascii="arial" w:eastAsia="arial" w:hAnsi="arial" w:cs="arial"/>
          <w:i/>
          <w:color w:val="000000"/>
          <w:sz w:val="20"/>
          <w:lang w:val="en-US" w:eastAsia="en-US" w:bidi="ar-SA"/>
        </w:rPr>
        <w:t>Graham v. Rogers</w:t>
      </w:r>
      <w:r>
        <w:rPr>
          <w:rFonts w:ascii="arial" w:eastAsia="arial" w:hAnsi="arial" w:cs="arial"/>
          <w:color w:val="000000"/>
          <w:sz w:val="20"/>
          <w:lang w:val="en-US" w:eastAsia="en-US" w:bidi="ar-SA"/>
        </w:rPr>
        <w:t xml:space="preserve">, </w:t>
      </w:r>
      <w:hyperlink r:id="rId994" w:history="1">
        <w:r>
          <w:rPr>
            <w:rFonts w:ascii="arial" w:eastAsia="arial" w:hAnsi="arial" w:cs="arial"/>
            <w:i/>
            <w:color w:val="0077CC"/>
            <w:sz w:val="20"/>
            <w:u w:val="single"/>
            <w:shd w:val="clear" w:color="auto" w:fill="FFFFFF"/>
            <w:lang w:val="en-US" w:eastAsia="en-US" w:bidi="ar-SA"/>
          </w:rPr>
          <w:t>2001 BCCA 432</w:t>
        </w:r>
      </w:hyperlink>
      <w:r>
        <w:rPr>
          <w:rFonts w:ascii="arial" w:eastAsia="arial" w:hAnsi="arial" w:cs="arial"/>
          <w:color w:val="000000"/>
          <w:sz w:val="20"/>
          <w:lang w:val="en-US" w:eastAsia="en-US" w:bidi="ar-SA"/>
        </w:rPr>
        <w:t>, at para.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A defendant who wishes to establish that a plaintiff has failed to mitigate her loss must prove two things:</w:t>
      </w:r>
      <w:r>
        <w:rPr>
          <w:rFonts w:ascii="arial" w:eastAsia="arial" w:hAnsi="arial" w:cs="arial"/>
          <w:sz w:val="20"/>
          <w:lang w:val="en-US" w:eastAsia="en-US" w:bidi="ar-SA"/>
        </w:rPr>
        <w:cr/>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plaintiff acted unreasonably in eschewing the recommended treatment; and</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extent, if any, to which the plaintiff's damages would have been reduced had she acted reasonably: </w:t>
      </w:r>
      <w:r>
        <w:rPr>
          <w:rFonts w:ascii="arial" w:eastAsia="arial" w:hAnsi="arial" w:cs="arial"/>
          <w:i/>
          <w:color w:val="000000"/>
          <w:sz w:val="20"/>
          <w:lang w:val="en-US" w:eastAsia="en-US" w:bidi="ar-SA"/>
        </w:rPr>
        <w:t>Chiu v. Chiu</w:t>
      </w:r>
      <w:r>
        <w:rPr>
          <w:rFonts w:ascii="arial" w:eastAsia="arial" w:hAnsi="arial" w:cs="arial"/>
          <w:color w:val="000000"/>
          <w:sz w:val="20"/>
          <w:lang w:val="en-US" w:eastAsia="en-US" w:bidi="ar-SA"/>
        </w:rPr>
        <w:t xml:space="preserve">, </w:t>
      </w:r>
      <w:hyperlink r:id="rId995" w:history="1">
        <w:r>
          <w:rPr>
            <w:rFonts w:ascii="arial" w:eastAsia="arial" w:hAnsi="arial" w:cs="arial"/>
            <w:i/>
            <w:color w:val="0077CC"/>
            <w:sz w:val="20"/>
            <w:u w:val="single"/>
            <w:shd w:val="clear" w:color="auto" w:fill="FFFFFF"/>
            <w:lang w:val="en-US" w:eastAsia="en-US" w:bidi="ar-SA"/>
          </w:rPr>
          <w:t>2002 BCCA 618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Chiu</w:t>
      </w:r>
      <w:r>
        <w:rPr>
          <w:rFonts w:ascii="arial" w:eastAsia="arial" w:hAnsi="arial" w:cs="arial"/>
          <w:color w:val="000000"/>
          <w:sz w:val="20"/>
          <w:lang w:val="en-US" w:eastAsia="en-US" w:bidi="ar-SA"/>
        </w:rPr>
        <w:t>], at para. 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 am satisfied that the plaintiff took reasonable measures to reduce his injuries. Between February 5, 2009, and September 1, 2009, he attended physiotherapy on 24 occasions. He engaged in active rehabilitation by working with a personal trainer. He has continued a regular exercise program since the Accident. There was no treatment recommended by his family doctor, Dr. Horricks, which the plaintiff did not partake in. Dr. Stewart confirmed that the plaintiff had obtained an appropriate amount of rehabilitation for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Therefore, I find that the plaintiff took all reasonable steps to mitigate damages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 will now address the plaintiff's claim for damages under the following headings:</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earning capacity;</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 and</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Non-pecuniary damages are awarded to compensate a plaintiff for pain, suffering, loss of enjoyment of life and loss of amenities. In assessing non-pecuniary damages, the court may look to awards made in analogous cases. However, each case must turn on its own unique facts. No two personal injury claims are identical and awarding damages involves an exercise of judgment: </w:t>
      </w:r>
      <w:r>
        <w:rPr>
          <w:rFonts w:ascii="arial" w:eastAsia="arial" w:hAnsi="arial" w:cs="arial"/>
          <w:i/>
          <w:color w:val="000000"/>
          <w:sz w:val="20"/>
          <w:lang w:val="en-US" w:eastAsia="en-US" w:bidi="ar-SA"/>
        </w:rPr>
        <w:t>Kapelus v. Hu</w:t>
      </w:r>
      <w:r>
        <w:rPr>
          <w:rFonts w:ascii="arial" w:eastAsia="arial" w:hAnsi="arial" w:cs="arial"/>
          <w:color w:val="000000"/>
          <w:sz w:val="20"/>
          <w:lang w:val="en-US" w:eastAsia="en-US" w:bidi="ar-SA"/>
        </w:rPr>
        <w:t xml:space="preserve">, </w:t>
      </w:r>
      <w:hyperlink r:id="rId885" w:history="1">
        <w:r>
          <w:rPr>
            <w:rFonts w:ascii="arial" w:eastAsia="arial" w:hAnsi="arial" w:cs="arial"/>
            <w:i/>
            <w:color w:val="0077CC"/>
            <w:sz w:val="20"/>
            <w:u w:val="single"/>
            <w:shd w:val="clear" w:color="auto" w:fill="FFFFFF"/>
            <w:lang w:val="en-US" w:eastAsia="en-US" w:bidi="ar-SA"/>
          </w:rPr>
          <w:t>2013 BCCA 86</w:t>
        </w:r>
      </w:hyperlink>
      <w:r>
        <w:rPr>
          <w:rFonts w:ascii="arial" w:eastAsia="arial" w:hAnsi="arial" w:cs="arial"/>
          <w:color w:val="000000"/>
          <w:sz w:val="20"/>
          <w:lang w:val="en-US" w:eastAsia="en-US" w:bidi="ar-SA"/>
        </w:rPr>
        <w:t xml:space="preserve"> at para.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117"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at para. 46, the Court of Appeal enumerated the factors to be considered in assessing non-pecuniary damages. The factors to be taken into account include: the plaintiff's age; the nature of the injury; the severity and duration of pain; disability; emotional suffering; impairment of family, marital and social relationships; impairment of physical abilities; loss of lifestyle; and the plaintiff's stoicism.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The plaintiff put a number of cases before the Court in support of a claim for $125,000 in non-pecuniary damages: </w:t>
      </w:r>
      <w:r>
        <w:rPr>
          <w:rFonts w:ascii="arial" w:eastAsia="arial" w:hAnsi="arial" w:cs="arial"/>
          <w:i/>
          <w:color w:val="000000"/>
          <w:sz w:val="20"/>
          <w:lang w:val="en-US" w:eastAsia="en-US" w:bidi="ar-SA"/>
        </w:rPr>
        <w:t>Giczi v. Kandola</w:t>
      </w:r>
      <w:r>
        <w:rPr>
          <w:rFonts w:ascii="arial" w:eastAsia="arial" w:hAnsi="arial" w:cs="arial"/>
          <w:color w:val="000000"/>
          <w:sz w:val="20"/>
          <w:lang w:val="en-US" w:eastAsia="en-US" w:bidi="ar-SA"/>
        </w:rPr>
        <w:t xml:space="preserve">, </w:t>
      </w:r>
      <w:hyperlink r:id="rId996" w:history="1">
        <w:r>
          <w:rPr>
            <w:rFonts w:ascii="arial" w:eastAsia="arial" w:hAnsi="arial" w:cs="arial"/>
            <w:i/>
            <w:color w:val="0077CC"/>
            <w:sz w:val="20"/>
            <w:u w:val="single"/>
            <w:shd w:val="clear" w:color="auto" w:fill="FFFFFF"/>
            <w:lang w:val="en-US" w:eastAsia="en-US" w:bidi="ar-SA"/>
          </w:rPr>
          <w:t>2014 BCSC 508</w:t>
        </w:r>
      </w:hyperlink>
      <w:r>
        <w:rPr>
          <w:rFonts w:ascii="arial" w:eastAsia="arial" w:hAnsi="arial" w:cs="arial"/>
          <w:color w:val="000000"/>
          <w:sz w:val="20"/>
          <w:lang w:val="en-US" w:eastAsia="en-US" w:bidi="ar-SA"/>
        </w:rPr>
        <w:t xml:space="preserve"> ($120,000), </w:t>
      </w:r>
      <w:r>
        <w:rPr>
          <w:rFonts w:ascii="arial" w:eastAsia="arial" w:hAnsi="arial" w:cs="arial"/>
          <w:i/>
          <w:color w:val="000000"/>
          <w:sz w:val="20"/>
          <w:lang w:val="en-US" w:eastAsia="en-US" w:bidi="ar-SA"/>
        </w:rPr>
        <w:t>Morlan v. Barrett</w:t>
      </w:r>
      <w:r>
        <w:rPr>
          <w:rFonts w:ascii="arial" w:eastAsia="arial" w:hAnsi="arial" w:cs="arial"/>
          <w:color w:val="000000"/>
          <w:sz w:val="20"/>
          <w:lang w:val="en-US" w:eastAsia="en-US" w:bidi="ar-SA"/>
        </w:rPr>
        <w:t xml:space="preserve">, </w:t>
      </w:r>
      <w:hyperlink r:id="rId130" w:history="1">
        <w:r>
          <w:rPr>
            <w:rFonts w:ascii="arial" w:eastAsia="arial" w:hAnsi="arial" w:cs="arial"/>
            <w:i/>
            <w:color w:val="0077CC"/>
            <w:sz w:val="20"/>
            <w:u w:val="single"/>
            <w:shd w:val="clear" w:color="auto" w:fill="FFFFFF"/>
            <w:lang w:val="en-US" w:eastAsia="en-US" w:bidi="ar-SA"/>
          </w:rPr>
          <w:t>2012 BCCA 66</w:t>
        </w:r>
      </w:hyperlink>
      <w:r>
        <w:rPr>
          <w:rFonts w:ascii="arial" w:eastAsia="arial" w:hAnsi="arial" w:cs="arial"/>
          <w:color w:val="000000"/>
          <w:sz w:val="20"/>
          <w:lang w:val="en-US" w:eastAsia="en-US" w:bidi="ar-SA"/>
        </w:rPr>
        <w:t xml:space="preserve"> ($125,000); </w:t>
      </w:r>
      <w:r>
        <w:rPr>
          <w:rFonts w:ascii="arial" w:eastAsia="arial" w:hAnsi="arial" w:cs="arial"/>
          <w:i/>
          <w:color w:val="000000"/>
          <w:sz w:val="20"/>
          <w:lang w:val="en-US" w:eastAsia="en-US" w:bidi="ar-SA"/>
        </w:rPr>
        <w:t>Reynolds v. M. Sanghera &amp; Sons Trucking Ltd.</w:t>
      </w:r>
      <w:r>
        <w:rPr>
          <w:rFonts w:ascii="arial" w:eastAsia="arial" w:hAnsi="arial" w:cs="arial"/>
          <w:color w:val="000000"/>
          <w:sz w:val="20"/>
          <w:lang w:val="en-US" w:eastAsia="en-US" w:bidi="ar-SA"/>
        </w:rPr>
        <w:t xml:space="preserve">, </w:t>
      </w:r>
      <w:hyperlink r:id="rId997" w:history="1">
        <w:r>
          <w:rPr>
            <w:rFonts w:ascii="arial" w:eastAsia="arial" w:hAnsi="arial" w:cs="arial"/>
            <w:i/>
            <w:color w:val="0077CC"/>
            <w:sz w:val="20"/>
            <w:u w:val="single"/>
            <w:shd w:val="clear" w:color="auto" w:fill="FFFFFF"/>
            <w:lang w:val="en-US" w:eastAsia="en-US" w:bidi="ar-SA"/>
          </w:rPr>
          <w:t>2014 BCSC 212</w:t>
        </w:r>
      </w:hyperlink>
      <w:r>
        <w:rPr>
          <w:rFonts w:ascii="arial" w:eastAsia="arial" w:hAnsi="arial" w:cs="arial"/>
          <w:color w:val="000000"/>
          <w:sz w:val="20"/>
          <w:lang w:val="en-US" w:eastAsia="en-US" w:bidi="ar-SA"/>
        </w:rPr>
        <w:t xml:space="preserve"> ($120,000).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The Defendant relies on the following cases to support non-pecuniary damages of $25,000 - $35,000: </w:t>
      </w:r>
      <w:r>
        <w:rPr>
          <w:rFonts w:ascii="arial" w:eastAsia="arial" w:hAnsi="arial" w:cs="arial"/>
          <w:i/>
          <w:color w:val="000000"/>
          <w:sz w:val="20"/>
          <w:lang w:val="en-US" w:eastAsia="en-US" w:bidi="ar-SA"/>
        </w:rPr>
        <w:t>Eng v. Titov</w:t>
      </w:r>
      <w:r>
        <w:rPr>
          <w:rFonts w:ascii="arial" w:eastAsia="arial" w:hAnsi="arial" w:cs="arial"/>
          <w:color w:val="000000"/>
          <w:sz w:val="20"/>
          <w:lang w:val="en-US" w:eastAsia="en-US" w:bidi="ar-SA"/>
        </w:rPr>
        <w:t xml:space="preserve">, </w:t>
      </w:r>
      <w:hyperlink r:id="rId998" w:history="1">
        <w:r>
          <w:rPr>
            <w:rFonts w:ascii="arial" w:eastAsia="arial" w:hAnsi="arial" w:cs="arial"/>
            <w:i/>
            <w:color w:val="0077CC"/>
            <w:sz w:val="20"/>
            <w:u w:val="single"/>
            <w:shd w:val="clear" w:color="auto" w:fill="FFFFFF"/>
            <w:lang w:val="en-US" w:eastAsia="en-US" w:bidi="ar-SA"/>
          </w:rPr>
          <w:t>2012 BCSC 300</w:t>
        </w:r>
      </w:hyperlink>
      <w:r>
        <w:rPr>
          <w:rFonts w:ascii="arial" w:eastAsia="arial" w:hAnsi="arial" w:cs="arial"/>
          <w:color w:val="000000"/>
          <w:sz w:val="20"/>
          <w:lang w:val="en-US" w:eastAsia="en-US" w:bidi="ar-SA"/>
        </w:rPr>
        <w:t xml:space="preserve"> ($40,000), </w:t>
      </w:r>
      <w:r>
        <w:rPr>
          <w:rFonts w:ascii="arial" w:eastAsia="arial" w:hAnsi="arial" w:cs="arial"/>
          <w:i/>
          <w:color w:val="000000"/>
          <w:sz w:val="20"/>
          <w:lang w:val="en-US" w:eastAsia="en-US" w:bidi="ar-SA"/>
        </w:rPr>
        <w:t>St. Germain v. Jemmot</w:t>
      </w:r>
      <w:r>
        <w:rPr>
          <w:rFonts w:ascii="arial" w:eastAsia="arial" w:hAnsi="arial" w:cs="arial"/>
          <w:color w:val="000000"/>
          <w:sz w:val="20"/>
          <w:lang w:val="en-US" w:eastAsia="en-US" w:bidi="ar-SA"/>
        </w:rPr>
        <w:t xml:space="preserve">, </w:t>
      </w:r>
      <w:hyperlink r:id="rId999" w:history="1">
        <w:r>
          <w:rPr>
            <w:rFonts w:ascii="arial" w:eastAsia="arial" w:hAnsi="arial" w:cs="arial"/>
            <w:i/>
            <w:color w:val="0077CC"/>
            <w:sz w:val="20"/>
            <w:u w:val="single"/>
            <w:shd w:val="clear" w:color="auto" w:fill="FFFFFF"/>
            <w:lang w:val="en-US" w:eastAsia="en-US" w:bidi="ar-SA"/>
          </w:rPr>
          <w:t>2012 BCSC 1041</w:t>
        </w:r>
      </w:hyperlink>
      <w:r>
        <w:rPr>
          <w:rFonts w:ascii="arial" w:eastAsia="arial" w:hAnsi="arial" w:cs="arial"/>
          <w:color w:val="000000"/>
          <w:sz w:val="20"/>
          <w:lang w:val="en-US" w:eastAsia="en-US" w:bidi="ar-SA"/>
        </w:rPr>
        <w:t xml:space="preserve"> ($35,000), </w:t>
      </w:r>
      <w:r>
        <w:rPr>
          <w:rFonts w:ascii="arial" w:eastAsia="arial" w:hAnsi="arial" w:cs="arial"/>
          <w:i/>
          <w:color w:val="000000"/>
          <w:sz w:val="20"/>
          <w:lang w:val="en-US" w:eastAsia="en-US" w:bidi="ar-SA"/>
        </w:rPr>
        <w:t>Wilkinson v. Whitlock</w:t>
      </w:r>
      <w:r>
        <w:rPr>
          <w:rFonts w:ascii="arial" w:eastAsia="arial" w:hAnsi="arial" w:cs="arial"/>
          <w:color w:val="000000"/>
          <w:sz w:val="20"/>
          <w:lang w:val="en-US" w:eastAsia="en-US" w:bidi="ar-SA"/>
        </w:rPr>
        <w:t xml:space="preserve">, </w:t>
      </w:r>
      <w:hyperlink r:id="rId1000" w:history="1">
        <w:r>
          <w:rPr>
            <w:rFonts w:ascii="arial" w:eastAsia="arial" w:hAnsi="arial" w:cs="arial"/>
            <w:i/>
            <w:color w:val="0077CC"/>
            <w:sz w:val="20"/>
            <w:u w:val="single"/>
            <w:shd w:val="clear" w:color="auto" w:fill="FFFFFF"/>
            <w:lang w:val="en-US" w:eastAsia="en-US" w:bidi="ar-SA"/>
          </w:rPr>
          <w:t>2011 BCSC 1781</w:t>
        </w:r>
      </w:hyperlink>
      <w:r>
        <w:rPr>
          <w:rFonts w:ascii="arial" w:eastAsia="arial" w:hAnsi="arial" w:cs="arial"/>
          <w:color w:val="000000"/>
          <w:sz w:val="20"/>
          <w:lang w:val="en-US" w:eastAsia="en-US" w:bidi="ar-SA"/>
        </w:rPr>
        <w:t xml:space="preserve"> ($40,000), </w:t>
      </w:r>
      <w:r>
        <w:rPr>
          <w:rFonts w:ascii="arial" w:eastAsia="arial" w:hAnsi="arial" w:cs="arial"/>
          <w:i/>
          <w:color w:val="000000"/>
          <w:sz w:val="20"/>
          <w:lang w:val="en-US" w:eastAsia="en-US" w:bidi="ar-SA"/>
        </w:rPr>
        <w:t>Sharma v. Didiuk</w:t>
      </w:r>
      <w:r>
        <w:rPr>
          <w:rFonts w:ascii="arial" w:eastAsia="arial" w:hAnsi="arial" w:cs="arial"/>
          <w:color w:val="000000"/>
          <w:sz w:val="20"/>
          <w:lang w:val="en-US" w:eastAsia="en-US" w:bidi="ar-SA"/>
        </w:rPr>
        <w:t xml:space="preserve">, </w:t>
      </w:r>
      <w:hyperlink r:id="rId1001" w:history="1">
        <w:r>
          <w:rPr>
            <w:rFonts w:ascii="arial" w:eastAsia="arial" w:hAnsi="arial" w:cs="arial"/>
            <w:i/>
            <w:color w:val="0077CC"/>
            <w:sz w:val="20"/>
            <w:u w:val="single"/>
            <w:shd w:val="clear" w:color="auto" w:fill="FFFFFF"/>
            <w:lang w:val="en-US" w:eastAsia="en-US" w:bidi="ar-SA"/>
          </w:rPr>
          <w:t>2010 BCSC 280</w:t>
        </w:r>
      </w:hyperlink>
      <w:r>
        <w:rPr>
          <w:rFonts w:ascii="arial" w:eastAsia="arial" w:hAnsi="arial" w:cs="arial"/>
          <w:color w:val="000000"/>
          <w:sz w:val="20"/>
          <w:lang w:val="en-US" w:eastAsia="en-US" w:bidi="ar-SA"/>
        </w:rPr>
        <w:t xml:space="preserve"> ($30,000), </w:t>
      </w:r>
      <w:r>
        <w:rPr>
          <w:rFonts w:ascii="arial" w:eastAsia="arial" w:hAnsi="arial" w:cs="arial"/>
          <w:i/>
          <w:color w:val="000000"/>
          <w:sz w:val="20"/>
          <w:lang w:val="en-US" w:eastAsia="en-US" w:bidi="ar-SA"/>
        </w:rPr>
        <w:t>Gonzales v. Voskakis</w:t>
      </w:r>
      <w:r>
        <w:rPr>
          <w:rFonts w:ascii="arial" w:eastAsia="arial" w:hAnsi="arial" w:cs="arial"/>
          <w:color w:val="000000"/>
          <w:sz w:val="20"/>
          <w:lang w:val="en-US" w:eastAsia="en-US" w:bidi="ar-SA"/>
        </w:rPr>
        <w:t xml:space="preserve">, </w:t>
      </w:r>
      <w:hyperlink r:id="rId1002" w:history="1">
        <w:r>
          <w:rPr>
            <w:rFonts w:ascii="arial" w:eastAsia="arial" w:hAnsi="arial" w:cs="arial"/>
            <w:i/>
            <w:color w:val="0077CC"/>
            <w:sz w:val="20"/>
            <w:u w:val="single"/>
            <w:shd w:val="clear" w:color="auto" w:fill="FFFFFF"/>
            <w:lang w:val="en-US" w:eastAsia="en-US" w:bidi="ar-SA"/>
          </w:rPr>
          <w:t>2013 BCSC 215</w:t>
        </w:r>
      </w:hyperlink>
      <w:r>
        <w:rPr>
          <w:rFonts w:ascii="arial" w:eastAsia="arial" w:hAnsi="arial" w:cs="arial"/>
          <w:color w:val="000000"/>
          <w:sz w:val="20"/>
          <w:lang w:val="en-US" w:eastAsia="en-US" w:bidi="ar-SA"/>
        </w:rPr>
        <w:t xml:space="preserve"> ($20,000).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cases relied on by the defendants in support of a modest award are distinguishable. None involved a young plaintiff who was injured as a child. In a chronic pain case such as this one, the age of the plaintiff and consequent long duration of his suffering is a relevant factor in determining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cases relied on by the plaintiff are also of limited assistance insofar as they involved plaintiffs whose day to day lives were far more impacted by their injuries than the plaintiff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Accident caused the plaintiff's neck, back and knee injuries. The resultant pain reduces his functionality. For the last ten years he has experienced pain or discomfort on a regular basis and he can expect to experience pain or discomfort for the rest of his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Notwithstanding the long term nature of his injuries, the evidence shows that the plaintiff has mostly been able to carry on with his life unimpeded. The main ongoing concern is that he has difficulty sitting and standing in one position for extended periods, which primarily impacts his ability to work as an artistic painter. His personal life has not been significantly curtailed. He continues to travel and to exercise regularly, although his knee pain impedes his ability to run recreationally. He is in a serious romantic relationship and has made long term plans for the future. He has been able to continue to pursue his passion, which is artistic painting, although his productive output and to a certain extent his ability to realize his artistic vision are impeded to a modest degree by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It is relevant that the plaintiff has been suffering pain and discomfort since he was 13 and at trial he was only 24. He has the majority of his adult life ahead of him and it is clear that his pain and discomfort are unlikely to improve.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In all the circumstances, I find that an award of $75,000 for non-pecuniary damages is appropriate in this case. It reflects the fact that, while the injuries suffered by the plaintiff are not severe, he is likely to suffer from them for a very long time.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This head of damages constitutes the most significant and complex aspect of the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plaintiff seeks an award of $200,000 for past loss of earning capacity and $750,000 for future loss of earning capacity. The defendants argue that there should be no award for past or future income loss.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The legal principle that governs the assessment for loss of earning capacity is that, insofar as it is possible, the plaintiff should be put in the position he or she would have been in but for the injuries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Lines v. W &amp; D Logging Co. Ltd.</w:t>
      </w:r>
      <w:r>
        <w:rPr>
          <w:rFonts w:ascii="arial" w:eastAsia="arial" w:hAnsi="arial" w:cs="arial"/>
          <w:color w:val="000000"/>
          <w:sz w:val="20"/>
          <w:lang w:val="en-US" w:eastAsia="en-US" w:bidi="ar-SA"/>
        </w:rPr>
        <w:t xml:space="preserve">, </w:t>
      </w:r>
      <w:hyperlink r:id="rId188"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at para. 185 [</w:t>
      </w:r>
      <w:r>
        <w:rPr>
          <w:rFonts w:ascii="arial" w:eastAsia="arial" w:hAnsi="arial" w:cs="arial"/>
          <w:i/>
          <w:color w:val="000000"/>
          <w:sz w:val="20"/>
          <w:lang w:val="en-US" w:eastAsia="en-US" w:bidi="ar-SA"/>
        </w:rPr>
        <w:t>Lines</w:t>
      </w:r>
      <w:r>
        <w:rPr>
          <w:rFonts w:ascii="arial" w:eastAsia="arial" w:hAnsi="arial" w:cs="arial"/>
          <w:color w:val="000000"/>
          <w:sz w:val="20"/>
          <w:lang w:val="en-US" w:eastAsia="en-US" w:bidi="ar-SA"/>
        </w:rPr>
        <w:t xml:space="preserve">]. An award for loss of earning capacity represents compensation for a pecuniary loss: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273"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 32. Compensation must be made for the loss of the plaintiff's earning capacity over the duration of their working life -- including factors such as reduced promotion opportunities (or pace of career advancement) and adjustment in retirement age -- as opposed to a simple analysis of the plaintiff's raw loss of earnings prior to and post impairment: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w:t>
      </w:r>
      <w:hyperlink r:id="rId1003" w:history="1">
        <w:r>
          <w:rPr>
            <w:rFonts w:ascii="arial" w:eastAsia="arial" w:hAnsi="arial" w:cs="arial"/>
            <w:i/>
            <w:color w:val="0077CC"/>
            <w:sz w:val="20"/>
            <w:u w:val="single"/>
            <w:shd w:val="clear" w:color="auto" w:fill="FFFFFF"/>
            <w:lang w:val="en-US" w:eastAsia="en-US" w:bidi="ar-SA"/>
          </w:rPr>
          <w:t>2011 BCSC 944</w:t>
        </w:r>
      </w:hyperlink>
      <w:r>
        <w:rPr>
          <w:rFonts w:ascii="arial" w:eastAsia="arial" w:hAnsi="arial" w:cs="arial"/>
          <w:color w:val="000000"/>
          <w:sz w:val="20"/>
          <w:lang w:val="en-US" w:eastAsia="en-US" w:bidi="ar-SA"/>
        </w:rPr>
        <w:t xml:space="preserve"> at paras. 188-193.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Falati v. Smith</w:t>
      </w:r>
      <w:r>
        <w:rPr>
          <w:rFonts w:ascii="arial" w:eastAsia="arial" w:hAnsi="arial" w:cs="arial"/>
          <w:color w:val="000000"/>
          <w:sz w:val="20"/>
          <w:lang w:val="en-US" w:eastAsia="en-US" w:bidi="ar-SA"/>
        </w:rPr>
        <w:t xml:space="preserve">, </w:t>
      </w:r>
      <w:hyperlink r:id="rId1004" w:history="1">
        <w:r>
          <w:rPr>
            <w:rFonts w:ascii="arial" w:eastAsia="arial" w:hAnsi="arial" w:cs="arial"/>
            <w:i/>
            <w:color w:val="0077CC"/>
            <w:sz w:val="20"/>
            <w:u w:val="single"/>
            <w:shd w:val="clear" w:color="auto" w:fill="FFFFFF"/>
            <w:lang w:val="en-US" w:eastAsia="en-US" w:bidi="ar-SA"/>
          </w:rPr>
          <w:t>2010 BCSC 465</w:t>
        </w:r>
      </w:hyperlink>
      <w:r>
        <w:rPr>
          <w:rFonts w:ascii="arial" w:eastAsia="arial" w:hAnsi="arial" w:cs="arial"/>
          <w:color w:val="000000"/>
          <w:sz w:val="20"/>
          <w:lang w:val="en-US" w:eastAsia="en-US" w:bidi="ar-SA"/>
        </w:rPr>
        <w:t xml:space="preserve"> at paras. 40-41, aff'd </w:t>
      </w:r>
      <w:hyperlink r:id="rId1005" w:history="1">
        <w:r>
          <w:rPr>
            <w:rFonts w:ascii="arial" w:eastAsia="arial" w:hAnsi="arial" w:cs="arial"/>
            <w:i/>
            <w:color w:val="0077CC"/>
            <w:sz w:val="20"/>
            <w:u w:val="single"/>
            <w:shd w:val="clear" w:color="auto" w:fill="FFFFFF"/>
            <w:lang w:val="en-US" w:eastAsia="en-US" w:bidi="ar-SA"/>
          </w:rPr>
          <w:t>2011 BCCA 45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Falati</w:t>
      </w:r>
      <w:r>
        <w:rPr>
          <w:rFonts w:ascii="arial" w:eastAsia="arial" w:hAnsi="arial" w:cs="arial"/>
          <w:color w:val="000000"/>
          <w:sz w:val="20"/>
          <w:lang w:val="en-US" w:eastAsia="en-US" w:bidi="ar-SA"/>
        </w:rPr>
        <w:t>], the Court set out certain principles which inform the assessment of loss of earning capacity:</w:t>
      </w:r>
      <w:r>
        <w:rPr>
          <w:rFonts w:ascii="arial" w:eastAsia="arial" w:hAnsi="arial" w:cs="arial"/>
          <w:sz w:val="20"/>
          <w:lang w:val="en-US" w:eastAsia="en-US" w:bidi="ar-SA"/>
        </w:rPr>
        <w:cr/>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of damages for loss of earning capacity may involve a consideration of hypothetical events;</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standard of proof is not the balance of probabilities. The plaintiff need only establish a real and substantial possibility of loss;</w:t>
      </w:r>
    </w:p>
    <w:p>
      <w:pPr>
        <w:numPr>
          <w:numId w:val="2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must make allowances for the possibility that the assumptions upon which an award is based may prove to be wrong; and</w:t>
      </w:r>
    </w:p>
    <w:p>
      <w:pPr>
        <w:numPr>
          <w:numId w:val="2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must assess damages for loss of earning capacity, rather than calculating those damages with mathematical precision.</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Past loss of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Although a claim for "past loss of income" is often characterized as a separate head of damages, it is properly characterized as a component of loss of earning capacity: </w:t>
      </w:r>
      <w:r>
        <w:rPr>
          <w:rFonts w:ascii="arial" w:eastAsia="arial" w:hAnsi="arial" w:cs="arial"/>
          <w:i/>
          <w:color w:val="000000"/>
          <w:sz w:val="20"/>
          <w:lang w:val="en-US" w:eastAsia="en-US" w:bidi="ar-SA"/>
        </w:rPr>
        <w:t>Falati</w:t>
      </w:r>
      <w:r>
        <w:rPr>
          <w:rFonts w:ascii="arial" w:eastAsia="arial" w:hAnsi="arial" w:cs="arial"/>
          <w:color w:val="000000"/>
          <w:sz w:val="20"/>
          <w:lang w:val="en-US" w:eastAsia="en-US" w:bidi="ar-SA"/>
        </w:rPr>
        <w:t xml:space="preserve"> at para. 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While the burden of proof relating to actual past events is a balance of probabilities, a past hypothetical event will be considered as long as it was a real and substantial possibility and not mere speculation: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A plaintiff is entitled to recover damages only for past net income loss. In other words, the court must deduct the amount of income tax payable from lost gross earnings: </w:t>
      </w:r>
      <w:r>
        <w:rPr>
          <w:rFonts w:ascii="arial" w:eastAsia="arial" w:hAnsi="arial" w:cs="arial"/>
          <w:i/>
          <w:color w:val="000000"/>
          <w:sz w:val="20"/>
          <w:lang w:val="en-US" w:eastAsia="en-US" w:bidi="ar-SA"/>
        </w:rPr>
        <w:t>Hudniuk v. Warkentin</w:t>
      </w:r>
      <w:r>
        <w:rPr>
          <w:rFonts w:ascii="arial" w:eastAsia="arial" w:hAnsi="arial" w:cs="arial"/>
          <w:color w:val="000000"/>
          <w:sz w:val="20"/>
          <w:lang w:val="en-US" w:eastAsia="en-US" w:bidi="ar-SA"/>
        </w:rPr>
        <w:t xml:space="preserve">, </w:t>
      </w:r>
      <w:hyperlink r:id="rId196" w:history="1">
        <w:r>
          <w:rPr>
            <w:rFonts w:ascii="arial" w:eastAsia="arial" w:hAnsi="arial" w:cs="arial"/>
            <w:i/>
            <w:color w:val="0077CC"/>
            <w:sz w:val="20"/>
            <w:u w:val="single"/>
            <w:shd w:val="clear" w:color="auto" w:fill="FFFFFF"/>
            <w:lang w:val="en-US" w:eastAsia="en-US" w:bidi="ar-SA"/>
          </w:rPr>
          <w:t>2003 BCSC 62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It is extremely challenging to determine the plaintiff's past and future loss of earning capacity given the nature of his work, his young age at the time the Accident occurred and the fact that his income has been and will continue to be dependent on the vagaries of the art market. That said, the evidence is abundantly clear that irrespective of the Accident, the plaintiff's passion and chosen career path is artistic painting. It is therefore unnecessary for me to consider other hypothetical scenarios as to what career path he would choose had the Accident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In terms of quantifying past loss of earning capacity, I am aided by the expert reports of Ms. Minard and Mr. van den Berg, which suggest that the plaintiff's income earning prospects, past and future, have been modestly diminished by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only evidence about the differential between the plaintiff's current artistic output and his likely output if he were injury free is the plaintiff's testimony that he would be able to generate paintings at a rate that is three times faster than at present if he were uninjured. The primary reason for this is his inability to work for a sustained enough period of time to finish a pallet knife painting in a single day, requiring him to complete his paintings using a brush which takes a longer amount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plaintiff was in the eighth grade when the Accident occurred. While he did earn some income from painting that year and in the ensuing years of high school, I am not satisfied that, given his age and full time schooling, his income would have been different in high school had the Accident not occurred. Both the plaintiff and Ms. Parvanta testified that the plaintiff only started pursuing art as a career after high school and as such, I find that the only years for which past income loss should be considered are the years after the plaintiff graduated from high school in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 have further determined that I must only consider past income loss in relation to the sale of paintings, not the employment income the plaintiff earned from Gajoum D'Art Studios between 2014 and 2017. There are two reasons for this. First, there is insufficient evidence for me to find that the plaintiff's work performance as an apprentice to Kal Gajoum was impacted by his injuries. Both the plaintiff and Kal Gajoum testified that the plaintiff never told his stepfather about the extent of his injuries nor was Kal Gajoum aware of them. Second, it is not clear to me that the salary the plaintiff received from Gajoum D'Art Studio ever had any relationship to the amount of work he actually did. The plaintiff was not paid hourly, nor did he have a set salary, and the T4 income he received was not paid directly to him but rather went to pay expenses on his behalf, such as the cost of the family's property in Nice.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It is possible that the plaintiff's salary was determined more on the basis of income splitting opportunities than actual work done; it is impossible on the record for me to determine one way or another. What is clear is that his salary during that period bears no clear relationship to work done. Thus, I am unable to find that the plaintiff would have made more money as an apprentice had he been uninjured.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With respect to painting sales, the plaintiff's income appears to have varied quite dramatically between 2014, the first year he worked full time as an artist, and the trial in 2019. The invoices in evidence suggest that his painting sales in 2015 were over $27,000, in 2016 were $12,652, and in 2018 were $30,550.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While the plaintiff estimates that he could paint three times faster if he were uninjured, this does not mean he would sell three times as many paintings. Particularly in the early years, when the plaintiff was exhibiting jointly with Kal Gajoum and establishing his own reputation as an artist, I find that absent his injuries it is unlikely that the plaintiff would have sold many more paintings than he actually sold during this period. He was, at the time, an extremely young and inexperienced artist, albeit one who clearly had a great deal of talent (something that even Kal Gajoum has admitted).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Both Ms. Minard and Mr. van den Berg remarked on the plaintiff's unusual success for an artist his age. Even with his injuries, the plaintiff has been able to make a living selling paintings since graduating from high school; something most artists are not able to do. However, I find it unlikely that, assuming he could produce more art, the plaintiff's career selling art would have accelerated faster than it already did during the period between 2014 when he started working full time as an artist and 2017, when his working relationship with Kal Gajoum came to an end. Therefore, I would not award any past wage loss for that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plaintiff's circumstances changed in 2017 when the relationship between his mother and stepfather broke down and he was no longer producing and exhibiting art in conjunction with Kal Gajoum. After the December 2017 consignment agreement with Le Soleil, the plaintiff only sold his art through a single gallery (the short lived consignment agreement with Mountain Galleries having resulted in no painting sales). Mr. Darel testified that he would like to receive more paintings from the plaintiff and he believed he could sell them, particularly if they were larger paintings. Thus, I find that for the years 2018 and 2019, the plaintiff has experienced some modest income loss because, but for the Accident, he likely would have produced more large paintings, some of which likely would have sold.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plaintiff sells his large paintings, which are about 40x60 in size, for an artist's price of $5,000 to $9,000. If he sold one or two additional large paintings in each of 2018 and 2019, his income from those sales would be reduced by his business expenses and tax. Recognizing that loss of earning capacity cannot be a mathematical exercise, and in all the circumstances, I award the plaintiff $10,000 to reflect past loss of earning capacity for the years 2018 and 2019.</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3.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A plaintiff may prove the quantification of loss of future earning capacity on an earnings approach or a capital asset approach. Both are correct. The capital asset approach is often more appropriate where the pecuniary loss is not easily measured: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128"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paras. 27, 32. Either way, this Court must endeavour to quantify the financial harm accruing to the plaintiff from his injuries over the course of his working career, taking into account relevant and realistic negative and positive contingencies.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With respect to an award for loss of future income earning capacity, the court must consider overall fairness and reasonableness, taking all the evidence into account. The process of assessing damages on the basis of hypothetical future events may be characterized as an art, as opposed to an exact science: </w:t>
      </w:r>
      <w:r>
        <w:rPr>
          <w:rFonts w:ascii="arial" w:eastAsia="arial" w:hAnsi="arial" w:cs="arial"/>
          <w:i/>
          <w:color w:val="000000"/>
          <w:sz w:val="20"/>
          <w:lang w:val="en-US" w:eastAsia="en-US" w:bidi="ar-SA"/>
        </w:rPr>
        <w:t>Shapiro v. Dailey</w:t>
      </w:r>
      <w:r>
        <w:rPr>
          <w:rFonts w:ascii="arial" w:eastAsia="arial" w:hAnsi="arial" w:cs="arial"/>
          <w:color w:val="000000"/>
          <w:sz w:val="20"/>
          <w:lang w:val="en-US" w:eastAsia="en-US" w:bidi="ar-SA"/>
        </w:rPr>
        <w:t xml:space="preserve">, </w:t>
      </w:r>
      <w:hyperlink r:id="rId283" w:history="1">
        <w:r>
          <w:rPr>
            <w:rFonts w:ascii="arial" w:eastAsia="arial" w:hAnsi="arial" w:cs="arial"/>
            <w:i/>
            <w:color w:val="0077CC"/>
            <w:sz w:val="20"/>
            <w:u w:val="single"/>
            <w:shd w:val="clear" w:color="auto" w:fill="FFFFFF"/>
            <w:lang w:val="en-US" w:eastAsia="en-US" w:bidi="ar-SA"/>
          </w:rPr>
          <w:t>2012 BCCA 128</w:t>
        </w:r>
      </w:hyperlink>
      <w:r>
        <w:rPr>
          <w:rFonts w:ascii="arial" w:eastAsia="arial" w:hAnsi="arial" w:cs="arial"/>
          <w:color w:val="000000"/>
          <w:sz w:val="20"/>
          <w:lang w:val="en-US" w:eastAsia="en-US" w:bidi="ar-SA"/>
        </w:rPr>
        <w:t xml:space="preserve"> at para. 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A plaintiff is entitled to be compensated for real and substantial possibilities of loss, which are to be quantified by estimating the chance of the loss occurring. The valuation of loss of earning capacity may involve a comparison of what the plaintiff would probably have earned but for the Accident with what he will probably earn in his injured condition. Since the course of future events is unknown, allowance must be made for the contingency that the assumptions upon which the award is based may prove to be wrong: </w:t>
      </w:r>
      <w:r>
        <w:rPr>
          <w:rFonts w:ascii="arial" w:eastAsia="arial" w:hAnsi="arial" w:cs="arial"/>
          <w:i/>
          <w:color w:val="000000"/>
          <w:sz w:val="20"/>
          <w:lang w:val="en-US" w:eastAsia="en-US" w:bidi="ar-SA"/>
        </w:rPr>
        <w:t>Reilly v. Lynn</w:t>
      </w:r>
      <w:r>
        <w:rPr>
          <w:rFonts w:ascii="arial" w:eastAsia="arial" w:hAnsi="arial" w:cs="arial"/>
          <w:color w:val="000000"/>
          <w:sz w:val="20"/>
          <w:lang w:val="en-US" w:eastAsia="en-US" w:bidi="ar-SA"/>
        </w:rPr>
        <w:t xml:space="preserve">, </w:t>
      </w:r>
      <w:hyperlink r:id="rId1006"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 xml:space="preserve"> at para. 101.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The plaintiff submits that the capital asset approach is appropriate in this case to determine the plaintiff's future loss of income earning capacity. The capital asset approach requires the court to consider the four factors set out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127"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in the context of the particular facts of the case. The court must make findings of fact as to the nature and extent of the plaintiff's loss of capacity and how that loss may impact the plaintiff's ability to earn income: </w:t>
      </w:r>
      <w:r>
        <w:rPr>
          <w:rFonts w:ascii="arial" w:eastAsia="arial" w:hAnsi="arial" w:cs="arial"/>
          <w:i/>
          <w:color w:val="000000"/>
          <w:sz w:val="20"/>
          <w:lang w:val="en-US" w:eastAsia="en-US" w:bidi="ar-SA"/>
        </w:rPr>
        <w:t>Morgan v. Galbraith</w:t>
      </w:r>
      <w:r>
        <w:rPr>
          <w:rFonts w:ascii="arial" w:eastAsia="arial" w:hAnsi="arial" w:cs="arial"/>
          <w:color w:val="000000"/>
          <w:sz w:val="20"/>
          <w:lang w:val="en-US" w:eastAsia="en-US" w:bidi="ar-SA"/>
        </w:rPr>
        <w:t xml:space="preserve">, </w:t>
      </w:r>
      <w:hyperlink r:id="rId1007" w:history="1">
        <w:r>
          <w:rPr>
            <w:rFonts w:ascii="arial" w:eastAsia="arial" w:hAnsi="arial" w:cs="arial"/>
            <w:i/>
            <w:color w:val="0077CC"/>
            <w:sz w:val="20"/>
            <w:u w:val="single"/>
            <w:shd w:val="clear" w:color="auto" w:fill="FFFFFF"/>
            <w:lang w:val="en-US" w:eastAsia="en-US" w:bidi="ar-SA"/>
          </w:rPr>
          <w:t>2013 BCCA 305</w:t>
        </w:r>
      </w:hyperlink>
      <w:r>
        <w:rPr>
          <w:rFonts w:ascii="arial" w:eastAsia="arial" w:hAnsi="arial" w:cs="arial"/>
          <w:color w:val="000000"/>
          <w:sz w:val="20"/>
          <w:lang w:val="en-US" w:eastAsia="en-US" w:bidi="ar-SA"/>
        </w:rPr>
        <w:t xml:space="preserve"> at para. 56 [</w:t>
      </w:r>
      <w:r>
        <w:rPr>
          <w:rFonts w:ascii="arial" w:eastAsia="arial" w:hAnsi="arial" w:cs="arial"/>
          <w:i/>
          <w:color w:val="000000"/>
          <w:sz w:val="20"/>
          <w:lang w:val="en-US" w:eastAsia="en-US" w:bidi="ar-SA"/>
        </w:rPr>
        <w:t>Morgan]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four factors are:</w:t>
      </w:r>
      <w:r>
        <w:rPr>
          <w:rFonts w:ascii="arial" w:eastAsia="arial" w:hAnsi="arial" w:cs="arial"/>
          <w:sz w:val="20"/>
          <w:lang w:val="en-US" w:eastAsia="en-US" w:bidi="ar-SA"/>
        </w:rPr>
        <w:cr/>
      </w:r>
    </w:p>
    <w:p>
      <w:pPr>
        <w:numPr>
          <w:numId w:val="2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has been rendered less capable overall from earning income from all types of employment;</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is less marketable or attractive as an employee to potential employers;</w:t>
      </w:r>
    </w:p>
    <w:p>
      <w:pPr>
        <w:numPr>
          <w:numId w:val="2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has lost the ability to take advantage of job opportunities which might otherwise have been open to him, had he not been injured; and</w:t>
      </w:r>
    </w:p>
    <w:p>
      <w:pPr>
        <w:numPr>
          <w:numId w:val="2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is less valuable to himself as a person capable of earning income in a competitive market.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Morgan</w:t>
      </w:r>
      <w:r>
        <w:rPr>
          <w:rFonts w:ascii="arial" w:eastAsia="arial" w:hAnsi="arial" w:cs="arial"/>
          <w:color w:val="000000"/>
          <w:sz w:val="20"/>
          <w:lang w:val="en-US" w:eastAsia="en-US" w:bidi="ar-SA"/>
        </w:rPr>
        <w:t xml:space="preserve"> at para. 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plaintiff has been on a singular career trajectory since he was a child. He has no formal education beyond grade 12 and he has never done any kind of paid work other than apprenticing and artistic painting. His income earning potential outside the world of artistic painting, even absent injury, would not have been promising. However, based on the expert evidence of Ms. Minard and Mr. van den Berg, I find that future income earning capacity of the plaintiff, with or without injury, is such that it is probable that his income will steadily rise as he matures as a painter and becomes better known. I do not have sufficient evidence before me to determine the likely rate of that increase in his income over the course of his career.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 am also satisfied that the injuries suffered in the Accident and the resulting symptoms somewhat impair the plaintiff's ability to earn income in his chosen profession and that there is a real and substantial possibility that his diminished earning capacity has resulted and will result in a pecuniary loss. While the plaintiff still has a bright future ahead of him as a painter, the future is not quite as bright at it would be had he not been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In terms of quantifying future loss of income capacity, the plaintiff submits that the Court should follow the approach taken in </w:t>
      </w:r>
      <w:r>
        <w:rPr>
          <w:rFonts w:ascii="arial" w:eastAsia="arial" w:hAnsi="arial" w:cs="arial"/>
          <w:i/>
          <w:color w:val="000000"/>
          <w:sz w:val="20"/>
          <w:lang w:val="en-US" w:eastAsia="en-US" w:bidi="ar-SA"/>
        </w:rPr>
        <w:t>Giczi v. Kandola</w:t>
      </w:r>
      <w:r>
        <w:rPr>
          <w:rFonts w:ascii="arial" w:eastAsia="arial" w:hAnsi="arial" w:cs="arial"/>
          <w:color w:val="000000"/>
          <w:sz w:val="20"/>
          <w:lang w:val="en-US" w:eastAsia="en-US" w:bidi="ar-SA"/>
        </w:rPr>
        <w:t xml:space="preserve">, </w:t>
      </w:r>
      <w:hyperlink r:id="rId996" w:history="1">
        <w:r>
          <w:rPr>
            <w:rFonts w:ascii="arial" w:eastAsia="arial" w:hAnsi="arial" w:cs="arial"/>
            <w:i/>
            <w:color w:val="0077CC"/>
            <w:sz w:val="20"/>
            <w:u w:val="single"/>
            <w:shd w:val="clear" w:color="auto" w:fill="FFFFFF"/>
            <w:lang w:val="en-US" w:eastAsia="en-US" w:bidi="ar-SA"/>
          </w:rPr>
          <w:t>2014 BCSC 508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Giczi</w:t>
      </w:r>
      <w:r>
        <w:rPr>
          <w:rFonts w:ascii="arial" w:eastAsia="arial" w:hAnsi="arial" w:cs="arial"/>
          <w:color w:val="000000"/>
          <w:sz w:val="20"/>
          <w:lang w:val="en-US" w:eastAsia="en-US" w:bidi="ar-SA"/>
        </w:rPr>
        <w:t>]. That case involved a singer who performed a Bette Midler tribute show and, as a result of an injury from a motor vehicle accident, was no longer able to sing professionally. Part of the court's task in determining income loss was to determine the likelihood that the plaintiff's show would have been financially successful had the Accident not occurred. Mr. Justice Sigurdson approached the issue by assigning a percentage possibility (15%) to the plaintiff achieving some long term financial success as a Bette Midler tribute performer. The likelihood of success was factored into the $175,000 award made for impairment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The plaintiff asks me to take a similar approach to the one taken by Sigurdson J. in </w:t>
      </w:r>
      <w:r>
        <w:rPr>
          <w:rFonts w:ascii="arial" w:eastAsia="arial" w:hAnsi="arial" w:cs="arial"/>
          <w:i/>
          <w:color w:val="000000"/>
          <w:sz w:val="20"/>
          <w:lang w:val="en-US" w:eastAsia="en-US" w:bidi="ar-SA"/>
        </w:rPr>
        <w:t>Giczi</w:t>
      </w:r>
      <w:r>
        <w:rPr>
          <w:rFonts w:ascii="arial" w:eastAsia="arial" w:hAnsi="arial" w:cs="arial"/>
          <w:color w:val="000000"/>
          <w:sz w:val="20"/>
          <w:lang w:val="en-US" w:eastAsia="en-US" w:bidi="ar-SA"/>
        </w:rPr>
        <w:t>, but to find that his likelihood of success had he not been injured is 100%, as opposed to the 15% possibility assigned by Sigurdson J. The plaintiff asks the Court to find that the plaintiff would sell twice as many paintings if he were not injured than he presently sells. As a result, his income would be twice what it presently is based on painting sales. On this basis, the Court is asked to quantify the plaintiff's future income loss at $33,960 per year for a present value of $750,000 if the plaintiff works until age 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There are two problems with the suggested approach of the plaintiff. First, I cannot reasonably make a finding of fact about the probable future average painting sales of the plaintiff. At trial, the plaintiff had only been producing and marketing his work on his own for a period of less than two years. This is an insufficient amount of time for me to assign an average income to him that has a reasonable possibility of being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second problem is that the Court was provided with almost no evidence of the plaintiff's business expenses. The plaintiff testified that he pays his mother to act as his manager, although it was unclear from his evidence whether he simply covers their joint living expenses or whether he actually pays her a salary. Any salary paid by the plaintiff to Ms. Parvanta, as well as any expenses of the business, would have to be deducted from the plaintiff's gross painting sales in order to determine his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Because of these shortcomings in the evidence, I cannot adopt the methodology proposed by the plaintiff, which would require me to make a finding about the plaintiff's current income from painting and then add a percentage increase to his productivity to determine his loss of income potential. As a result, I have taken a different approach to quantifying the plaintiff's likely future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plaintiff has credibly testified that his ability to work long hours at his craft is impaired by his injury. All the medical experts - Dr. Stewart, Dr. Horricks and Dr. Fuller - opined that the plaintiff continues to suffer from injuries that impair his ability to work long hours. Mr. Kyi's report demonstrated the extent to which the plaintiff's injuries functionally impact his ability to work continuous hours, and how his abilities deteriorate throughout the day. The plaintiff's own evidence about how pallet knife paintings are made, and must be completed in one day, was corroborated by Ms. Minard on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It appears that the plaintiff has a successful career ahead of him. However, the weight of evidence suggests that he would likely be able to produce more paintings, and particularly more large paintings, were it not for his injuries. Mr. Darel has testified that the plaintiff's larger paintings are marketable and he would like to have more of them to sell.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Evidence was given about the plaintiff's ability to participate in live painting demonstrations. He has testified that live painting demonstrations are difficult for him and, while he did manage to get through two live painting events in the spring and summer of 2019, he suffered considerable pain as a result. While I accept this evidence, there is nothing in the expert evidence before the Court that would allow me to quantify the impact of not participating in live painting demonstrations on the plaintiff's future earning capacity. I accept that it is likely that live painting events have a salutary effect on paintings sales. However, the value of that benefit is not known.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As such, I have focussed my analysis of loss of future income earning capacity on the plaintiff's inability to generate the volume and size of paintings that he would produce but for his injuries, and the additional income he would likely receive if he were fully functional.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Mr. Darrel testified that he presently receives one to two large paintings from the plaintiff per year and he would like to receive 6 to 10. This rate of production, based on the plaintiff's testimony, would be possible if the plaintiff were not injured. The plaintiff testified that if he were not injured he could produce a large pallet knife painting in a day (it presently takes him three weeks to a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 plaintiff testified that paintings generally take three times longer to complete than they would if he were not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However, a threefold increase in production would not necessarily result in a threefold increase in sales. Le Soleil presently has over 40 original paintings by the plaintiff in its inventory. Even the most successful artists do not sell every painting.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As was admitted by a number of witnesses at the trial, the art market is fickle. The plaintiff could develop into a major Canadian artist. He could also find that in a few years his paintings are not consistent with the tastes of the art buying public. No expert opined on the likelihood of either of these possibilities. I consider that both of these opposing contingencies cancel one another out in the future income loss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From the December 2017 consignment agreement with Le Soleil, until the commencement of trial in July 2019, the plaintiff sold 45 paintings through Le Soleil. There are an additional 47 paintings that have been supplied by the plaintiff to Le Soleil that are not yet sold. An increase in production of smaller paintings appears to be unlikely to significantly increase the plaintiff's income. However, it would likely result in some increase, as the more paintings he can generate the more likely he is to produce paintings of different subject matters and styles that may appeal to different tastes. The more significant factor in terms of loss of future income earning capacity appears to be the plaintiff's ability to produce large paintings, which Mr. Darel testifies are highly marketable and, due to the plaintiff's injuries, difficult and very time consuming to produce.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Acknowledging that the determination of loss of future earning capacity cannot be a precise calculation, I find that if the plaintiff were not injured, he would likely sell an additional one or two large paintings per year, and there would be a modest increase in the number of smaller paintings sold.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Net of expenses, I find that the annual future income loss of the plaintiff is $7,000.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Mr. Benning prepared an economic future income loss multiplier wherein the lump sum present value of the plaintiff's future income loss stream, assuming that he works until age 67, would be $22,076 for every $1,000 of annual lost income. Assuming an annual income loss of $7,000, this would result in a present value of $154,532.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The purpose of an award for future care is to compensate a plaintiff for costs which reasonably may be expected to be incurred to preserve and promote the plaintiff's mental and physical health: </w:t>
      </w:r>
      <w:r>
        <w:rPr>
          <w:rFonts w:ascii="arial" w:eastAsia="arial" w:hAnsi="arial" w:cs="arial"/>
          <w:i/>
          <w:color w:val="000000"/>
          <w:sz w:val="20"/>
          <w:lang w:val="en-US" w:eastAsia="en-US" w:bidi="ar-SA"/>
        </w:rPr>
        <w:t>Gigmac v. Insurance Corporation of British Columbia</w:t>
      </w:r>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2012 BCCA 351</w:t>
        </w:r>
      </w:hyperlink>
      <w:r>
        <w:rPr>
          <w:rFonts w:ascii="arial" w:eastAsia="arial" w:hAnsi="arial" w:cs="arial"/>
          <w:color w:val="000000"/>
          <w:sz w:val="20"/>
          <w:lang w:val="en-US" w:eastAsia="en-US" w:bidi="ar-SA"/>
        </w:rPr>
        <w:t xml:space="preserve"> at para.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The test for assessing future care costs is well settled: the test is whether the costs are reasonable and whether the items are medically necessary: </w:t>
      </w:r>
      <w:r>
        <w:rPr>
          <w:rFonts w:ascii="arial" w:eastAsia="arial" w:hAnsi="arial" w:cs="arial"/>
          <w:i/>
          <w:color w:val="000000"/>
          <w:sz w:val="20"/>
          <w:lang w:val="en-US" w:eastAsia="en-US" w:bidi="ar-SA"/>
        </w:rPr>
        <w:t>Tsalamandris v. McLeod</w:t>
      </w:r>
      <w:r>
        <w:rPr>
          <w:rFonts w:ascii="arial" w:eastAsia="arial" w:hAnsi="arial" w:cs="arial"/>
          <w:color w:val="000000"/>
          <w:sz w:val="20"/>
          <w:lang w:val="en-US" w:eastAsia="en-US" w:bidi="ar-SA"/>
        </w:rPr>
        <w:t xml:space="preserve">, </w:t>
      </w:r>
      <w:hyperlink r:id="rId1008" w:history="1">
        <w:r>
          <w:rPr>
            <w:rFonts w:ascii="arial" w:eastAsia="arial" w:hAnsi="arial" w:cs="arial"/>
            <w:i/>
            <w:color w:val="0077CC"/>
            <w:sz w:val="20"/>
            <w:u w:val="single"/>
            <w:shd w:val="clear" w:color="auto" w:fill="FFFFFF"/>
            <w:lang w:val="en-US" w:eastAsia="en-US" w:bidi="ar-SA"/>
          </w:rPr>
          <w:t>2012 BCCA 239</w:t>
        </w:r>
      </w:hyperlink>
      <w:r>
        <w:rPr>
          <w:rFonts w:ascii="arial" w:eastAsia="arial" w:hAnsi="arial" w:cs="arial"/>
          <w:color w:val="000000"/>
          <w:sz w:val="20"/>
          <w:lang w:val="en-US" w:eastAsia="en-US" w:bidi="ar-SA"/>
        </w:rPr>
        <w:t xml:space="preserve"> at para. 62.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xml:space="preserve">  In assessing what is reasonably necessary to promote the plaintiff's health, the court should also consider whether the plaintiff would likely use the items or services in the future: </w:t>
      </w:r>
      <w:r>
        <w:rPr>
          <w:rFonts w:ascii="arial" w:eastAsia="arial" w:hAnsi="arial" w:cs="arial"/>
          <w:i/>
          <w:color w:val="000000"/>
          <w:sz w:val="20"/>
          <w:lang w:val="en-US" w:eastAsia="en-US" w:bidi="ar-SA"/>
        </w:rPr>
        <w:t>Penner v. Insurance Corporation of British Columbia</w:t>
      </w:r>
      <w:r>
        <w:rPr>
          <w:rFonts w:ascii="arial" w:eastAsia="arial" w:hAnsi="arial" w:cs="arial"/>
          <w:color w:val="000000"/>
          <w:sz w:val="20"/>
          <w:lang w:val="en-US" w:eastAsia="en-US" w:bidi="ar-SA"/>
        </w:rPr>
        <w:t xml:space="preserve">, </w:t>
      </w:r>
      <w:hyperlink r:id="rId1009" w:history="1">
        <w:r>
          <w:rPr>
            <w:rFonts w:ascii="arial" w:eastAsia="arial" w:hAnsi="arial" w:cs="arial"/>
            <w:i/>
            <w:color w:val="0077CC"/>
            <w:sz w:val="20"/>
            <w:u w:val="single"/>
            <w:shd w:val="clear" w:color="auto" w:fill="FFFFFF"/>
            <w:lang w:val="en-US" w:eastAsia="en-US" w:bidi="ar-SA"/>
          </w:rPr>
          <w:t>2011 BCCA 135</w:t>
        </w:r>
      </w:hyperlink>
      <w:r>
        <w:rPr>
          <w:rFonts w:ascii="arial" w:eastAsia="arial" w:hAnsi="arial" w:cs="arial"/>
          <w:color w:val="000000"/>
          <w:sz w:val="20"/>
          <w:lang w:val="en-US" w:eastAsia="en-US" w:bidi="ar-SA"/>
        </w:rPr>
        <w:t xml:space="preserve"> at paras. 12-14.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The quantification of damages for the cost of future care is an assessment and not a precise accounting exercise. Adjustments must be made for "the contingency that the future may differ from what the evidence at trial indicates": </w:t>
      </w:r>
      <w:r>
        <w:rPr>
          <w:rFonts w:ascii="arial" w:eastAsia="arial" w:hAnsi="arial" w:cs="arial"/>
          <w:i/>
          <w:color w:val="000000"/>
          <w:sz w:val="20"/>
          <w:lang w:val="en-US" w:eastAsia="en-US" w:bidi="ar-SA"/>
        </w:rPr>
        <w:t>Krangle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Guardian ad litem of</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 Brisco</w:t>
      </w:r>
      <w:r>
        <w:rPr>
          <w:rFonts w:ascii="arial" w:eastAsia="arial" w:hAnsi="arial" w:cs="arial"/>
          <w:color w:val="000000"/>
          <w:sz w:val="20"/>
          <w:lang w:val="en-US" w:eastAsia="en-US" w:bidi="ar-SA"/>
        </w:rPr>
        <w:t xml:space="preserve">, </w:t>
      </w:r>
      <w:hyperlink r:id="rId226"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xml:space="preserve"> at para. 21; </w:t>
      </w:r>
      <w:r>
        <w:rPr>
          <w:rFonts w:ascii="arial" w:eastAsia="arial" w:hAnsi="arial" w:cs="arial"/>
          <w:i/>
          <w:color w:val="000000"/>
          <w:sz w:val="20"/>
          <w:lang w:val="en-US" w:eastAsia="en-US" w:bidi="ar-SA"/>
        </w:rPr>
        <w:t>Prempeh v. Boisvert</w:t>
      </w:r>
      <w:r>
        <w:rPr>
          <w:rFonts w:ascii="arial" w:eastAsia="arial" w:hAnsi="arial" w:cs="arial"/>
          <w:color w:val="000000"/>
          <w:sz w:val="20"/>
          <w:lang w:val="en-US" w:eastAsia="en-US" w:bidi="ar-SA"/>
        </w:rPr>
        <w:t xml:space="preserve">, </w:t>
      </w:r>
      <w:hyperlink r:id="rId1010" w:history="1">
        <w:r>
          <w:rPr>
            <w:rFonts w:ascii="arial" w:eastAsia="arial" w:hAnsi="arial" w:cs="arial"/>
            <w:i/>
            <w:color w:val="0077CC"/>
            <w:sz w:val="20"/>
            <w:u w:val="single"/>
            <w:shd w:val="clear" w:color="auto" w:fill="FFFFFF"/>
            <w:lang w:val="en-US" w:eastAsia="en-US" w:bidi="ar-SA"/>
          </w:rPr>
          <w:t>2012 BCSC 304</w:t>
        </w:r>
      </w:hyperlink>
      <w:r>
        <w:rPr>
          <w:rFonts w:ascii="arial" w:eastAsia="arial" w:hAnsi="arial" w:cs="arial"/>
          <w:color w:val="000000"/>
          <w:sz w:val="20"/>
          <w:lang w:val="en-US" w:eastAsia="en-US" w:bidi="ar-SA"/>
        </w:rPr>
        <w:t xml:space="preserve"> at para. 108.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Where there is an evidentiary link between a physician's assessment of a plaintiff's level of pain and injury incurred and the treatment and care recommended by an occupational therapist, the evidence of an occupational therapist may be used to establish the future care needs of a plaintiff without the need for a physician testifying to the necessity of every item of care claimed: </w:t>
      </w:r>
      <w:r>
        <w:rPr>
          <w:rFonts w:ascii="arial" w:eastAsia="arial" w:hAnsi="arial" w:cs="arial"/>
          <w:i/>
          <w:color w:val="000000"/>
          <w:sz w:val="20"/>
          <w:lang w:val="en-US" w:eastAsia="en-US" w:bidi="ar-SA"/>
        </w:rPr>
        <w:t>Jacobsen v. Nike Canada Ltd</w:t>
      </w:r>
      <w:r>
        <w:rPr>
          <w:rFonts w:ascii="arial" w:eastAsia="arial" w:hAnsi="arial" w:cs="arial"/>
          <w:color w:val="000000"/>
          <w:sz w:val="20"/>
          <w:lang w:val="en-US" w:eastAsia="en-US" w:bidi="ar-SA"/>
        </w:rPr>
        <w:t xml:space="preserve">. </w:t>
      </w:r>
      <w:hyperlink r:id="rId1011" w:history="1">
        <w:r>
          <w:rPr>
            <w:rFonts w:ascii="arial" w:eastAsia="arial" w:hAnsi="arial" w:cs="arial"/>
            <w:i/>
            <w:color w:val="0077CC"/>
            <w:sz w:val="20"/>
            <w:u w:val="single"/>
            <w:shd w:val="clear" w:color="auto" w:fill="FFFFFF"/>
            <w:lang w:val="en-US" w:eastAsia="en-US" w:bidi="ar-SA"/>
          </w:rPr>
          <w:t>(1996), 19 B.C.L.R. (3d) 63</w:t>
        </w:r>
      </w:hyperlink>
      <w:r>
        <w:rPr>
          <w:rFonts w:ascii="arial" w:eastAsia="arial" w:hAnsi="arial" w:cs="arial"/>
          <w:color w:val="000000"/>
          <w:sz w:val="20"/>
          <w:lang w:val="en-US" w:eastAsia="en-US" w:bidi="ar-SA"/>
        </w:rPr>
        <w:t xml:space="preserve"> (S.C.), quoted with approval in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273"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paras. 36-39.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In this case, Mr. Kyi and Dr. Stewart made a number of rehabilitative and ergonomic recommendations in their reports. Mr. Kyi's recommendations, which the plaintiff asks the Court to find are reasonable and medically necessary include:</w:t>
      </w:r>
      <w:r>
        <w:rPr>
          <w:rFonts w:ascii="arial" w:eastAsia="arial" w:hAnsi="arial" w:cs="arial"/>
          <w:sz w:val="20"/>
          <w:lang w:val="en-US" w:eastAsia="en-US" w:bidi="ar-SA"/>
        </w:rPr>
        <w:cr/>
      </w:r>
    </w:p>
    <w:p>
      <w:pPr>
        <w:numPr>
          <w:numId w:val="2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Gym membership: $340-600 per year.</w:t>
      </w:r>
    </w:p>
    <w:p>
      <w:pPr>
        <w:numPr>
          <w:numId w:val="3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Personal trainer: $60/hour.</w:t>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High back Obusforme back support: $89.95 + tax every 3-5 years.</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Orthopedic pillow: $50-$200, every 2-3 years.</w:t>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Ergo Level Work Chair: $195, replaced once.</w:t>
      </w:r>
    </w:p>
    <w:p>
      <w:pPr>
        <w:numPr>
          <w:numId w:val="3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Ergonomic sit-stand stool: $199-$309 + tax, replaced once.</w:t>
      </w:r>
    </w:p>
    <w:p>
      <w:pPr>
        <w:numPr>
          <w:numId w:val="3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Cyro-Cuff lower extremity icing device: $245 + tax, every 5-7 years.</w:t>
      </w:r>
    </w:p>
    <w:p>
      <w:pPr>
        <w:numPr>
          <w:numId w:val="3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Custom orthotics: $500-4550, every 2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 defendants resist the cost of future care claim on the following basis: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care recommendations provided by the plaintiff's experts are based on the subjective reporting of the plaintiff. As a result of the plethora of issues with the plaintiff's reliability and credibility, the foundation of the opinion for the future care recommendations is unreliable, leaving no support for the recommendations.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 defendants are incorrect when they say that the care recommendations provided by the plaintiff's experts are based only on the subjective reporting of the plaintiff. As discussed above, Mr. Kyi's recommendations result from an entire day of conducting functional capacity tests on the plaintiff. By no means were Mr. Kyi's recommendations based entirely on subjective information from the plaintiff. In any event, I have found the plaintiff to be, for the most part, a credible witness with respect to his symptoms and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There were no specific submissions made by the defendants that any particular item was medically unnecessary or unreasonable. I find that, with respect to Mr. Kyi's recommendations, they are reasonable and medically necessary. Mr. Benning's report calculates the present value of the cost of care recommendations, with the applicable 2% discount rate, to be $32,616. I order that this amount is payable for cost of future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xml:space="preserve">  The plaintiff is permitted recovery of the out-of-pocket expenses he reasonably incurred as a result of his injuries. His entitlement is derived from the fundamental principle that an injured person is to be restored to the position she would have been in had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not happened: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(1985), 49 B.C.L.R. (2d) 22 (S.C.) at 78, aff'd </w:t>
      </w:r>
      <w:hyperlink r:id="rId1012"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The plaintiff's special damages claim is $2,876.26. This includes a number of physiotherapy sessions, chiropractor sessions and massages. I find that the plaintiff has proven on a balance of probabilities that these costs were incurred and that they were for the treatment of his accident related injuries. On this basis, I award the plaintiff the full amount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VIII.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The defendants are liable to the plaintiff for damages in the following amounts: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14"/>
        <w:gridCol w:w="627"/>
        <w:gridCol w:w="4287"/>
        <w:gridCol w:w="1464"/>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$ 75,000</w:t>
            </w:r>
          </w:p>
        </w:tc>
        <w:tc>
          <w:tcPr>
            <w:tcW w:w="368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0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loss of earning capacity</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$ 10,000</w:t>
            </w:r>
          </w:p>
        </w:tc>
        <w:tc>
          <w:tcPr>
            <w:tcW w:w="368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0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Future loss of earning capacity</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$154,532</w:t>
            </w:r>
          </w:p>
        </w:tc>
        <w:tc>
          <w:tcPr>
            <w:tcW w:w="368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0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 of future care</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$ 32,616</w:t>
            </w:r>
          </w:p>
        </w:tc>
        <w:tc>
          <w:tcPr>
            <w:tcW w:w="368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0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w:t>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9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$ 2,876</w:t>
            </w:r>
          </w:p>
        </w:tc>
        <w:tc>
          <w:tcPr>
            <w:tcW w:w="368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X.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The plaintiff should have his costs against the defendants at Scale B, unless there are matters relating to costs about which I am unaware. If that is the case, the parties may make arrangements with Supreme Court Scheduling to appear before me to speak to costs, but they must make such arrangements within 30 days of the date of this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A.D. FRANCIS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1" style="position:absolute;z-index:2518077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13"/>
          <w:headerReference w:type="default" r:id="rId1014"/>
          <w:footerReference w:type="even" r:id="rId1015"/>
          <w:footerReference w:type="default" r:id="rId1016"/>
          <w:headerReference w:type="first" r:id="rId1017"/>
          <w:footerReference w:type="first" r:id="rId101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19" w:history="1">
        <w:r>
          <w:rPr>
            <w:rFonts w:ascii="arial" w:eastAsia="arial" w:hAnsi="arial" w:cs="arial"/>
            <w:b/>
            <w:bCs/>
            <w:i/>
            <w:color w:val="0077CC"/>
            <w:kern w:val="32"/>
            <w:sz w:val="28"/>
            <w:szCs w:val="32"/>
            <w:u w:val="single"/>
            <w:shd w:val="clear" w:color="auto" w:fill="FFFFFF"/>
            <w:lang w:val="en-US" w:eastAsia="en-US" w:bidi="ar-SA"/>
          </w:rPr>
          <w:t>Hosking v. Mahoney, [2009] B.C.J. No. 2888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T.P. Warren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9-13 and 16,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18,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M92454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2888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803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CarswellBC 3907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 A.C.W.S. (3d) 963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Mary Hosking, Plaintiff, and Bobbi Ann Mahoney,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(189 paras.)</w:t>
      </w:r>
    </w:p>
    <w:p>
      <w:pPr>
        <w:jc w:val="both"/>
        <w:rPr>
          <w:rFonts w:ascii="arial" w:eastAsia="arial" w:hAnsi="arial" w:cs="arial"/>
          <w:sz w:val="20"/>
          <w:lang w:val="en-US" w:eastAsia="en-US" w:bidi="ar-SA"/>
        </w:rPr>
      </w:pPr>
      <w:bookmarkStart w:id="212" w:name="Counsel_46"/>
      <w:bookmarkEnd w:id="21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2" style="position:absolute;z-index:2517063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D.J. Kennedy.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J.P. Cahan.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3" w:name="Judgment_46"/>
      <w:bookmarkEnd w:id="213"/>
      <w:r>
        <w:pict>
          <v:line id="_x0000_s1193" style="position:absolute;z-index:25175756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14" w:name="T.P. WARREN J."/>
            <w:bookmarkEnd w:id="214"/>
            <w:r>
              <w:rPr>
                <w:rFonts w:ascii="arial" w:eastAsia="arial" w:hAnsi="arial" w:cs="arial"/>
                <w:b/>
                <w:color w:val="000000"/>
                <w:sz w:val="30"/>
                <w:lang w:val="en-US" w:eastAsia="en-US" w:bidi="ar-SA"/>
              </w:rPr>
              <w:t>T.P. WARREN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is a 47-year-old elementary schoolteacher who lives with her husband, also a schoolteacher, in South Surrey, British Columbia. She has been continuously employed as a schoolteacher for approximately 21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On February 3, 2004, the plaintiff was driving her 2007 Chevrolet Blazer southbound on 152nd Street in Surrey and had stopped in a lane of traffic when her vehicle was struck from behind by a vehicle driven by a third party but owned by the defendant Ms. Mahoney. Hers was the last vehicle in a three car, rear-end collision, yet the damage to the plaintiff's vehicle was so extensive that it was not drivable and had to be towed from the scene. The cost of repairing her vehicle was approximately $5,700. The defendant admits that she is vicariously liable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Robin Krayem, the driver of her vehicle who was operating it with her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had some relevant pre-accident health problems, including problems with her knees which required surgical intervention, physiotherapy, and an exercise regime. By the time of the February 2004 accident, her evidence was that that the remaining problems were minor except when she engaged in prolonged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had been involved in two previous motor vehicle accidents, one in the late fall of 2000 and the other approximately eleven months later in October 2001. Both of the accidents resulted in litigation where the plaintiff sought compensation for injuries to her upper back, shoulders and neck. Both actions settled without trial in the fall of 2003. Her testimony is that by the time of the subject accident, her lower back complaints arising from the first two accidents had resolved by approximately 90% and had no effect on her functioning, either at work or at home. Similarly, by the time the previous actions were settled, she testified that her upper back and neck problems had essentially resolved with only occasional flare-ups, particularly one after falling in the summer of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plaintiff's claim, then, is for compensation for the injuries she suffered in this accident to her cervical spine, upper back and shoulders with some radiation into the upper arms and headaches. She testified that these injuries have not resolved entirely, have affected her ability to work pain-free and have had a significant impact on her enjoyment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Evidence called or presented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testified she had last seen a physiotherapist in connection with her previous injuries in late October 2003 and by the time of the subject accident, her complaints had largely, if not totally, resolved and had no effect whatsoever on her functioning.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had no forewarning of the impending collision and had no complaints for the first day or two following the collision. She initially described to her family physician that all she had felt was a jolt and had no memory of moving forward or back although she noticed some neck and upper back stiffness which she treated with Tylenol. The plaintiff later went for physiotherapy, massage therapy, and Pilates treatments and there was a pattern of noticeable improvement during the summer months when she was not working. The plaintiff's job as an elementary schoolteacher requires a great deal of bending, stooping and reaching while attending to her duties of caring for and educating small children. It is during the school year that the plaintiff experiences most of 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said she continued to show improvement through 2004 and 2005 but this slowed, and by early 2007 she was experiencing a significant deterioration of her condition. She complained that she was no longer having any pain-free days, although some days were less painful than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As well as the difficulties the plaintiff experienced at work, her abilities at home have been hampered to such an extent that, on her evidence, her husband has to carry out the majority of the housekeeping responsibilities.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testified that in addition to the cleaning performed by professional cleaners employed by the plaintiff and her husband for some years prior to the accident, her husband now does the laundry and supplemental housecleaning and assists with the cooking. Although the plaintiff had enjoyed gardening prior to 2007, her injuries are now severely restricting her ability to move pain-free. The plaintiff testified that her recreational activities had also been severely restricted. Prior to the deterioration in her condition, she had played the guitar both socially and at work, enjoyed gardening, gone grocery shopping, enjoyed driving holidays and volunteering at the folk festival, all of which had been curtailed to some extent.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As a result of her accident related injuries the plaintiff said she has lost approximately 50 sick days. Her claim, however, is based on a more conservative number of 38 and at an average daily income of $380, she says the loss amounts to $14,440 gross and this amount would compensate her for her lost, accident-related sick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also seeks compensation for lost opportunity to advance in her position as a teacher. Prior to the accident she had planned to work to the next pay level but in order to do so she would have to take courses over a two-year period while continuing to work as a teacher. She planned to start this after her husband had completed his two-year programme which he was to finish in April 2009. Because of her continuing pain it was not possible for her to both work and take the programme and she has "not followed through" on the plan. She said that she watched her husband take the course and the physical demands were very difficult.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says that her pension has been directly impacted by her injuries, and because the amount of the pension is related to her salary level, her pension will be less. Her pre-accident intentions were to work until she was 60 which would have given her 34 years of teaching employment. Although she is hoping to continue to teach until she is 60, she will do so at an income level that is lower than if she had gone on to the higher pay scale.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testified of her medical and treatment expenses. Particularly, she said that she intends to continue with the physiotherapy/massage treatments for as long as she can afford them as they provide her with relief and without them she is in more pain. The Pulsed Signal Therapy ("PST") recommended by a specialist, Dr. Hershler, is not covered by any medical plan and she cannot afford it without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sum, then, the plaintiff testified that she has seen no improvement in her condition over the past "couple of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cross-examination the plaintiff maintained that but for the injuries she would have started the course leading to a higher income level in the summer of 2009. She agreed she could also return and attain her Masters or a graduate diploma, either of which would increase her income by $5,000 a year. She acknowledged that prior to the accident she had not spoken with any counselors or investigated anything about the course. She testified that she only had a general idea of taking the course but "it became more of a thought" after she met her husband. She agreed that she had taken no active steps to enquire about the programme prior to the 2004 accident and since then she has not tried to find out the sort of physical demands the programme would impose. Her knowledge of the course and its demands is based on what others who have taken the course have told her. The plaintiff agreed that she had neither tried to do the programme nor asked her physician whether she was capable of doing it. Her concern and inaction is based more on her fatigue level at the end of a work day when there is more pain in her neck and shoulders. She uses the summer vacation to recuperate from the work year and to go for therapies.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As for the past income loss claim, the plaintiff acknowledged that she had taken only two days off work after the accident and has otherwise worked full-time. She has not kept a log of lost days nor can she point to any specific times. At her examination for discovery in November 2006 the plaintiff testified that she had taken less than 10 days off in total. The record of her Sick Bank Days showed the plaintiff was off 12 days in 2003; 12 days in 2004; 17 days in 2005 and 24 days in 2006. She explained that most of her sick days are around December, February, and June when she is doing the end of term reports. She agreed that there were 52 sick days up to the date of her examination for discovery when she had said that 10 were accident-related, but she explained that she has become worse since her discovery. She testified that she took 11 days off in 2007 and another 11 days in 2008 which were related to her accident injuries. Although she does not lose any pay if she takes a sick day, once used the day is lost forever.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Hosking denied she found her job stressful, even though she has 25 seven-year-old children in her class, some of whom have disabilities. She said she plans to continue to teach at that level until retirement 11 years from now. She is only qualified to teach lower grades. The plaintiff agreed that her principal has not complained of her abilities since the accident and she has not asked for any special help or equipment to deal with her duties, all of which she is completing.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Hosking testified of her prior health and of her injuries arising from the accidents in 2000 and 2001. She said she had soft tissue injuries and although her claims were settled in 2003, she had not completely recovered. She did not recall if her treating doctor, Dr. Parhar, had told her in the fall of 2003 that she could expect to have ongoing neck and back problems. Nevertheless, she agreed that he had sent her a letter to that effect on March 10, 2003. She said that "as best I can recall, my neck was not hurting".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acknowledged that she had chronic low back problems following the first of the two motor vehicle accidents and she continue to have physiotherapy and massage therapy at least once per month. She maintained an exercise program with a personal trainer on her doctor's advice. The plaintiff testified that her doctor said it was likely that she would need time off work to recover. Ms. Hosking testified that she has continued with her physiotherapy and massage therapy from the date of Dr. Parhar's letter up to the date of the 2004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agreed that prior to this motor vehicle accident she had chronic knee problems caused by a degenerative condition, although she experiences few problems now. She also has a seizure disorder which is treated with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With reference to the specifics of the particular collision, the plaintiff testified that she did not recall whether it was less severe or more severe than the previous one. She said she was looking ahead at the time of the impact and was relaxed. At her examination for discovery she had testified that did not feel the impact and was not thrown or jostled or treated at the scene. She said that she suffered no loss of consciousness, bruising or any lacerations and did not feel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With reference to any medications, the plaintiff testified that the only prescribed medication she is taking that relates to her complaints arising from this accident is Lorazepam, and from time-to-time she may take two Extra Strength Tylenol plus half a Lorazepam. She increases this dosage when she and her husband are away. Ms. Hosking testified that she takes the Lorazepam two or three times per week and other over the counter medications such as Tylenol or Robaxacet at night to ease the pain and to assist her in getting to sleep. She testified that she tries not to take these medications during the day when she is working because they can make her drowsy.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She has kept no receipts for her medical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 identified and confirmed the information on her income tax returns for the years 2002 through 2007 which indicates the following annual total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Year</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Amount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882"/>
        <w:gridCol w:w="2927"/>
        <w:gridCol w:w="564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2002</w:t>
            </w:r>
          </w:p>
        </w:tc>
        <w:tc>
          <w:tcPr>
            <w:tcW w:w="286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$62,361</w:t>
            </w:r>
          </w:p>
        </w:tc>
        <w:tc>
          <w:tcPr>
            <w:tcW w:w="553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2003</w:t>
            </w:r>
          </w:p>
        </w:tc>
        <w:tc>
          <w:tcPr>
            <w:tcW w:w="286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$63,678</w:t>
            </w:r>
          </w:p>
        </w:tc>
        <w:tc>
          <w:tcPr>
            <w:tcW w:w="553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2004</w:t>
            </w:r>
          </w:p>
        </w:tc>
        <w:tc>
          <w:tcPr>
            <w:tcW w:w="286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$64,627</w:t>
            </w:r>
          </w:p>
        </w:tc>
        <w:tc>
          <w:tcPr>
            <w:tcW w:w="553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2005</w:t>
            </w:r>
          </w:p>
        </w:tc>
        <w:tc>
          <w:tcPr>
            <w:tcW w:w="286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$61,461</w:t>
            </w:r>
          </w:p>
        </w:tc>
        <w:tc>
          <w:tcPr>
            <w:tcW w:w="553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2006</w:t>
            </w:r>
          </w:p>
        </w:tc>
        <w:tc>
          <w:tcPr>
            <w:tcW w:w="286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$70,259</w:t>
            </w:r>
          </w:p>
        </w:tc>
        <w:tc>
          <w:tcPr>
            <w:tcW w:w="553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2007</w:t>
            </w:r>
          </w:p>
        </w:tc>
        <w:tc>
          <w:tcPr>
            <w:tcW w:w="286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$68,852</w:t>
            </w:r>
          </w:p>
        </w:tc>
        <w:tc>
          <w:tcPr>
            <w:tcW w:w="5530"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Hosking testified that prior to the February 4, 2004 motor vehicle accident, she had had a few headaches and now her complaints are of headaches as well as upper back, neck, and shoulder soreness and stiffness. Ms. Hosking suffers from arm weakness which she says restarted 1 1/2 to 2 years ago, sometime after the subject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 had purchased a Pilates machine before the last motor vehicle accident to treat her knee problem. She testified that the knee complaint was not related to this accident and she had used the machine irregularly until the time of the third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With reference to her recovery since February 2004, Ms. Hosking said that she did not remember if she made good progress during the first six months, although at her examination for discovery on November 2006, she had testified that she was 70-80% better. She agreed that she had testified to that and that it was true, but explained that it was, or could have been, "how I was feeling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 was also cross-examined on intervening events since the accident of February 2004. In July 2004, she slipped on some stairs and sprained her ankle. On January 30, 2006, she slipped on some plastic and hurt her neck which "made it worse". In April 2008, the plaintiff fell at work, landing on her buttocks. She said that she has no memory of any pain, although she did report it to her physiotherapist. She testified that she knows she reported these events because she is asked by the therapist at the start of every session if anything has happened since the last visit.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One of the therapist's notes is a reference to the plaintiff experiencing a jolt when her husband had swerved quickly to avoid a car. Ms. Hosking testified that she could not remember or really recall if that jolt was as significant as the jolt of either the first or second motor vehicle accidents. Ms. Hosking agreed she experiences pain in her neck when a student pulls on her suddenly, and she admitted that coughing can cause her neck to get worse.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Hosking agreed that she had been on two holidays without experiencing neck problems, but said that every time she goes on the trips to Mexico, she needs more medication to sleep and her husband helps her with her luggage. She testified that driving and schoolwork caused her the most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Ms. Hosking adopted her evidence at the examination for discovery that by October 2004 she experienced neck pain about twice a week; in the fall of 2004 her neck pain was very intermittent but now it is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Ms. Hosking agreed that her activities had been reduced prior to the February 2004 accident and that she no longer rode a bike or hiked due to her previous injuries. Her activities now consist of reading, walking (with some difficulty) and socializing. She has reduced the amount of housework that she does and has continued to use the housecleaners she had hired when she was a single woman ten years prior to the trial. Ms. Hosking said that she has not had to have any modifications at work although she has changed the position of her computer. Nevertheless, one thing that she had enjoyed doing prior to the February 2004 accident was gardening and planting, but that has become increasingly difficult especially dealing with plants close to the ground. She acknowledged that she had some limitations with gardening prior to the subject accident but said that these have increased since February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Ms. Hosking says that she has not taken the PST recommended by Dr. Hershler even though it was recommended 1 1/2 years ago. She said that she may try it but she is uncertain. She said that she has been getting worse over the past year to year-and-a-half and in order to deal with her condition, she has continued with her physiotherapy and follows the advice of her doctors.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Ms. Hosking testified that she has not had acupuncture, PST, enrolled at a fitness centre, had a workplace ergonomic assessment or psychological assessment or hired yard workers. She testified that she was not claiming for any of the future care costs for a psychological assessment, house cleaning services or home and yard maintenance, nor for acupuncture costs or the annual cost of ergonomic workplace equipment. Each of these services was recommended by the Occupational Therapist in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On re-examination, Ms. Hosking testified that when she said at her examination for discovery that she had lost less than ten days at work, that was in error; she has checked the papers again and said that in fact there were 38 days of lost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Jeanne Hoeller was tendered as an expert in physiotherapy and occupational therapy and she is the author of a report dated December 1, 2008, which provides a summary of her findings. Ms. Hoeller opined that she did not think that the plaintiff would recover, "not likely to get better," and she does not believe that the plaintiff will continue to teach full-time until retirement. Ms. Hoeller first saw the plaintiff for complaints related to the 2004 accident on February 10, 2004. She also treated the plaintiff for the injuries suffered in the first two motor vehicle accidents, with a focus on prevention and maintenance in order to keep the plaintiff mobile and tension-free. Ms. Hoeller acknowledged that her clinical notes showed that the plaintiff had neck complaints and treatment in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her report, Ms. Hoeller noted that the plaintiff's left neck area had been hardest hit in the February 3, 2004 accident and was the most difficult to resolve. The neck was a more minor issue in the first two accidents and was asymptomatic prior to the latest accident. There is constant movement in this area because a person typically takes 10,000 breaths per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Under "Present Condition", Ms. Hoeller noted that the plaintiff had developed chronic pain in her neck and upper trapezius, sometimes extending into her arms, which will escalate later in the afternoon and evening. Based on both the subjective complaints of the plaintiff and her objective observations, Ms. Hoeller opined that the plaintiff's daily pain in the last two months (that is October and November 2008) had increased. She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is now 4 years after this accident. This accident, far more than the others, created some irreparable damage to the cervical and upper thoracic areas. Her current ability to function and continue full-time work is possible only with physiotherapy once per week and massage once per week. ... She will likely need ongoing massage throughout her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future, she will require a maximum of physiotherapy at one time per week and at minimum, one time per month. At this time and in the indefinite future Ms. Hosking will require physiotherapy once a week. During the summer months when she is not working, she improves and therapy can be reduced.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Hosking is no longer showing signs of improvement. This does not bode well for her future. It is likely that if the school will allow, she will need to reduce her hours to part-time work and probably retire early. It is difficult to predict how long she will last. She is now 47 years old. Working full time until 65 years old will not likely be possible given her current status.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 condition, pain, life style and activities will always have to be managed. Both work and leisure activities are and will continue to be affected.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Presently, Ms. Hoeller charges $65 per hour but this will increase to $70 soon, and by 2014 she will be charging $75 an hour. Ms. Hoeller testified that she has treated many people and testified, "I'm quite comfortable with my prognosis and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cross-examination, Ms. Hoeller testified that although she is not a doctor she does have medical training. She started treating the plaintiff in November before the first motor vehicle accident but this was for her knee problem and not for any neck or back complaints. She then corrected her testimony after reviewing her notes, and stated that she had treated the plaintiff at her clinic in 1993, but since then her treatment has been mostly for the plaintiff's knees and low back. Ms. Hoeller's notes indicated that in 2000 there was a problem at the C-2 level of the plaintiff's cervical spine, and that on November 22, 2000, the plaintiff had been involved in a motor vehicle accident and complained of neck, back, low back, and knee pains, all of which were treated by Ms. Hoeller until the time of the second motor vehicle accident in October 2001. Her notes indicated that the second motor vehicle accident aggravated the plaintiff's condition. Ms. Hoeller continued to treat the plaintiff for her back, low back, and knee complaints until 2003, although by the end of 2002 the plaintiff had only occasional neck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Ms. Hoeller did not agree that the plaintiff had many complaints of neck pain or that she had received any treatment for neck complaints, and she explained the references in her clinical notes for neck complaints and treatment were primarily for maintenance. Ms. Hoeller acknowledged that by December 30, 2003, approximately a month prior to the subject accident, the plaintiff had been treated for "many years for neck problems" and that by that point in time -- December 2003 -- she would have recommended that the plaintiff continue with treatments although not necessarily on a weekly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Ms. Hoeller acknowledged that between June 2003 and February 2004, the plaintiff had been seeing her for treatment for pain but she said very few of her complaints concerned her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Although Ms. Hoeller said that she did not "necessarily defer" to a doctor's diagnosis, she did agree with the opinion expressed by Dr. Parhar in his March 2003 letter that the plaintiff was likely to have intermittent exacerbations of her neck pain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Ms. Hoeller knew that the plaintiff had had falls since the February 2004 accident and she agreed that these could aggravate a "resolving condition". Ms. Hoeller did not agree with the doctor's report of February 8, 2007, that described the plaintiff's condition as the result of the "mild whiplash." She explained that, "the injury has become more than mild". Ms. Hoeller agreed that when the plaintiff, six months post-accident, reported that her neck and shoulders were 70-80% better, that time span was within the normal length of time for recovery from a mild whiplash. Ms. Hoeller does not believe that the plaintiff had a normal recovery for the first six months, although she acknowledged that if a patient has a prior history of neck or back pain, then quite likely they would be at risk of periodic neck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Ms. Hoeller acknowledged that the plaintiff had reported falling in January 2006 and that this was a significant event and caused an aggravation of her head and neck pain. The plaintiff had reported that she felt she was getting better until approximately a year ago. For some reason Ms. Hoeller did not have a note that the plaintiff had a fall in April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With reference to future treatment, Ms. Hoeller's report opined that the February 2004 accident caused far more problems than the previous ones and created some irreparable damage. Her opinion, she said, was based in part on the length of time the plaintiff has had complaints, and the fact that her present symptoms are unremitting.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Her report had indicated that the plaintiff "would need to reduce her hours to part-time and probably retire early". Ms. Hoeller believed this would happen because the complaints have been ongoing for a long period of time, and rather than improving are getting worse. She said that the plaintiff's current level of physical health is maintained only through treatment and as people age, complaints tend to get worse. Ms. Hoeller agreed that the plaintiff's present condition is the result of all of her accidents and falls, although she disagreed with the opinion of Dr. Favero, the defendant's medical expert, that stress, psyche and social factors are affecting her. Nevertheless, she did agree with Dr. Favero's opinion that the plaintiff is deconditioned but she said it would be difficult for her to get reconditioned.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Cecil Hershler was tendered by the plaintiff and qualified as an expert in physical medicine and rehabilitation medicine. He saw the plaintiff once in order to prepare a report for her counsel. His report is dated April 30, 2007. He was aware of the plaintiff's previous motor vehicle accidents, that she did not feel a jolt on impact, and that her vehicle did not move. He opined that it is fairly common to feel little or no pain at the time of a rear-end collision but to feel pain later when normal activities resume.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his report, Dr. Hershler diagnosed the plaintiff's condition as "severe soft tissue injuries" in the cervical spine and the upper portions of both trapezii. His diagnosis of the severity of the injuries was based on the fact the pain symptoms had persisted for over three years and they were combined with hyperpathia (the disagreeable or painful sensation in response to a normally innocuous stimulus such as touch) and allodynia (pain from stimuli which are not normally painful and which may occur other than in the area stimulated).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Dr. Hershler's prognosis for recovery was guarded because, in spite of a variety of therapies over three years, the plaintiff's pain had persisted and as a result she had to limit her activities. He recommended a number of treatment strategies including at least 12 months of physiotherapy for pain management; massage therapy, again for at least 12 months and also for pain management; and PST. Of his recommended treatments, it was the PST which attracted the greatest skepticism from the defendant's expert. Dr. Hershler described the treatment as non-invasive, painless and without side effects, and said that 70% of patients respond. He recommended nine, one-hour treatments to the neck and shoulders in a two-week period. A mobile device available for home use costs $1,500.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his concluding opinion Dr. Hershler wrote that he could not be certain that any of the therapies would ultimately lead to full pain resolution, that it was more likely the plaintiff would have to continue to deal with some level of pain in her neck and shoulders, and that the plaintiff may not be able to sustain full-time work until retirement 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cross-examination, Dr. Hershler acknowledged that he has given evidence many more times for the plaintiff than for the defendant, but said that 80% of his practice still involves treating patients. He agreed that he saw the plaintiff only once and that he reviewed the reports of Dr. Favero, Dr. Schuman, and the x-rays. He acknowledged that his opinion depended in part on the information he received from the patient and that if there were a history of chronic pain, it would be important to get as much information as possible before expressing an opinion. Dr. Hershler agreed that he did not have the clinical records of the physiotherapist's or the massage therapist's notes when preparing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Hershler knew that the plaintiff had arthroscopic surgery in 1998 and has been receiving physiotherapy and massage therapy since then. Although Dr. Hershler did not see the report of Dr. Parhar of March 2003 and agreed that seeing it may have been helpful, he testified he tends to rely more on what the patient tells him rather than trying to understand what someone else has found.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Hershler agreed with the March 2003 opinion expressed by Dr. Parhar that the plaintiff would likely have pain "sometime into the future" because that statement was a reference to the normal process for recovery from chronic pain. In 80% of the cases, recovery occurs within two to three years. However, 10% of patients take five years and a further 10% never recover at all. Accordingly, in Dr. Hershler's opinion, Dr. Parhar's letter is consistent with the 80% of patients who heal within two or three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It was pointed out to Dr. Hershler that the plaintiff testified that she was in chronic pain and had reported she had chronic pain at the very time Dr. Parhar reported that the plaintiff was "significantly pain-free". Dr. Hershler did not consider Dr. Parhar's opinion inconsistent. He felt the plaintiff was at a tolerable level of functioning and may have had flare-ups depending upon her activities. Although the plaintiff still had complaints before the subject accident, Dr. Hershler believed that she was at the "tail end" of chronic pain and getting better and better. He would have expected her to get completely better and engage in more and more activities, although some might trigger a reoccurrence of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Dr. Hershler acknowledged that the physiotherapist's clinical notes would have been helpful in arriving at his opinion. He was not aware that the plaintiff had any falls and he acknowledged that falls could cause exacerbations of pre-existing conditions. He knew that the plaintiff was having physiotherapy and massage therapy because of her complaints of pain three years post-accident but he did not recommend physiotherapy for "maintenance".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As for the plaintiff's condition in October 2003 (the time when the previous actions were settled), based upon her history, her medical records and Dr. Hershler's "model", Dr. Hershler said that in October 2003 he too would have said that, over time, the plaintiff would have been in the 80% who gradually recover completely.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Dr. Hershler said that the notation of pain on palpation is an objective finding as is the range of motion. He did not note any muscle spasms. Dr. Hershler disagreed with the plaintiff's earlier general practitioner who opined that this was a "mild soft tissue injury." Dr. Hershler based this opinion largely on the length of time that the plaintiff has been complaining. Because the plaintiff reported to her massage therapist in July 2004 that she was feeling 70% to 80% better, it appeared that she was progressing at that point in time. Dr. Hershler agreed that a significant fall could have exacerbated her symptoms temporarily but he said patients usually get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 Hershler agreed that most of his patients improve after the end of litigation and the end of stress brought about by litigation. It was Dr. Hershler who recommended the PST as an effective treatment. Dr. Hershler agreed that PST has not been approved for use in the United States of America and he acknowledged that the British Columbia Workers' Compensation Board had commissioned a study of PST and that report found that it is not an effective therapy. He said, however, that the report was prepared without consultation and he does not accept its scientific validity. He testified that there are at least six published articles supporting the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At the end of cross-examination, Dr. Hershler testified that the plaintiff's current condition was one where her prior chronic pain had been improving but the 2004 motor vehicle accident changed her pain pattern and as a result, the plaintiff would have more difficulty tolerating pain as she gets older. In his opinion, the injuries arising out of this motor vehicle accident were a "primary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Dr. Leanne Schuman is the plaintiff's general practitioner and was tendered and qualified as an expert in family or general medicine. She has been in practice since 1996 and first saw the plaintiff on July 19, 2005, when Dr. Schuman took over the practice of Dr. McCarthy, Ms. Hosking's previous doctor. Dr. Schuman is the author of reports dated February 8, 2007 and September 15, 2008, which are essentially a summary of the notes of Dr. McCarthy and her own clinical records and objective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the concluding paragraph of her February 8, 2007 report, Dr. Schuman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reported to Dr. McCarthy that she was 'ninety percent recovered' from these (the accidents of 2000 and 2001) on February 4, 2004. Dr. McCarthy's chart notes indicate on November 14, 2002 that Ms. Hosking was continuing to see her previous Family Doctor in Burnaby for these injuries. I cannot comment any further on her level of recovery from these previous injuries. She continues to suffer from symptoms of neck and back pain. She is currently working full time with no restrictions but does have some difficulty with some aspects of her work such as reaching overhead to place posters and writing on the blackboard for long periods of time. She has difficulty driving for periods longer than thirty or forty minutes and is unable to garden or ride her bike as much as she used to. She also experiences increased neck and back pain if she bends repeatedly or leans over objects. A soft tissue injury like this will predispose this patient to recurrent exacerbations, especially at times of increased physical activity or when she is in a vehicle for periods greater than thirty minutes. During these episodes she will benefit from regular visits to physiotherapy and massage to control her symptoms and it is likely she will continue to require this in the future. She will also benefit from continuing with the stretching and strengthening program that she is currently involved in and I believe she should continue this indefinitely.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On my reading of this report, I could not find any reference to objective findings by Dr. Schuman. The report is primarily a summary of the subjective complaints of the plaintiff to either Dr. McCarthy or Dr. Schuman with concluding recommendations for future treatment without a connection to the doctor's objective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her second report of September 15, 2008, Dr. Schuman did report on a number of examinations including one of July 16, 2007, where she found that the plaintiff had a full range of motion with discomfort, and tenderness to palpation in the cervical spine and trapezius muscles. She noted there was some discomfort on full flexion and extension with full range of motion of her shoulders. She next saw Ms. Hosking on November 13, 2008 [sic 2007], and on examination found the plaintiff had full neck range of motion with discomfort and decreased flexion due to pain and tenderness on palpation. There was also full range of motion of her back but with tenderness on palpation at the thoracic spine. Dr. Schuman recommended to the plaintiff that she continue with stretching activities and exercise. She next saw Ms. Hosking on May 29, 2008, and objectively noted that the plaintiff's neck range of motion was full with some stiffness on lateral flexion and rotation and tenderness on palpitation on the trapezius muscle bilaterally. Her back had a full range of motion and was not tender to palpitation.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It was Dr. Schuman's opinion in that report that the plaintiff had suffered soft tissue injuries to her neck and back as a result of the accident of February 2004. She noted that the plaintiff had been involved in two previous motor vehicle accidents in which she had suffered soft tissue injuries but that her previous doctor's chart notes indicated that she was "ninety percent recovered" from the injuries by February 4, 2004. In Dr. Schuman's opinion, the plaintiff continues to "suffer from symptoms of neck and back pain. She is currently working full-time at full duties as a teacher but experiences difficulty with certain tasks at work that involved reaching up or leaning over for extended periods of time as these tasks caused her increased neck pain". "... [T]he soft tissue injury like this would likely predispose Ms. Hosking to exacerbations of neck pain with these above activities in the future and during these exacerbations, she would benefit from visits to physiotherapy and massage therapy. She would benefit from continuing with regular stretching and strengthening program in the future". This concluding paragraph is almost a verbatim repetition of the concluding paragraph of her first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cross-examination, Dr. Schuman agreed that she did not think that the plaintiff needed a referral to a specialist and thought that she was being adequately treated with physiotherapy, massage therapy, and exercise programs.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Dr. Schuman agreed that one can usually expect a recovery from a mild soft tissue injury but she cautions her patients that the initial diagnosis may not be at the level of severity actually experienced. Although the plaintiff had reported that in July 2004 she was 70%-80% better, Dr. McCarthy's clinical records noted the plaintiff complaining of a worsening of her condition when he saw her in November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Dr. Schuman agreed that deep deconditioning can exacerbate a patient's condition and that is one reason that she encourages exercising. In her opinion, the plaintiff's complaints of pain and symptoms were consistent with a continuation of her February 2004 motor vehicle accident injuries. Typically, she said, a patient has an acute phase following an injury and then gradually improves but it is not uncommon, where, as here, the plaintiff has a particular job, for there to be flare-ups even two years post-accident. In some situations, the repetitive physical exercise may in fact cause an exacerbation of the problem. Dr. Schuman does not agree that the plaintiff continues to get better. In her opinion, the plaintiff has persistently complained of problems with driving, reaching overhead and bending over, and this has not resolved but is getting worse. In Dr. Schuman's opinion, the plaintiff is worse this year because she is continuing in her job and aggravating her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Dr. Schuman's second report, she noted arm numbness. This was a new complaint, but one which is very common among people with neck problem as it is caused by muscle spasms in the neck and shoulders.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Dr. Schuman defended her opinion that if the plaintiff continues to experience symptoms while working full-time, she will have to make adjustments and some modifications would be needed because "she cannot continue the way she is". Dr. Schuman recommends ongoing physiotherapy and massage therapy as well as regular stretching and strengthening exercises. She agreed that if the plaintiff had chronic pain prior to the February 2004 accident, it could have been affected by the accident. Dr. Schuman said that what is known of chronic back pain is that some tried and true treatments may not end the pain while other "alternative" treatments may help.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On re-examination on the fact that the plaintiff had reported in July 2004 that she felt 70%-80% better, Dr. Schuman testified that she was not surprised that the plaintiff had improved in the summer months when she was not 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Another co-worker, Maire-Lisa Walker, teaches at the plaintiff's current school. She met the plaintiff at the start of the school year in 2008. She too described observing difficulties the plaintiff had in performing her teaching duties, particularly when the plaintiff had to work above shoulder height for any length of time. Ms. Walker has helped the plaintiff from time to time with season changes and, as a partner with the plaintiff in the school choral group, she had seen the plaintiff experiencing difficulty in conducting the singing whenever repetitive arm and shoulder movements were required. Generally, she testified of observing the plaintiff experiencing difficulties or appearing to be in pain. In cross-examination Ms. Walker said that the plaintiff is a good teacher, well liked by all, conscientious and completes all her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Pamela Taylor is also a schoolteacher. She has known the plaintiff since the 2006-2007 school year when they were teaching at the same school. She described the plaintiff as a wonderful teacher. She testified of seeing the apparent difficulty the plaintiff was experiencing and described her as at times looking extremely tired or fatigued, to such an extent that she inquired whether the plaintiff was in need of assistance. Ms. Taylor described how the plaintiff appeared to be in extreme pain and tired after participating at the Christmas concert and how the plaintiff was not able to participate in certain physical or athletic activities such as gym classes or sports day. Ms. Taylor had to offer her assistance in moving things for seasonal changes at school such as Halloween, Thanksgiving and Remembrance Day and placing items on the wall and in retrieving things from shelves.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plaintiff's husband, Paul Langeries, provided supporting evidence of his wife's difficulties and the impact upon her and their lifestyles and activities, and particularly how his wife's condition has deteriorated over the last two years. He and the plaintiff have been together since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He is presently doing a graduate programme at SFU to become a PB+15, a two-year course which is taken full-time while a teacher is working regular hours. He testified that he and his wife had discussed the programme and decided he would take it first since he had the lower income and then he would support her when she started "shortly after I finished my course". He said the course requires 1/2 to 1 hour of work every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Langeries testified of his wife's first two accidents and said that by January 2004 she seemed to be OK so far as her neck and shoulders were concerned: her complaints of shoulder and neck pain were "very, very minimal". For the last six months of 2003, he said his wife tried to do the housework but he would help her with the heavy lifting. He said that prior to the February accident his wife had done 100% of the laundry but now he does it. He "is better" at the cooking so he does more of that and he does more of the general kitchen cleaning although they have cleaners who do the extra work. His wife does none of the car washing/cleaning and for the last two years she has done less and less of the gardening.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After the February 2004 accident, his wife had problems and he helped her when she had to move things at school; he said that for the last four years he has helped her a lot, putting up posters and boxes on higher shelves. He said his wife uses a Pilates machine and applies heat and ice packs for her neck and shoulder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Their recreational life has changed as well. Prior to the accident they used to drive to Barkerville every summer, sharing the driving, but he does not think they have made the trip since February 2004 because driving causes his wife pain. Trips to visit family have either ended or been reduced because strange beds are uncomfortable for her and she cannot sleep. His wife has reduced her guitar playing to practice for school events; before she would play and practice "a lot". He said that his wife's computer use is "down big-time", particularly around the time she has to prepare report cards which is very hard for her. He notices her discomfort. Their relationship has been affected and his wife cautions him when hugging her. During the bad times, his wife has negative energy and before the accident she seemed "way better." He has seen no improvement in her over the past year and if anything, he said she seems to be going downhill.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cross-examination, Mr. Langeries described their lifestyle as "comfortable" but not lavish. He earns approximately $61,000 and during the summertime, he works at construction. He agreed that upon completion of the PB+15, if he had a raise in pay, they could afford the cost of any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Langeries was cross-examined particularly about the extent of planning he and the plaintiff had done in order for her to take the PB+15 course. He said, "I think we talked about it before the accident, the two of us doing it, to help our pensions out". He acknowledged he has heard of other teachers getting an increase in pay through means other than taking the PB+15 program, such as enrolling online at the University of Phoenix and obtaining a Masters Degree.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Although Mr. Langeries has not kept a diary of his wife's complaints or conditions, he said that he remembered that just prior to the February 2004 accident, his wife showed definite signs of getting better. He said that he has a particular memory that two years ago the plaintiff definitely started to go downhill. He testified that following the February 2004 accident, his wife was in a fair amount of pain with ups and downs in her condition, but two years ago her condition changed dramatically and since then, it is as if he is living with a different person. He now does at least 90% of the work around the house and all of the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Katy Barr is a physiotherapist employed by O.T. Consulting Treatments Services Ltd. She conducted a lengthy physical capacity evaluation of the plaintiff in July 2007 and wrote a report dated August 2, 2007. Ms. Barr was of the opinion that the plaintiff would be able to continue working at her present employment, but with restrictions. She concluded that the plaintiff was "employable", that is, that she met most of the requirements but had limitations which "may require a sympathetic employer", "modified work hours, or environmental/ergonomic intervention". Ms. Barr concluded that the plaintiff was considered to be non-employable in the light, medium or heavy strength categories.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Defendant's Opening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In opening, counsel for the defendant said that the evidence makes it abundantly clear that the plaintiff suffered a mild to moderate whiplash-type injury in the February 2004 accident, but that this injury was superimposed on a previously existing injury. Accordingly, the principles enunciated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07"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apply. This is not a thin-skull situation because the plaintiff was not asymptomatic at the time of her accident. Defendant's counsel submits that the injuries suffered by the plaintiff were an aggravation of a pre-existing, symptomatic injury which had been the subject of previous litigation and settled in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defendant relied heavily upon the opinion evidence of Dr. Favero. Unlike the plaintiff's experts who did not have her pre-accident records, Dr. Favero had done two previous, independent medical examinations after the earlier accidents and, counsel submits, he is much better informed. The defendant will also rely on video surveillance tapes which the defendant's counsel claimed would show that the plaintiff was going about her regular daily duties without obvious discomfort.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Evidence Called by the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Dr. Kenneth Favero is an orthopedic surgeon with a sub-specialty in upper extremities including the upper body, hands and neck. He has a patient load of about twenty patients a week and performs surgery once a week. He does the preparation for medical/legal reports in the afternoons and evenings and completes approximately two per week. The reports are primarily prepared for insurers or compensation reports, and are done for both plaintiffs and defendants. Dr. Favero is the author of a report dated February 28, 2007, which was based upon his own medical examination of the plaintiff, a review of some reports, notes and records of the plaintiff's previous general practitioner, Dr. McCarthy, the clinical records of the physiotherapist and the massage therapist, and his own earlier medical, legal evaluations dated August 8, 2001, and October 7,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Dr. Favero noted that prior to the February 2004 accident the plaintiff had been involved in motor vehicle accidents in November 2000 and October 2001. He had examined Ms. Hosking on two previous occasions, August 8, 2001, and October 7, 2002, for the purpose of preparing medical/legal reports. In his February 2007 report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 musculoskeletal complaints at that time included those which she now alleges to experience, as well as bilateral knee and low back area pain. When asked, Ms. Hosking alleged that her neck, upper back and shoulder girdle pain had completely resolved ('they've gone') preceding her 2004 MVA. However, she could not recall the time-frame (e.g. how long she had been symptom-free prior to her latest accident). She reported having "nothing to speak of" in her neck or upper back areas while having some occasional, mildly bothersome low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On his physical examination of the plaintiff, Dr. Favero noted that the areas of pain reported by the plaintiff included her posterior and upper neck, both posterior shoulder girdles and upper arms, as well as a heavy dull ache in both arms. She reported that she had experienced a gradual improvement following the accident, but with frequent flare-ups, on average ten times a year, lasting anywhere from two to three weeks.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Ms. Hosking reported having an interesting 'flare-up' last November 2006 (following her examination for discovery and marking report cards on the computer) and since then alleged to have daily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Later in his report, he noted that the plaintiff specifically did not aggravate her low back problem in the February 2004 accident, and "she also specifically stated that she did not injure or aggravate her chronic or bilateral knee pain problem. In fact, she described "having not very much" problems with her knees these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On his physical examination of the plaintiff, he found her to be pleasant and cooperative throughout without any "overreaction, exaggerated pain mannerisms" or inconsistent complaint overreaction. He found no wasting or asymmetry of her neck, shoulder girdle or upper back musculature and no muscle spasm. Dr. Favero reported deep soft tissue and muscle tenderness appearing symmetrically at the back of the neck trapezius and levanter regions, and that the range of motion in the neck was performed with mild hesitation. Similarly, upon neurological examination of the arm, he noted that the plaintiff's reflexes were "brisk" (hyperreflexic), meaning that they were indicative of patient anxiety, and the mild hesitation in the range of motion was less than he would have expected. During lateral flexion, he observed the plaintiff to grimace. She reported lateral flexion to be her most painful neck movement. Although he loaded the plaintiff's neck axially and tested for percussion of the cervical nerve roots, both were negative for nerve root irritation, although Ms. Hosking reported an aggravation of neck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When Dr. Favero referred to his medical/legal reports of August 8, 2001, and October 2, 2002, chronicling the plaintiff's earlier musculoskeletal complaints,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(complaints) had included chronic neck/shoulder girdler/upper back, low back and bilateral knee pain problems. As of October 2, 2002, Ms. Hosking reported a similar pattern of neck/upper back/shoulder girdle pain as that which she now alleges to experience.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I had examined Ms. Hosking on August 8, 2001 and October 7, 2002, I had noted an essentially normal neck/upper back and shoulder orthopaedic examination, with the additional clinical findings of mild to moderate pain mannerisms in some nonorganic clinical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Favero explained what he meant by nonorganic clinical finding was an inconsistent complaint or overreaction.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As part of his interview with the plaintiff prior to the preparation of his February 28, 2007, report, Ms. Hosking completed a pain diagram which Dr. Favero interpreted to have some abnormal features suggestive of "a behavioural/psychosocial component to her musculoskeletal pain complaints." He described the diagram as heavily labelled showing areas of pain "like a cape" which are indicia of a behavioural component. Dr. Favero did not explain what it was about the diagram that led him to that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Dr. Favero reviewed the x-rays of the plaintiff's cervical spine, which showed some straightening of the normal lordosis. There is a mild facet joint osteoarthritis at levels c2-3 and c3-4.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Dr. Favero's section on "Impressions and Opinions" can be summarized as follows:</w:t>
      </w:r>
      <w:r>
        <w:rPr>
          <w:rFonts w:ascii="arial" w:eastAsia="arial" w:hAnsi="arial" w:cs="arial"/>
          <w:sz w:val="20"/>
          <w:lang w:val="en-US" w:eastAsia="en-US" w:bidi="ar-SA"/>
        </w:rPr>
        <w:cr/>
      </w:r>
    </w:p>
    <w:p>
      <w:pPr>
        <w:numPr>
          <w:numId w:val="1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Assuming moderate rear impact forces, the plaintiff suffered a soft tissue injury to her neck with referred symptoms in both shoulder girdles and upper back.</w:t>
      </w:r>
    </w:p>
    <w:p>
      <w:pPr>
        <w:numPr>
          <w:numId w:val="1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clinical or radiographic evidence of any structural injury and on examination in February 2007 her neck, upper back and shoulder girdle was clinically normal.</w:t>
      </w:r>
    </w:p>
    <w:p>
      <w:pPr>
        <w:numPr>
          <w:numId w:val="1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Her symptoms should have improved/resolved over the first six to twelve weeks post-accident, although the plaintiff would have experienced difficulty performing some aspects of her normal teaching and housework with gradual improvement.</w:t>
      </w:r>
    </w:p>
    <w:p>
      <w:pPr>
        <w:numPr>
          <w:numId w:val="1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orthopaedic explanation for the reported duration and subjective severity of her complaints.</w:t>
      </w:r>
    </w:p>
    <w:p>
      <w:pPr>
        <w:numPr>
          <w:numId w:val="1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Her symptoms are non-specific and at present stem from a combination of physical deconditioning and behavioural/ psychosocial factors such as stress, anxiety, hyper-vigilance, etc.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Dr. Favero is skeptical of the plaintiff's reported restriction on her activities, writing: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Hosking's allegation that she has not been able to hike or play badminton since her February 3, 2004 MVA is not entirely accurate, given the fact that she had been reportedly unable to partake in these activities since her earlier MVAs in 2000 and 2001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It was Dr. Favero's opinion that the plaintiff does not require any further investigations of a musculoskeletal complaint and, in fact, he criticizes anyone recommending further investigation. It is his opinion that the plaintiff would not derive any long-term benefit from ongoing passive physical therapy or massage therapy treatments and he does not recommend any.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unnecessary investigations and prolonged physical/massage therapy might act in a negative manner to medicalize Ms. Hosking's non-specific musculoskeletal complaints.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time that I examined Ms. Hosking on February 28, 2007, her orthopaedic and neurologic examination was normal, and I would not place any restrictions on her physical activities. In fact, I would encourage her to exercise on a regular basis and return to perform her own heavier housework/yard work, rather than remaining dependent upon her husband for these. It is my opinion that Ms. Hosking will not cause any harm to her neck/arm/upper back by resuming full physical activities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In his opinion under "Impressions and Opinions", Dr. Favero noted that the plaintiff had suffered only a "soft tissue injury". However, in his deposition evidence, he had described it as a "mild/moderate soft tissue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defendant's counsel asked Dr. Favero to review the medical/legal reports of Dr. Hershler, dated April 30, 2007, and May 4, 2007. He disagreed with the opinion of Dr. Hershler that Ms. Hosking suffered a "severe" soft tissue injury as a result of her February 2004 accident. Dr. Favero felt that Dr. Hershler had classified it as severe because of the length of time her complaints had persisted.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well recognized that the longer an individual reports chronic soft tissue/musculoskeletal neck or back pain, in the absence of specific objective findings, the less likely it is that those complaints have a specific biomedical or physical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Dr. Favero considered the report and recommendations of the occupational therapist and testified that the patient should undergo no further physiotherapy. Any kinesiology treatment should be limited to six or twelve sessions to make sure that the plaintiff was exercising correctly, but there should be no further massage therapy and no PST. He agreed that a gym membership for one year would be appropriate for this plaintiff and that some workplace ergonomics are sometimes valuable in some cases. Dr. Favero believes that a physiological assessment may be appropriate, but not any housekeeping services, which she should perform in order to help recondition her body. Dr. Favero thinks that the plaintiff does have chronic pain, because that is defined as "significant pain lasting more than six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Dr. Favero agreed that persistent pain can lead to depression, but he does not know if the plaintiff is, in fact, depressed. He found the plaintiff truthful and not exaggerating when describing her symptoms. He agreed that the experience of pain is a subjective experience and not capable of objective determination. He did note in his report that the plaintiff had pain symptoms which were not consistent with certain medical tests. For example, Dr. Favero noted that when he axially loaded the plaintiff's neck Sperling's test and percussed her cervical nerve roots (Tinel's test), both of which were negative for nerve root irritation, Ms. Hosking reported neck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pain diagram drawn by the plaintiff showed not only the location of the pain, but also the psychological component. He said that what she drew was not inconsistent with what she had told him or most of what she had told others. When he described his findings as "clinically normal" that did not rule out that the plaintiff was still experiencing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defendant introduced into evidence a videotape prepared by a private investigator, Dean Lodge who undertook surveillance of the plaintiff in 2007 and again in 2009. In each of the videos the plaintiff is shown going about the usual daily activities which, because of the snowfall in the spring of 2007, included removing snow from her vehicle. The most significant of the tapes, indeed the only significant tapes, in my view, showed the plaintiff brushing snow from her vehicle with an arm extended at or above shoulder level with no indication of discomfort. On another occasion, the plaintiff is seen doing some sort of a dance step in a parking lot as she approached a car. Mr. Lodge agreed that on that occasion she had just come from either her massage or physiotherapy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Largely, I found the videotape evidence to be unremarkable and of little assistance in determining if I ought to be skeptical of the plaintiff's complaints, which presumably, was the purpose for its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Plaintiff's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Counsel submits that the injuries suffered by the plaintiff in the motor vehicle accidents of 2000 and 2001, including her upper back, shoulder and neck complaints, had essentially resolved by the time of the February 2004 accident, although there were occasional flare-ups, including a flare-up after a fall in the summer of 2003. Counsel submits that by February 2004, these injuries had no effect whatsoever on the plaintiff's functioning or ability to perform her employment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As a result of the rear-end collision, the plaintiff's injuries were restricted to her cervical spine, upper back and shoulders, with some radiation into the upper arm and headaches. There is no claim for any aggravation of the pre-existing lower back and knee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In support of the plaintiff's complaints, her counsel detailed the treatment she has received since February 2004. There has been noticeable improvement during the summer months, but only because the plaintiff is free from the work-related trigger that exacerbates her condition. Her counsel submits that when the plaintiff submitted that she was 70-80% better in July 2004, that was only a statement of how the plaintiff felt on that particular visit and that particular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Although there were improvements for the first two years post-accident, any improvement slowed and by early 2007, the plaintiff experienced a significant worsening of her condition. The exacerbations become more frequent and she no longer experienced any pain-free days. Although the pattern was that some days were better than others, she was always suffering some level of pain and there was a gradual worsening of her symptoms over the twelve months preceding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As a result of her pain, there were and are significant restrictions on the plaintiff's ability to work and to perform her educational duties and there were restrictions on her home life and housekeeping duties. Further, there were significant restrictions on the plaintiff's previous recreational activities, including her guitar playing, gardening, grocery shopping and driving. Her counsel submits that the plaintiff's evidence is not only supported by the lay witnesses but also by her physiotherapist, massage therapist, family physician and Dr. Hershler as well as her co-workers and her husband.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Plaintiff's counsel submits that the evidence of the medical experts confirms restrictions and continuing soft tissue complaints by the plaintiff and the need for continuing physiotherapy and massage therapy to reduce the amount of discomfort she suffers. Her counsel points particularly to the evidence of Dr. Hershler, a specialist in physical medicine and rehabilitation and a professional who deals specifically with patients suffering from chronic pain and, more particularly, in the diagnosis and treatment of such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Dr. Hershler has an additional expertise to that of an orthopedic surgeon; he has a Ph.D. in electrical engineering and degrees in theoretical physics and mathematics. Dr. Hershler agreed that "in his vast clinical expertise, patients with chronic pain fall within three categories, namely: 80% recovered within three years; 10% showed recovery within five years; and 10% do not recover". Dr. Hershler was firmly of the opinion that prior to her 2004 motor vehicle accident the plaintiff was in the 80% category, but now the prognosis is much more guarded: she is unlikely to recover and will require significant ongoing treatment. Dr. Hershler opined that the plaintiff was unlikely to be able to continue working full-time until her retirement.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evidence of Jeanne Hoeller, the treating physiotherapist, supports the diagnosis and prognosis of both Drs. Schuman and Hershler. Ms. Hoeller has the advantage of having treated the plaintiff for many years prior to the 2004 accident and she confirmed that the plaintiff's neck, upper back, and shoulder area complaints were "essentially resolved" by the time of the February 2004 accident. Her testimony supports the finding that the physiotherapy and massage therapy treatments to date were necessary and that her "current ability to function and continue full-time work is possible only with physiotherapy once per week and massage once per week". Ms. Hoeller observed that the plaintiff was no longer showing any signs of improvement and believed she would require maximum physiotherapy at least once a week during the work year and less during the summer months when she is not working.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Plaintiff's counsel is critical of the evidence adduced by the defence through Dr. Favero who had provided two reports, one of February 28, 2007, and the other of May 4, 2007. Although Dr. Favero had examined the plaintiff on behalf of other defendants in relation to previous motor vehicle accidents and made reference to portions of two previous medical/legal reports, neither report was tendered into evidence at this trial and from that the court ought to draw an inference that is adverse to the defendant. In any event, the defence theory that the plaintiff suffered from chronic pain prior to the 2004 accident is not supported by Dr. Favero who opines that the 2004 accident is a </w:t>
      </w:r>
      <w:r>
        <w:rPr>
          <w:rFonts w:ascii="arial" w:eastAsia="arial" w:hAnsi="arial" w:cs="arial"/>
          <w:i/>
          <w:color w:val="000000"/>
          <w:sz w:val="20"/>
          <w:lang w:val="en-US" w:eastAsia="en-US" w:bidi="ar-SA"/>
        </w:rPr>
        <w:t>possible</w:t>
      </w:r>
      <w:r>
        <w:rPr>
          <w:rFonts w:ascii="arial" w:eastAsia="arial" w:hAnsi="arial" w:cs="arial"/>
          <w:color w:val="000000"/>
          <w:sz w:val="20"/>
          <w:lang w:val="en-US" w:eastAsia="en-US" w:bidi="ar-SA"/>
        </w:rPr>
        <w:t xml:space="preserve"> cause of her ongoing pain and injuries. Dr. Favero expressed in his report that the plaintiff is truthful and does not exaggerate her complaint. He agrees that long-term pain can create a vicious cycle where pain can lead to emotional upset or depression, which can cause more pain, which can in turn cause more upset and depression. Dr. Favero acknowledged that while most patients recovered from soft tissue injuries within six to twelve weeks, some people could still be experiencing pain beyond this time. Further, Dr. Favero agreed that although there may be no objective signs of injury on examination, a patient can still be experiencing pain even if on examination the patient is found to be "clinically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Plaintiff's counsel stresses in particular those things which Dr. Favero did not say. Dr. Favero did not support the defence opening submission that the plaintiff was already in a "chronic pain situation" prior to the 2004 accident. Further, Dr. Favero did not support the diagnosis/prognosis of Dr. Parhar, nor did he state that the previous accidents of 2000 and 2001 or her later falls were "a" contributing cause to the plaintiff's ongoing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Although Dr. Favero stated that one of the possible reasons for the plaintiff's ongoing pain is her deconditioning, he did not contradict the evidence of Ms. Hoeller or Dr. Schuman that the deconditioning caused by her injuries from this accident was preventing her from obtaining a higher level of conditioning. Further, Dr. Favero did not provide an opinion regarding the soft-tissue injuries suffered by the plaintiff in the accident, nor did he state that the plaintiff would get better or that there were any pre-existing problems or subsequent events such as the motor vehicle accidents that were contributing to her present condition. He simply indicated that he was "not sure" why the plaintiff is continuing to experience her symptoms to the degree and frequency she is; in that sense, Dr. Favero offers no opinion on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Plaintiff's counsel submitted that the appropriate range of compensation for his client's non-pecuniary loss is $70,000-$80,000. In support he referred to a number of decisions where plaintiffs suffering similar injuries under similar circumstances had been compensated within that range, including: </w:t>
      </w:r>
      <w:r>
        <w:rPr>
          <w:rFonts w:ascii="arial" w:eastAsia="arial" w:hAnsi="arial" w:cs="arial"/>
          <w:i/>
          <w:color w:val="000000"/>
          <w:sz w:val="20"/>
          <w:lang w:val="en-US" w:eastAsia="en-US" w:bidi="ar-SA"/>
        </w:rPr>
        <w:t>Cam v. Hood</w:t>
      </w:r>
      <w:r>
        <w:rPr>
          <w:rFonts w:ascii="arial" w:eastAsia="arial" w:hAnsi="arial" w:cs="arial"/>
          <w:color w:val="000000"/>
          <w:sz w:val="20"/>
          <w:lang w:val="en-US" w:eastAsia="en-US" w:bidi="ar-SA"/>
        </w:rPr>
        <w:t xml:space="preserve">, </w:t>
      </w:r>
      <w:hyperlink r:id="rId1020" w:history="1">
        <w:r>
          <w:rPr>
            <w:rFonts w:ascii="arial" w:eastAsia="arial" w:hAnsi="arial" w:cs="arial"/>
            <w:i/>
            <w:color w:val="0077CC"/>
            <w:sz w:val="20"/>
            <w:u w:val="single"/>
            <w:shd w:val="clear" w:color="auto" w:fill="FFFFFF"/>
            <w:lang w:val="en-US" w:eastAsia="en-US" w:bidi="ar-SA"/>
          </w:rPr>
          <w:t>2006 BCSC 1561</w:t>
        </w:r>
      </w:hyperlink>
      <w:r>
        <w:rPr>
          <w:rFonts w:ascii="arial" w:eastAsia="arial" w:hAnsi="arial" w:cs="arial"/>
          <w:color w:val="000000"/>
          <w:sz w:val="20"/>
          <w:lang w:val="en-US" w:eastAsia="en-US" w:bidi="ar-SA"/>
        </w:rPr>
        <w:t xml:space="preserve">, $75,000; </w:t>
      </w:r>
      <w:r>
        <w:rPr>
          <w:rFonts w:ascii="arial" w:eastAsia="arial" w:hAnsi="arial" w:cs="arial"/>
          <w:i/>
          <w:color w:val="000000"/>
          <w:sz w:val="20"/>
          <w:lang w:val="en-US" w:eastAsia="en-US" w:bidi="ar-SA"/>
        </w:rPr>
        <w:t>Deglow v. Uffelman</w:t>
      </w:r>
      <w:r>
        <w:rPr>
          <w:rFonts w:ascii="arial" w:eastAsia="arial" w:hAnsi="arial" w:cs="arial"/>
          <w:color w:val="000000"/>
          <w:sz w:val="20"/>
          <w:lang w:val="en-US" w:eastAsia="en-US" w:bidi="ar-SA"/>
        </w:rPr>
        <w:t xml:space="preserve">, </w:t>
      </w:r>
      <w:hyperlink r:id="rId1021" w:history="1">
        <w:r>
          <w:rPr>
            <w:rFonts w:ascii="arial" w:eastAsia="arial" w:hAnsi="arial" w:cs="arial"/>
            <w:i/>
            <w:color w:val="0077CC"/>
            <w:sz w:val="20"/>
            <w:u w:val="single"/>
            <w:shd w:val="clear" w:color="auto" w:fill="FFFFFF"/>
            <w:lang w:val="en-US" w:eastAsia="en-US" w:bidi="ar-SA"/>
          </w:rPr>
          <w:t>2001 BCCA 652</w:t>
        </w:r>
      </w:hyperlink>
      <w:r>
        <w:rPr>
          <w:rFonts w:ascii="arial" w:eastAsia="arial" w:hAnsi="arial" w:cs="arial"/>
          <w:color w:val="000000"/>
          <w:sz w:val="20"/>
          <w:lang w:val="en-US" w:eastAsia="en-US" w:bidi="ar-SA"/>
        </w:rPr>
        <w:t xml:space="preserve">, </w:t>
      </w:r>
      <w:hyperlink r:id="rId1021" w:history="1">
        <w:r>
          <w:rPr>
            <w:rFonts w:ascii="arial" w:eastAsia="arial" w:hAnsi="arial" w:cs="arial"/>
            <w:i/>
            <w:color w:val="0077CC"/>
            <w:sz w:val="20"/>
            <w:u w:val="single"/>
            <w:shd w:val="clear" w:color="auto" w:fill="FFFFFF"/>
            <w:lang w:val="en-US" w:eastAsia="en-US" w:bidi="ar-SA"/>
          </w:rPr>
          <w:t>96 B.C.L.R. (3d) 130</w:t>
        </w:r>
      </w:hyperlink>
      <w:r>
        <w:rPr>
          <w:rFonts w:ascii="arial" w:eastAsia="arial" w:hAnsi="arial" w:cs="arial"/>
          <w:color w:val="000000"/>
          <w:sz w:val="20"/>
          <w:lang w:val="en-US" w:eastAsia="en-US" w:bidi="ar-SA"/>
        </w:rPr>
        <w:t xml:space="preserve">, $75,000; </w:t>
      </w:r>
      <w:r>
        <w:rPr>
          <w:rFonts w:ascii="arial" w:eastAsia="arial" w:hAnsi="arial" w:cs="arial"/>
          <w:i/>
          <w:color w:val="000000"/>
          <w:sz w:val="20"/>
          <w:lang w:val="en-US" w:eastAsia="en-US" w:bidi="ar-SA"/>
        </w:rPr>
        <w:t>Gojevic v. Philpott</w:t>
      </w:r>
      <w:r>
        <w:rPr>
          <w:rFonts w:ascii="arial" w:eastAsia="arial" w:hAnsi="arial" w:cs="arial"/>
          <w:color w:val="000000"/>
          <w:sz w:val="20"/>
          <w:lang w:val="en-US" w:eastAsia="en-US" w:bidi="ar-SA"/>
        </w:rPr>
        <w:t xml:space="preserve">, </w:t>
      </w:r>
      <w:hyperlink r:id="rId1022" w:history="1">
        <w:r>
          <w:rPr>
            <w:rFonts w:ascii="arial" w:eastAsia="arial" w:hAnsi="arial" w:cs="arial"/>
            <w:i/>
            <w:color w:val="0077CC"/>
            <w:sz w:val="20"/>
            <w:u w:val="single"/>
            <w:shd w:val="clear" w:color="auto" w:fill="FFFFFF"/>
            <w:lang w:val="en-US" w:eastAsia="en-US" w:bidi="ar-SA"/>
          </w:rPr>
          <w:t>2002 BCCA 483</w:t>
        </w:r>
      </w:hyperlink>
      <w:r>
        <w:rPr>
          <w:rFonts w:ascii="arial" w:eastAsia="arial" w:hAnsi="arial" w:cs="arial"/>
          <w:color w:val="000000"/>
          <w:sz w:val="20"/>
          <w:lang w:val="en-US" w:eastAsia="en-US" w:bidi="ar-SA"/>
        </w:rPr>
        <w:t xml:space="preserve">, </w:t>
      </w:r>
      <w:hyperlink r:id="rId1022" w:history="1">
        <w:r>
          <w:rPr>
            <w:rFonts w:ascii="arial" w:eastAsia="arial" w:hAnsi="arial" w:cs="arial"/>
            <w:i/>
            <w:color w:val="0077CC"/>
            <w:sz w:val="20"/>
            <w:u w:val="single"/>
            <w:shd w:val="clear" w:color="auto" w:fill="FFFFFF"/>
            <w:lang w:val="en-US" w:eastAsia="en-US" w:bidi="ar-SA"/>
          </w:rPr>
          <w:t>5 B.C.L.R. (4th) 92</w:t>
        </w:r>
      </w:hyperlink>
      <w:r>
        <w:rPr>
          <w:rFonts w:ascii="arial" w:eastAsia="arial" w:hAnsi="arial" w:cs="arial"/>
          <w:color w:val="000000"/>
          <w:sz w:val="20"/>
          <w:lang w:val="en-US" w:eastAsia="en-US" w:bidi="ar-SA"/>
        </w:rPr>
        <w:t xml:space="preserve">, $80,000; </w:t>
      </w:r>
      <w:r>
        <w:rPr>
          <w:rFonts w:ascii="arial" w:eastAsia="arial" w:hAnsi="arial" w:cs="arial"/>
          <w:i/>
          <w:color w:val="000000"/>
          <w:sz w:val="20"/>
          <w:lang w:val="en-US" w:eastAsia="en-US" w:bidi="ar-SA"/>
        </w:rPr>
        <w:t>Larlee v. Shier</w:t>
      </w:r>
      <w:r>
        <w:rPr>
          <w:rFonts w:ascii="arial" w:eastAsia="arial" w:hAnsi="arial" w:cs="arial"/>
          <w:color w:val="000000"/>
          <w:sz w:val="20"/>
          <w:lang w:val="en-US" w:eastAsia="en-US" w:bidi="ar-SA"/>
        </w:rPr>
        <w:t xml:space="preserve">, </w:t>
      </w:r>
      <w:hyperlink r:id="rId1023" w:history="1">
        <w:r>
          <w:rPr>
            <w:rFonts w:ascii="arial" w:eastAsia="arial" w:hAnsi="arial" w:cs="arial"/>
            <w:i/>
            <w:color w:val="0077CC"/>
            <w:sz w:val="20"/>
            <w:u w:val="single"/>
            <w:shd w:val="clear" w:color="auto" w:fill="FFFFFF"/>
            <w:lang w:val="en-US" w:eastAsia="en-US" w:bidi="ar-SA"/>
          </w:rPr>
          <w:t>2008 BCSC 1610</w:t>
        </w:r>
      </w:hyperlink>
      <w:r>
        <w:rPr>
          <w:rFonts w:ascii="arial" w:eastAsia="arial" w:hAnsi="arial" w:cs="arial"/>
          <w:color w:val="000000"/>
          <w:sz w:val="20"/>
          <w:lang w:val="en-US" w:eastAsia="en-US" w:bidi="ar-SA"/>
        </w:rPr>
        <w:t xml:space="preserve">, $60,000; </w:t>
      </w:r>
      <w:r>
        <w:rPr>
          <w:rFonts w:ascii="arial" w:eastAsia="arial" w:hAnsi="arial" w:cs="arial"/>
          <w:i/>
          <w:color w:val="000000"/>
          <w:sz w:val="20"/>
          <w:lang w:val="en-US" w:eastAsia="en-US" w:bidi="ar-SA"/>
        </w:rPr>
        <w:t>Lee v. Metheral</w:t>
      </w:r>
      <w:r>
        <w:rPr>
          <w:rFonts w:ascii="arial" w:eastAsia="arial" w:hAnsi="arial" w:cs="arial"/>
          <w:color w:val="000000"/>
          <w:sz w:val="20"/>
          <w:lang w:val="en-US" w:eastAsia="en-US" w:bidi="ar-SA"/>
        </w:rPr>
        <w:t xml:space="preserve">, </w:t>
      </w:r>
      <w:hyperlink r:id="rId1024" w:history="1">
        <w:r>
          <w:rPr>
            <w:rFonts w:ascii="arial" w:eastAsia="arial" w:hAnsi="arial" w:cs="arial"/>
            <w:i/>
            <w:color w:val="0077CC"/>
            <w:sz w:val="20"/>
            <w:u w:val="single"/>
            <w:shd w:val="clear" w:color="auto" w:fill="FFFFFF"/>
            <w:lang w:val="en-US" w:eastAsia="en-US" w:bidi="ar-SA"/>
          </w:rPr>
          <w:t>2006 BCSC 1841</w:t>
        </w:r>
      </w:hyperlink>
      <w:r>
        <w:rPr>
          <w:rFonts w:ascii="arial" w:eastAsia="arial" w:hAnsi="arial" w:cs="arial"/>
          <w:color w:val="000000"/>
          <w:sz w:val="20"/>
          <w:lang w:val="en-US" w:eastAsia="en-US" w:bidi="ar-SA"/>
        </w:rPr>
        <w:t xml:space="preserve">, $75,000; </w:t>
      </w:r>
      <w:r>
        <w:rPr>
          <w:rFonts w:ascii="arial" w:eastAsia="arial" w:hAnsi="arial" w:cs="arial"/>
          <w:i/>
          <w:color w:val="000000"/>
          <w:sz w:val="20"/>
          <w:lang w:val="en-US" w:eastAsia="en-US" w:bidi="ar-SA"/>
        </w:rPr>
        <w:t>Paller v. Paller</w:t>
      </w:r>
      <w:r>
        <w:rPr>
          <w:rFonts w:ascii="arial" w:eastAsia="arial" w:hAnsi="arial" w:cs="arial"/>
          <w:color w:val="000000"/>
          <w:sz w:val="20"/>
          <w:lang w:val="en-US" w:eastAsia="en-US" w:bidi="ar-SA"/>
        </w:rPr>
        <w:t xml:space="preserve">, </w:t>
      </w:r>
      <w:hyperlink r:id="rId1025" w:history="1">
        <w:r>
          <w:rPr>
            <w:rFonts w:ascii="arial" w:eastAsia="arial" w:hAnsi="arial" w:cs="arial"/>
            <w:i/>
            <w:color w:val="0077CC"/>
            <w:sz w:val="20"/>
            <w:u w:val="single"/>
            <w:shd w:val="clear" w:color="auto" w:fill="FFFFFF"/>
            <w:lang w:val="en-US" w:eastAsia="en-US" w:bidi="ar-SA"/>
          </w:rPr>
          <w:t>2004 BCSC 977</w:t>
        </w:r>
      </w:hyperlink>
      <w:r>
        <w:rPr>
          <w:rFonts w:ascii="arial" w:eastAsia="arial" w:hAnsi="arial" w:cs="arial"/>
          <w:color w:val="000000"/>
          <w:sz w:val="20"/>
          <w:lang w:val="en-US" w:eastAsia="en-US" w:bidi="ar-SA"/>
        </w:rPr>
        <w:t xml:space="preserve">, $60,000 (but less severe injuries and no limitations on the plaintiff at the time of the trial); </w:t>
      </w:r>
      <w:r>
        <w:rPr>
          <w:rFonts w:ascii="arial" w:eastAsia="arial" w:hAnsi="arial" w:cs="arial"/>
          <w:i/>
          <w:color w:val="000000"/>
          <w:sz w:val="20"/>
          <w:lang w:val="en-US" w:eastAsia="en-US" w:bidi="ar-SA"/>
        </w:rPr>
        <w:t>Stone v. Ellerman</w:t>
      </w:r>
      <w:r>
        <w:rPr>
          <w:rFonts w:ascii="arial" w:eastAsia="arial" w:hAnsi="arial" w:cs="arial"/>
          <w:color w:val="000000"/>
          <w:sz w:val="20"/>
          <w:lang w:val="en-US" w:eastAsia="en-US" w:bidi="ar-SA"/>
        </w:rPr>
        <w:t xml:space="preserve">, </w:t>
      </w:r>
      <w:hyperlink r:id="rId1026" w:history="1">
        <w:r>
          <w:rPr>
            <w:rFonts w:ascii="arial" w:eastAsia="arial" w:hAnsi="arial" w:cs="arial"/>
            <w:i/>
            <w:color w:val="0077CC"/>
            <w:sz w:val="20"/>
            <w:u w:val="single"/>
            <w:shd w:val="clear" w:color="auto" w:fill="FFFFFF"/>
            <w:lang w:val="en-US" w:eastAsia="en-US" w:bidi="ar-SA"/>
          </w:rPr>
          <w:t>2007 BCSC 969</w:t>
        </w:r>
      </w:hyperlink>
      <w:r>
        <w:rPr>
          <w:rFonts w:ascii="arial" w:eastAsia="arial" w:hAnsi="arial" w:cs="arial"/>
          <w:color w:val="000000"/>
          <w:sz w:val="20"/>
          <w:lang w:val="en-US" w:eastAsia="en-US" w:bidi="ar-SA"/>
        </w:rPr>
        <w:t xml:space="preserve">, </w:t>
      </w:r>
      <w:hyperlink r:id="rId1026" w:history="1">
        <w:r>
          <w:rPr>
            <w:rFonts w:ascii="arial" w:eastAsia="arial" w:hAnsi="arial" w:cs="arial"/>
            <w:i/>
            <w:color w:val="0077CC"/>
            <w:sz w:val="20"/>
            <w:u w:val="single"/>
            <w:shd w:val="clear" w:color="auto" w:fill="FFFFFF"/>
            <w:lang w:val="en-US" w:eastAsia="en-US" w:bidi="ar-SA"/>
          </w:rPr>
          <w:t>74 B.C.L.R. (4th) 280</w:t>
        </w:r>
      </w:hyperlink>
      <w:r>
        <w:rPr>
          <w:rFonts w:ascii="arial" w:eastAsia="arial" w:hAnsi="arial" w:cs="arial"/>
          <w:color w:val="000000"/>
          <w:sz w:val="20"/>
          <w:lang w:val="en-US" w:eastAsia="en-US" w:bidi="ar-SA"/>
        </w:rPr>
        <w:t xml:space="preserve">, $100,000 (but more severe injuries and continuing difficulties five years post-accident); and </w:t>
      </w:r>
      <w:r>
        <w:rPr>
          <w:rFonts w:ascii="arial" w:eastAsia="arial" w:hAnsi="arial" w:cs="arial"/>
          <w:i/>
          <w:color w:val="000000"/>
          <w:sz w:val="20"/>
          <w:lang w:val="en-US" w:eastAsia="en-US" w:bidi="ar-SA"/>
        </w:rPr>
        <w:t>Whyte v. Morin</w:t>
      </w:r>
      <w:r>
        <w:rPr>
          <w:rFonts w:ascii="arial" w:eastAsia="arial" w:hAnsi="arial" w:cs="arial"/>
          <w:color w:val="000000"/>
          <w:sz w:val="20"/>
          <w:lang w:val="en-US" w:eastAsia="en-US" w:bidi="ar-SA"/>
        </w:rPr>
        <w:t xml:space="preserve">, </w:t>
      </w:r>
      <w:hyperlink r:id="rId1027" w:history="1">
        <w:r>
          <w:rPr>
            <w:rFonts w:ascii="arial" w:eastAsia="arial" w:hAnsi="arial" w:cs="arial"/>
            <w:i/>
            <w:color w:val="0077CC"/>
            <w:sz w:val="20"/>
            <w:u w:val="single"/>
            <w:shd w:val="clear" w:color="auto" w:fill="FFFFFF"/>
            <w:lang w:val="en-US" w:eastAsia="en-US" w:bidi="ar-SA"/>
          </w:rPr>
          <w:t>2007 BCSC 1329</w:t>
        </w:r>
      </w:hyperlink>
      <w:r>
        <w:rPr>
          <w:rFonts w:ascii="arial" w:eastAsia="arial" w:hAnsi="arial" w:cs="arial"/>
          <w:color w:val="000000"/>
          <w:sz w:val="20"/>
          <w:lang w:val="en-US" w:eastAsia="en-US" w:bidi="ar-SA"/>
        </w:rPr>
        <w:t>, $80,000 (three years post-motor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In support of the plaintiff's claim for compensation for past income loss, her counsel pointed to the evidence that the plaintiff was obliged to use sick days from time to time as a result of the injuries she received. Counsel submits that although she did not keep an accurate record of the sick days which were related to her injuries, she has established, on a balance of probabilities, that she took a total of 38 days off because of accident-related injuries. Based upon a somewhat conservative average of $380 for each lost day, the past income loss is calculated at 38 days x $380, or $15,440 gross, in order to compensate the plaintiff for these lost sick days. Her counsel submits that tax must be deducted from this amount in accordance with the principles established in </w:t>
      </w:r>
      <w:r>
        <w:rPr>
          <w:rFonts w:ascii="arial" w:eastAsia="arial" w:hAnsi="arial" w:cs="arial"/>
          <w:i/>
          <w:color w:val="000000"/>
          <w:sz w:val="20"/>
          <w:lang w:val="en-US" w:eastAsia="en-US" w:bidi="ar-SA"/>
        </w:rPr>
        <w:t>MacLaren v. Kucharek</w:t>
      </w:r>
      <w:r>
        <w:rPr>
          <w:rFonts w:ascii="arial" w:eastAsia="arial" w:hAnsi="arial" w:cs="arial"/>
          <w:color w:val="000000"/>
          <w:sz w:val="20"/>
          <w:lang w:val="en-US" w:eastAsia="en-US" w:bidi="ar-SA"/>
        </w:rPr>
        <w:t xml:space="preserve">, </w:t>
      </w:r>
      <w:hyperlink r:id="rId1028" w:history="1">
        <w:r>
          <w:rPr>
            <w:rFonts w:ascii="arial" w:eastAsia="arial" w:hAnsi="arial" w:cs="arial"/>
            <w:i/>
            <w:color w:val="0077CC"/>
            <w:sz w:val="20"/>
            <w:u w:val="single"/>
            <w:shd w:val="clear" w:color="auto" w:fill="FFFFFF"/>
            <w:lang w:val="en-US" w:eastAsia="en-US" w:bidi="ar-SA"/>
          </w:rPr>
          <w:t>2008 BCSC 1396</w:t>
        </w:r>
      </w:hyperlink>
      <w:r>
        <w:rPr>
          <w:rFonts w:ascii="arial" w:eastAsia="arial" w:hAnsi="arial" w:cs="arial"/>
          <w:color w:val="000000"/>
          <w:sz w:val="20"/>
          <w:lang w:val="en-US" w:eastAsia="en-US" w:bidi="ar-SA"/>
        </w:rPr>
        <w:t xml:space="preserve">, where Boyd J. considered the earlier decision of Pitfield J. in </w:t>
      </w:r>
      <w:r>
        <w:rPr>
          <w:rFonts w:ascii="arial" w:eastAsia="arial" w:hAnsi="arial" w:cs="arial"/>
          <w:i/>
          <w:color w:val="000000"/>
          <w:sz w:val="20"/>
          <w:lang w:val="en-US" w:eastAsia="en-US" w:bidi="ar-SA"/>
        </w:rPr>
        <w:t>Hudniuk v. Warkentin</w:t>
      </w:r>
      <w:r>
        <w:rPr>
          <w:rFonts w:ascii="arial" w:eastAsia="arial" w:hAnsi="arial" w:cs="arial"/>
          <w:color w:val="000000"/>
          <w:sz w:val="20"/>
          <w:lang w:val="en-US" w:eastAsia="en-US" w:bidi="ar-SA"/>
        </w:rPr>
        <w:t xml:space="preserve">, </w:t>
      </w:r>
      <w:hyperlink r:id="rId196" w:history="1">
        <w:r>
          <w:rPr>
            <w:rFonts w:ascii="arial" w:eastAsia="arial" w:hAnsi="arial" w:cs="arial"/>
            <w:i/>
            <w:color w:val="0077CC"/>
            <w:sz w:val="20"/>
            <w:u w:val="single"/>
            <w:shd w:val="clear" w:color="auto" w:fill="FFFFFF"/>
            <w:lang w:val="en-US" w:eastAsia="en-US" w:bidi="ar-SA"/>
          </w:rPr>
          <w:t>2003 BCSC 62</w:t>
        </w:r>
      </w:hyperlink>
      <w:r>
        <w:rPr>
          <w:rFonts w:ascii="arial" w:eastAsia="arial" w:hAnsi="arial" w:cs="arial"/>
          <w:color w:val="000000"/>
          <w:sz w:val="20"/>
          <w:lang w:val="en-US" w:eastAsia="en-US" w:bidi="ar-SA"/>
        </w:rPr>
        <w:t xml:space="preserve">, </w:t>
      </w:r>
      <w:hyperlink r:id="rId196" w:history="1">
        <w:r>
          <w:rPr>
            <w:rFonts w:ascii="arial" w:eastAsia="arial" w:hAnsi="arial" w:cs="arial"/>
            <w:i/>
            <w:color w:val="0077CC"/>
            <w:sz w:val="20"/>
            <w:u w:val="single"/>
            <w:shd w:val="clear" w:color="auto" w:fill="FFFFFF"/>
            <w:lang w:val="en-US" w:eastAsia="en-US" w:bidi="ar-SA"/>
          </w:rPr>
          <w:t>9 B.C.L.R. (4th) 324</w:t>
        </w:r>
      </w:hyperlink>
      <w:r>
        <w:rPr>
          <w:rFonts w:ascii="arial" w:eastAsia="arial" w:hAnsi="arial" w:cs="arial"/>
          <w:color w:val="000000"/>
          <w:sz w:val="20"/>
          <w:lang w:val="en-US" w:eastAsia="en-US" w:bidi="ar-SA"/>
        </w:rPr>
        <w:t>. Accordingly, the net income loss is to be calculated by deducting the necessary income tax from the gross amount, assuming that the amount was the only income earned by the plaintiff during the particular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plaintiff's claim for special damages totalling $15,520.04 is a conservative claim because there is no claim for all mileage to and from doctors' offices or other visits, or for certain medication costs including Lorazepam, Robaxacet and Tylenol. The plaintiff's claim is restricted to her out-of-pocket expenses (either subrogated by Blue Cross or other personal funds) for treatments including her physiotherapy and massage therapy, all of which, post-accident, are compensable. Her counsel submits that the injuries suffered by the plaintiff in the 2004 motor vehicle accident necessitated each and every visit, regardless of whether the plaintiff had a pre-existing condition in her low back. The evidence fully supports the plaintiff's frequent visits and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plaintiff claims compensation for loss of advancement in her employment qualifications, a claim which is advanced should the court find that the plaintiff will continue to work until her retirement age of 65. This claim is supported and based upon the fact that prior to the February 2004 motor vehicle accident the plaintiff had an intention to upgrade her salary status. Her counsel submits that the evidence supporting this claim is overwhelming, and beyond a balance of probabilities. The court ought to find that had the accident not occurred, the plaintiff would have started to upgrade her qualifications in the summer of 2009 after her husband had completed his programme in the spring. If the plaintiff had not been injured, she could have and would have completed the course within two years, that is, by the summer of 2011, and starting with the 2011 school year, she would have been earning an income at a higher pay scale.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Plaintiff's counsel points to the calculations of Robert Carson, an economist, to determine the present day value of the future loss. Mr. Carson's report, dated January 13, 2009, with a revision dated February 9, 2009, supports the finding that based upon the plaintiff retiring in August 2019 and with an annual income loss of $5,912 between August 2011 and August 2019, the loss is $39,687.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Further, there is a loss in the value of the plaintiff's pension connected to the fact that the plaintiff would not be earning the higher income throughout the remainder of her career and her pension would be diminished accordingly. Based upon an annual income loss of $5,912 and a retirement in August 2019, Mr. Carson's report places a present value on the loss of the pension at $39,800.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Plaintiff's counsel submits that the evidence overwhelming supports the plaintiff's claim for ongoing physiotherapy, massage therapy, and other support treatments. Among these is the PST proposed by Dr. Hershler who has used these treatments worldwide for many years. Her counsel submits that Dr. Hershler is not only an expert in the treatment and rehabilitation of patients suffering from long-term chronic pain, but he also holds a doctorate in electrical engineering. Counsel says that Dr. Schuman supports any attempt to try what is termed "alternative therapy", particularly in a situation like that of the plaintiff were traditional therapies are useful to the extent of maintaining her present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plaintiff has expressed a willingness to undergo the treatment if it is funded and the evidence shows that she has been compliant and diligent in her attempts to get better. Accordingly, her counsel submits that this treatment may be successful; it is not "quack" science; and the treatment has been in use and approved by the British Columbia Supreme Court on other occasions.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evidence of the experts supports the need for ongoing physiotherapy and massage therapy as well as the costs of a kinesiologist and a gym membership in order to further assist the plaintiff in reconditioning. Finally, there is the estimated cost of over the counter medication to help the plaintiff cope with her pain. The list of claimed future treatments and their costs are as follows:</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Pulsed Signal Therapy, $1,500;</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physiotherapy (over 20 years), $17,700;</w:t>
      </w:r>
    </w:p>
    <w:p>
      <w:pPr>
        <w:numPr>
          <w:numId w:val="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massage therapy (over 20 years), $18,000;</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kinesiologist, $1,320;</w:t>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gym membership, ($500 x 2 years), $1,000;</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over-the-counter medication (over 20 years), $7,500;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of which totals $47,020, which, with taxes, rounds out to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Plaintiff's counsel submits that the claim for future income loss is based upon the evidence that shows over the past few years, the plaintiff has been forced to take, on average, five or six sick days per year. This means that and by her retirement in 2019, and based on a conservative daily income loss of $400, her loss will be $22,000, gross. Plaintiff's counsel proposes that the present day value calculations and net income are to be agreed upon between counsel, or in the absence of an agreement, spoken to following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Plaintiff's counsel advances two further claims, one for future income loss based upon forced early retirement and the other, in the alternative, based upon an impairment of the plaintiff's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In the event the court finds that the plaintiff's condition has not only worsened significantly, but continues to slowly deteriorate and will get worse as time goes on, counsel claims that she will be forced into early retirement. The evidence of Dr. Hershler was that he could not be certain that any of his strategies would ultimately lead to full-pain resolution and that she would more likely have to deal with some level of pain and continue to be affected by pain into the future. He foresaw the plaintiff cutting back on her hours and that she may not be able to sustain full-time work until retirement.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Dr. Schuman expressed the opinion that her soft tissue injuries would likely predispose the plaintiff to exacerbations of neck pain and that these were not improving but rather getting worse. The evidence of Ms. Hoeller was that the plaintiff was no longer showing any signs of improvement, and if allowed, the plaintiff would need to reduce her hours to part-time work and "probably retire early". Her counsel points to the fact that Ms. Hoeller is not only a physiotherapist but also a qualified occupational therapist.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As well, there is the evidence of the plaintiff, her husband, Ms. Taylor, and Ms. Walker, which indicates a pattern demonstrating that the plaintiff is experiencing greater and greater periods of exacerbation as the result of postures and activities required by her particular job. Her counsel submits that there is a preponderance of evidence indicating that it is extremely unlikely that she would be able to continue working full-time until retirement and she would likely be required to retire early.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In these circumstances, her counsel says the evidence supports his submission that a minimum of two years of income loss is established and, based upon a probable wage of at least $80,000 in and or about 2017 (that is, two years earlier than a retirement on August 1, 2019), the future gross income loss amounts to $160,000. Counsel concedes that there is no present value evidence before the court but submits that these can be agreed upon by counsel should the court find this head of loss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Alternatively, should the court find that the plaintiff will retire from her occupation as a teacher but find other occupation, then the plaintiff is entitled to compensation for the impairment of this asset - the plaintiff's diminished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The standard of proof is that of a simple probability: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07"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279"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w:t>
      </w:r>
      <w:hyperlink r:id="rId279" w:history="1">
        <w:r>
          <w:rPr>
            <w:rFonts w:ascii="arial" w:eastAsia="arial" w:hAnsi="arial" w:cs="arial"/>
            <w:i/>
            <w:color w:val="0077CC"/>
            <w:sz w:val="20"/>
            <w:u w:val="single"/>
            <w:shd w:val="clear" w:color="auto" w:fill="FFFFFF"/>
            <w:lang w:val="en-US" w:eastAsia="en-US" w:bidi="ar-SA"/>
          </w:rPr>
          <w:t>84 B.C.L.R. (3d) 158</w:t>
        </w:r>
      </w:hyperlink>
      <w:r>
        <w:rPr>
          <w:rFonts w:ascii="arial" w:eastAsia="arial" w:hAnsi="arial" w:cs="arial"/>
          <w:color w:val="000000"/>
          <w:sz w:val="20"/>
          <w:lang w:val="en-US" w:eastAsia="en-US" w:bidi="ar-SA"/>
        </w:rPr>
        <w:t>, where at para. 9, Huddart J.A. wrote, in part, "[p]ossibilities and probabilities, chances, opportunities, and risk must all be considered, so long as they are a real and substantial possibility and not mere speculation. These possibilities are to be given weight according to the percentage chance they would have happened or will happen".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Her counsel submits that the court should look to four factors: (1) whether the plaintiff has been rendered less capable overall from earning income from all types of employment; (2) whether the plaintiff is less marketable or attractive as an employee to potential employers; (3) whether the plaintiff has lost the ability to take advantage of all job opportunities which may otherwise have been open to her had she not been injured; and (4) whether the plaintiff is less valuable to herself as a person capable of earning income in a competitive labour market. These, of course, are all found in the reasons for judgment of Finch J. (as he then was)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127"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Plaintiff's counsel relies particularly upon the decision in </w:t>
      </w:r>
      <w:r>
        <w:rPr>
          <w:rFonts w:ascii="arial" w:eastAsia="arial" w:hAnsi="arial" w:cs="arial"/>
          <w:i/>
          <w:color w:val="000000"/>
          <w:sz w:val="20"/>
          <w:lang w:val="en-US" w:eastAsia="en-US" w:bidi="ar-SA"/>
        </w:rPr>
        <w:t>Paller</w:t>
      </w:r>
      <w:r>
        <w:rPr>
          <w:rFonts w:ascii="arial" w:eastAsia="arial" w:hAnsi="arial" w:cs="arial"/>
          <w:color w:val="000000"/>
          <w:sz w:val="20"/>
          <w:lang w:val="en-US" w:eastAsia="en-US" w:bidi="ar-SA"/>
        </w:rPr>
        <w:t xml:space="preserve"> for the following principles: the plaintiff is entitled to be put in the same position she would have been but for the accident so far as a monetary award can achieve that end; an award for loss of earning capacity is based on the recognition that the plaintiff's capacity to earn income is an asset which has been taken away; and even if the plaintiff is able to earn the same amount of income from alternative employment, she would still be entitled to compensation for loss, if occupations previously available were closed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In support of this claim the plaintiff relies upon the report of Katy Barr and her report dated August 2, 2007. Her counsel notes that since then, the plaintiff's condition has probably worsened, but in any event, in the summer of 2007, Ms. Barr was of the opinion that the plaintiff would be able to continue working at her present employment but with restrictions. She concluded that the plaintiff was "employable", that is, that she meets most of the requirements but has limitations which "may require a sympathetic employer", "modified work hours, or environmental/ergonomic intervention". Counsel also noted Ms. Barr's conclusion that the plaintiff was considered to be non-employable in the light, medium or heavy strength categories.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Although the plaintiff has no intention of seeking alternative employment at present, her counsel submits that one can never predict when her present occupation will no longer be available to his client, and this is particularly true when it appears upon "the preponderance of evidence at trial that Ms. Hosking will be unable to continue with her present occupation".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Her counsel submits that the plaintiff will be forced to seek alternative employment, and at that time, she will undoubtedly be continuing to suffer from injuries which had prevented her from continuing to work as a teacher and this impediment will have to be disclosed to a potential employer. Her counsel submits that the plaintiff sits squarely within all four factors listed by the court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There is a probability that the plaintiff will not be able to continue working at her present occupation full-time for the rest of her working life, and accordingly she may suffer from an impaired earning capacity if she seeks alternative employment. Given her physical limitations and bearing in mind the functional capacity evaluation of Ms. Barr, there will be very few occupations available to the plaintiff and far fewer number of choices available to her that would have been open to her had she not been injured in this accident. Plaintiff's counsel submits that a reasonable figure for impaired earning capacity based on the likelihood of the plaintiff "not being able to continue working full-time versus the likelihood of that fact, while certainly being able to continue, is $50,000-$100,000".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Defendant's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By way of an overview of his submissions, defendant's counsel submits that the appropriate range of compensation for the plaintiff's non-pecuniary damages is $25,000-$35,000 based upon the plaintiff being in a "crumbling skull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With reference to the claim for past income loss, defendant's counsel says that apart from the two days of time off following the accident, there is no reliable evidence that the plaintiff was obliged to take time off as a result of these specific injuries. Further, there is no specific evidence and no clear record maintained by the plaintiff of the days she attributes to accident-injury related days off. Her employment record shows that she has always had the same number of days off each year, both before this accident and since.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Defence counsel submits that the plaintiff has not established any loss of advancement and no loss of pension and that the plaintiff would have had the treatments set out in her claim for special damages in any event because of her earlier history, although some portion may be attributable to the 2004 accident. Finally the plaintiff has not established that there has been any impairment to her income earning capacity, there will be no future income loss, and any future care cost will be minimal at best.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Counsel points to the fact that there was only a modest impact to the plaintiff's vehicle in the February 2004 accident and at the time, she was already suffering chronic pain as a result of her previous two motor vehicle accidents in 2000 and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Defendant's counsel is particularly critical of the report of Ms. Hoeller. Counsel points to the fact that even that report, deficient though it may be, noted that the plaintiff was symptomatic of upper back complaints prior to February 2004. Accordingly, any damages need to be reduced by 15-25%.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Defendant's counsel says that it is puzzling that the plaintiff made such good progress for the first six months following this mild rear-end collision and that other factors are responsible for her ongoing complaints. This submission is supported by the evidence of Dr. Favero as well as the fact that the plaintiff had falls in July 2004, January 2006, and April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 defendant submits that these falls are all intervening events that are in whole or in part the cause of the plaintiff's complaints. Each of them was reported by the plaintiff to her physiotherapist or massage therapist and each time she reported increased neck pain, particularly after the fall in January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By the summer of 2004, the plaintiff was essentially back to her pre-motor vehicle accident condition. Ms. Hoeller's report is inconsistent with her clinical records where she reports that the plaintiff was having good resolution with ongoing active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 report of Dr. Parhar is significant and was not disputed by the plaintiff. Particularly, the defendant points to that portion of Dr. Parhar's report dealing with prognosis and recommendations and particularly the notation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fact that she is having ongoing problems with her neck and back and has significant reductions in the range of motion, does not allow one to make an optimistic progress for a full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Defendant's counsel submits that all of this should satisfy the court that the plaintiff would have had problems in any event and the principles enunciated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apply and the damages should be reduced because there was a pre-existing material risk of continuing neck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Defendant's counsel submits that the weight to be given to Dr. Hershler's opinion is less than if he had access to and considered the pre-accident medical records of the plaintiff. Counsel also submits that Dr. Schuman is not in a position to express any opinion on the causation of the plaintiff's presenting complaints because she did not treat the plaintiff initially and was not aware of her pre-accident history. Dr. McCarthy's record shows an initial diagnosis of mild soft tissue injury and he expected good recovery over the next 4 to 6 weeks, and in fact she appeared to do so. Dr. Schuman's reports are simply filled with the subjective complaints of the plaintiff and few objective findings and are noteworthy by the fact that there are no references to experts or to any medications which were prescribed.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In spite of the fact that Dr. Hershler has given evidence on many occasions and testified on behalf of the plaintiff, he did not have the plaintiff's pre-motor vehicle accident records which even he acknowledged would have been helpful to him. This deficiency represents an inherent flaw on the reliability of his opinion that the plaintiff's injuries had substantially healed by the time of the February 2004 accident. With reference to Dr. Hershler's recommendation for PST treatment, counsel submits that the efficacy and effectiveness of that treatment has been rejected. The UBC studies show no benefits from it and by pushing this treatment Dr. Hershler compromises his own evidence. Counsel argues that his evidence ought to be rejected as it is based on an inadequate understanding of the nature and history of the plaintiff's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Unlike Dr. Hershler, Dr. Favero, who is an expert in the same field, did have the benefit of having seen the plaintiff twice prior to this accident and he had access to more records in the preparation of his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Ms. Barr, who was not required for cross-examination, prepared a report which does not assist the court because she was not aware of the plaintiff's pre-accident work restrictions. Further, the plaintiff has continued to perform all of her required job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 cost of care recommendations found in the report of Ms. Alford, portions of which have been abandoned by the plaintiff, are not medically necessary and are not needed for the rehabilitation of the plaintiff's accident-related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xml:space="preserve">  In support of his position that the non-pecuniary award should be in the range of $25,000-$35,000, counsel referred me to </w:t>
      </w:r>
      <w:r>
        <w:rPr>
          <w:rFonts w:ascii="arial" w:eastAsia="arial" w:hAnsi="arial" w:cs="arial"/>
          <w:i/>
          <w:color w:val="000000"/>
          <w:sz w:val="20"/>
          <w:lang w:val="en-US" w:eastAsia="en-US" w:bidi="ar-SA"/>
        </w:rPr>
        <w:t>Lopez v. VW Credit Canada Inc.</w:t>
      </w:r>
      <w:r>
        <w:rPr>
          <w:rFonts w:ascii="arial" w:eastAsia="arial" w:hAnsi="arial" w:cs="arial"/>
          <w:color w:val="000000"/>
          <w:sz w:val="20"/>
          <w:lang w:val="en-US" w:eastAsia="en-US" w:bidi="ar-SA"/>
        </w:rPr>
        <w:t xml:space="preserve">, </w:t>
      </w:r>
      <w:hyperlink r:id="rId1029" w:history="1">
        <w:r>
          <w:rPr>
            <w:rFonts w:ascii="arial" w:eastAsia="arial" w:hAnsi="arial" w:cs="arial"/>
            <w:i/>
            <w:color w:val="0077CC"/>
            <w:sz w:val="20"/>
            <w:u w:val="single"/>
            <w:shd w:val="clear" w:color="auto" w:fill="FFFFFF"/>
            <w:lang w:val="en-US" w:eastAsia="en-US" w:bidi="ar-SA"/>
          </w:rPr>
          <w:t>2008 BCSC 320</w:t>
        </w:r>
      </w:hyperlink>
      <w:r>
        <w:rPr>
          <w:rFonts w:ascii="arial" w:eastAsia="arial" w:hAnsi="arial" w:cs="arial"/>
          <w:color w:val="000000"/>
          <w:sz w:val="20"/>
          <w:lang w:val="en-US" w:eastAsia="en-US" w:bidi="ar-SA"/>
        </w:rPr>
        <w:t xml:space="preserve">, where Chamberlist J. awarded the plaintiff $25,000 for soft tissue injuries found to be a "chronic problem" of the "moderate type" but with no evidence of permanence. In </w:t>
      </w:r>
      <w:r>
        <w:rPr>
          <w:rFonts w:ascii="arial" w:eastAsia="arial" w:hAnsi="arial" w:cs="arial"/>
          <w:i/>
          <w:color w:val="000000"/>
          <w:sz w:val="20"/>
          <w:lang w:val="en-US" w:eastAsia="en-US" w:bidi="ar-SA"/>
        </w:rPr>
        <w:t>Doosti v. Enterprise Rent-a-Car Canada Limited</w:t>
      </w:r>
      <w:r>
        <w:rPr>
          <w:rFonts w:ascii="arial" w:eastAsia="arial" w:hAnsi="arial" w:cs="arial"/>
          <w:color w:val="000000"/>
          <w:sz w:val="20"/>
          <w:lang w:val="en-US" w:eastAsia="en-US" w:bidi="ar-SA"/>
        </w:rPr>
        <w:t xml:space="preserve">, </w:t>
      </w:r>
      <w:hyperlink r:id="rId1030" w:history="1">
        <w:r>
          <w:rPr>
            <w:rFonts w:ascii="arial" w:eastAsia="arial" w:hAnsi="arial" w:cs="arial"/>
            <w:i/>
            <w:color w:val="0077CC"/>
            <w:sz w:val="20"/>
            <w:u w:val="single"/>
            <w:shd w:val="clear" w:color="auto" w:fill="FFFFFF"/>
            <w:lang w:val="en-US" w:eastAsia="en-US" w:bidi="ar-SA"/>
          </w:rPr>
          <w:t>2006 BCSC 247</w:t>
        </w:r>
      </w:hyperlink>
      <w:r>
        <w:rPr>
          <w:rFonts w:ascii="arial" w:eastAsia="arial" w:hAnsi="arial" w:cs="arial"/>
          <w:color w:val="000000"/>
          <w:sz w:val="20"/>
          <w:lang w:val="en-US" w:eastAsia="en-US" w:bidi="ar-SA"/>
        </w:rPr>
        <w:t>, Pitfield J. awarded the plaintiff $35,000 for non-pecuniary damages suffered by an asymptomatic plaintiff who was made symptomatic by the accident. As Pitfield J.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accident caused pre-existing degenerative changes in the cervical spine to become symptomatic so that the injuries sustained in the accident were more severe than would otherwise have been the case. The pre-accident degenerative changes in the cervical spine would likely have affected neck mobility and would likely have caused pain at some point in time whether or not the August 15, 2003, accident had occurred. The onset of the pain associated with the degenerative changes was hastened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Napoleone v. Sharma</w:t>
      </w:r>
      <w:r>
        <w:rPr>
          <w:rFonts w:ascii="arial" w:eastAsia="arial" w:hAnsi="arial" w:cs="arial"/>
          <w:color w:val="000000"/>
          <w:sz w:val="20"/>
          <w:lang w:val="en-US" w:eastAsia="en-US" w:bidi="ar-SA"/>
        </w:rPr>
        <w:t xml:space="preserve">, </w:t>
      </w:r>
      <w:hyperlink r:id="rId1031" w:history="1">
        <w:r>
          <w:rPr>
            <w:rFonts w:ascii="arial" w:eastAsia="arial" w:hAnsi="arial" w:cs="arial"/>
            <w:i/>
            <w:color w:val="0077CC"/>
            <w:sz w:val="20"/>
            <w:u w:val="single"/>
            <w:shd w:val="clear" w:color="auto" w:fill="FFFFFF"/>
            <w:lang w:val="en-US" w:eastAsia="en-US" w:bidi="ar-SA"/>
          </w:rPr>
          <w:t>2008 BCSC 1539</w:t>
        </w:r>
      </w:hyperlink>
      <w:r>
        <w:rPr>
          <w:rFonts w:ascii="arial" w:eastAsia="arial" w:hAnsi="arial" w:cs="arial"/>
          <w:color w:val="000000"/>
          <w:sz w:val="20"/>
          <w:lang w:val="en-US" w:eastAsia="en-US" w:bidi="ar-SA"/>
        </w:rPr>
        <w:t>, Bruce J. awarded $35,000 to the plaintiff who had suffered a "moderately severe whiplash injury" that involved the plaintiff's upper mid and lower back, neck and shoulders. After referring to a number of authorities, Bruce J.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Considering these authorities as a guideline, the multiple areas affected by the whiplash injury, as well as the injury to her hands, the duration and severity of the pain suffered by Ms. Napoleone, the consequential impact on her sleep and the resulting painful headaches, the adverse impact on her emotional state, the limitations on her work functions and recreational activities, and her ability to do household chores, I find an award of $35,000 is appropriate. This award is based upon my assessment that until December 2006 Ms. Napoleone probably suffered significant pain and discomfort as well as functional limitations on her work, household chores, and recreational activities. Since that time her condition has improved to the point where, although she continues to have some pain, Ms. Napoleone is able to perform most of her household chores, is capable of managing her pre-accident employment, and is back to her normal recreational walking.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addition, I am not satisfied that Ms. Napoleone suffered from a pre-existing condition that would have become symptomatic regardless of whether she was involved in the January 2006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Zaruk v. Simpson</w:t>
      </w:r>
      <w:r>
        <w:rPr>
          <w:rFonts w:ascii="arial" w:eastAsia="arial" w:hAnsi="arial" w:cs="arial"/>
          <w:color w:val="000000"/>
          <w:sz w:val="20"/>
          <w:lang w:val="en-US" w:eastAsia="en-US" w:bidi="ar-SA"/>
        </w:rPr>
        <w:t xml:space="preserve">, </w:t>
      </w:r>
      <w:hyperlink r:id="rId1032" w:history="1">
        <w:r>
          <w:rPr>
            <w:rFonts w:ascii="arial" w:eastAsia="arial" w:hAnsi="arial" w:cs="arial"/>
            <w:i/>
            <w:color w:val="0077CC"/>
            <w:sz w:val="20"/>
            <w:u w:val="single"/>
            <w:shd w:val="clear" w:color="auto" w:fill="FFFFFF"/>
            <w:lang w:val="en-US" w:eastAsia="en-US" w:bidi="ar-SA"/>
          </w:rPr>
          <w:t>2003 BCSC 1748</w:t>
        </w:r>
      </w:hyperlink>
      <w:r>
        <w:rPr>
          <w:rFonts w:ascii="arial" w:eastAsia="arial" w:hAnsi="arial" w:cs="arial"/>
          <w:color w:val="000000"/>
          <w:sz w:val="20"/>
          <w:lang w:val="en-US" w:eastAsia="en-US" w:bidi="ar-SA"/>
        </w:rPr>
        <w:t xml:space="preserve">, </w:t>
      </w:r>
      <w:hyperlink r:id="rId1032" w:history="1">
        <w:r>
          <w:rPr>
            <w:rFonts w:ascii="arial" w:eastAsia="arial" w:hAnsi="arial" w:cs="arial"/>
            <w:i/>
            <w:color w:val="0077CC"/>
            <w:sz w:val="20"/>
            <w:u w:val="single"/>
            <w:shd w:val="clear" w:color="auto" w:fill="FFFFFF"/>
            <w:lang w:val="en-US" w:eastAsia="en-US" w:bidi="ar-SA"/>
          </w:rPr>
          <w:t>22 B.C.L.R. (4th) 43</w:t>
        </w:r>
      </w:hyperlink>
      <w:r>
        <w:rPr>
          <w:rFonts w:ascii="arial" w:eastAsia="arial" w:hAnsi="arial" w:cs="arial"/>
          <w:color w:val="000000"/>
          <w:sz w:val="20"/>
          <w:lang w:val="en-US" w:eastAsia="en-US" w:bidi="ar-SA"/>
        </w:rPr>
        <w:t xml:space="preserve">, Garson J. (then on the trial court) was dealing with a crumbling skull situation and noted at para. 34 the following comments of McLachlin C.J.C. in </w:t>
      </w:r>
      <w:r>
        <w:rPr>
          <w:rFonts w:ascii="arial" w:eastAsia="arial" w:hAnsi="arial" w:cs="arial"/>
          <w:i/>
          <w:color w:val="000000"/>
          <w:sz w:val="20"/>
          <w:lang w:val="en-US" w:eastAsia="en-US" w:bidi="ar-SA"/>
        </w:rPr>
        <w:t>K.L.B. v. British Columbia</w:t>
      </w:r>
      <w:r>
        <w:rPr>
          <w:rFonts w:ascii="arial" w:eastAsia="arial" w:hAnsi="arial" w:cs="arial"/>
          <w:color w:val="000000"/>
          <w:sz w:val="20"/>
          <w:lang w:val="en-US" w:eastAsia="en-US" w:bidi="ar-SA"/>
        </w:rPr>
        <w:t xml:space="preserve">, </w:t>
      </w:r>
      <w:hyperlink r:id="rId1033" w:history="1">
        <w:r>
          <w:rPr>
            <w:rFonts w:ascii="arial" w:eastAsia="arial" w:hAnsi="arial" w:cs="arial"/>
            <w:i/>
            <w:color w:val="0077CC"/>
            <w:sz w:val="20"/>
            <w:u w:val="single"/>
            <w:shd w:val="clear" w:color="auto" w:fill="FFFFFF"/>
            <w:lang w:val="en-US" w:eastAsia="en-US" w:bidi="ar-SA"/>
          </w:rPr>
          <w:t>2003 SCC 51</w:t>
        </w:r>
      </w:hyperlink>
      <w:r>
        <w:rPr>
          <w:rFonts w:ascii="arial" w:eastAsia="arial" w:hAnsi="arial" w:cs="arial"/>
          <w:color w:val="000000"/>
          <w:sz w:val="20"/>
          <w:lang w:val="en-US" w:eastAsia="en-US" w:bidi="ar-SA"/>
        </w:rPr>
        <w:t xml:space="preserve">, </w:t>
      </w:r>
      <w:hyperlink r:id="rId1033" w:history="1">
        <w:r>
          <w:rPr>
            <w:rFonts w:ascii="arial" w:eastAsia="arial" w:hAnsi="arial" w:cs="arial"/>
            <w:i/>
            <w:color w:val="0077CC"/>
            <w:sz w:val="20"/>
            <w:u w:val="single"/>
            <w:shd w:val="clear" w:color="auto" w:fill="FFFFFF"/>
            <w:lang w:val="en-US" w:eastAsia="en-US" w:bidi="ar-SA"/>
          </w:rPr>
          <w:t>[2003] 2 S.C.R. 403</w:t>
        </w:r>
      </w:hyperlink>
      <w:r>
        <w:rPr>
          <w:rFonts w:ascii="arial" w:eastAsia="arial" w:hAnsi="arial" w:cs="arial"/>
          <w:color w:val="000000"/>
          <w:sz w:val="20"/>
          <w:lang w:val="en-US" w:eastAsia="en-US" w:bidi="ar-SA"/>
        </w:rPr>
        <w:t xml:space="preserve"> at para. 60: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[crumbling skull] rule is intended to ensure that the plaintiff is not put in a position better than that which he or she would have been in had the tort not been committed. It applies where the plaintiff has a pre-existing condition that would have caused or increased the risk of damage in any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Garson J. found on the facts before her that the accident was a cause, although not the sole cause, of Ms. Zaruk's symptoms. She specifically considered the test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and noted that the rule requires the trial judge to determine if there is a measurable risk that the degenerative changes would have become symptomatic without the accident. If the answer to that question is yes, then that finding forms the basis to reduce the award by taking into account such a risk. Garson J. was not satisfied that the plaintiff's degenerative changes would have become symptomatic without the accident and concluded that there was a measurable risk that the pre-existing condition would have become symptomatic and would have detrimentally affected the plaintiff at some time in the future regardless of the accident. She assessed the non-pecuniary damages at $50,000 but reduced them by 15% to reflect that there was a material risk that the pre-existing condition would have manifested itself in the future regardless of the accident. Interestingly, Garson J. considered PST under the heading of cost of future care and rejected that expense. Garson J. had the evidence of two experts that PST had not gained general acceptance in the medical community. She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Without any evidence as to the efficacy of this therapy, other than Dr. Hershler's own experience, described only briefly, the evidence in this case does not meet the test of admissibility of novel science.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Defendant's counsel says that each of the claims for loss of advancement, future sick day loss, and diminished pension should be rejected.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In response to the claim for the loss of advancement, counsel points to the fact that the plaintiff had no definite plans to take the PB+15 course and there is no independent evidence that she was unable to do it. Further, she has made no investigation of the demands of the course on either her time or her body. She has not even made any inquiry. With reference to the past lost sick days, defendant's counsel points to the absence of any or sufficient evidence to support the loss claim and to the fact that no one has testified on these issues. The defendant has worked full-time since the motor vehicle accident, she has secure employment and she has performed all of her duties. Accordingly, there is no reliable evidence that she will either have to retire or reduce her hours of work. To the contrary, the plaintiff herself testified that she intends to work for a further eleven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Steward v. Berezan</w:t>
      </w:r>
      <w:r>
        <w:rPr>
          <w:rFonts w:ascii="arial" w:eastAsia="arial" w:hAnsi="arial" w:cs="arial"/>
          <w:color w:val="000000"/>
          <w:sz w:val="20"/>
          <w:lang w:val="en-US" w:eastAsia="en-US" w:bidi="ar-SA"/>
        </w:rPr>
        <w:t xml:space="preserve">, </w:t>
      </w:r>
      <w:hyperlink r:id="rId1034" w:history="1">
        <w:r>
          <w:rPr>
            <w:rFonts w:ascii="arial" w:eastAsia="arial" w:hAnsi="arial" w:cs="arial"/>
            <w:i/>
            <w:color w:val="0077CC"/>
            <w:sz w:val="20"/>
            <w:u w:val="single"/>
            <w:shd w:val="clear" w:color="auto" w:fill="FFFFFF"/>
            <w:lang w:val="en-US" w:eastAsia="en-US" w:bidi="ar-SA"/>
          </w:rPr>
          <w:t>2007 BCCA 150</w:t>
        </w:r>
      </w:hyperlink>
      <w:r>
        <w:rPr>
          <w:rFonts w:ascii="arial" w:eastAsia="arial" w:hAnsi="arial" w:cs="arial"/>
          <w:color w:val="000000"/>
          <w:sz w:val="20"/>
          <w:lang w:val="en-US" w:eastAsia="en-US" w:bidi="ar-SA"/>
        </w:rPr>
        <w:t xml:space="preserve">, </w:t>
      </w:r>
      <w:hyperlink r:id="rId1034" w:history="1">
        <w:r>
          <w:rPr>
            <w:rFonts w:ascii="arial" w:eastAsia="arial" w:hAnsi="arial" w:cs="arial"/>
            <w:i/>
            <w:color w:val="0077CC"/>
            <w:sz w:val="20"/>
            <w:u w:val="single"/>
            <w:shd w:val="clear" w:color="auto" w:fill="FFFFFF"/>
            <w:lang w:val="en-US" w:eastAsia="en-US" w:bidi="ar-SA"/>
          </w:rPr>
          <w:t>64 B.C.L.R. (4th) 152</w:t>
        </w:r>
      </w:hyperlink>
      <w:r>
        <w:rPr>
          <w:rFonts w:ascii="arial" w:eastAsia="arial" w:hAnsi="arial" w:cs="arial"/>
          <w:color w:val="000000"/>
          <w:sz w:val="20"/>
          <w:lang w:val="en-US" w:eastAsia="en-US" w:bidi="ar-SA"/>
        </w:rPr>
        <w:t>, the Court of Appeal was dealing with claims for future loss and the burden of proof. At para. 17 Donald J.A.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But the language in question there was used in the context of appellate review and, with respect, it cannot be transposed to an original analysis at the trial level. The claimant bears the onus to prove at trial a substantial possibility of a future event leading to an income loss, and the court must then award compensation on an estimation of the chance that the event will occur: </w:t>
      </w:r>
      <w:r>
        <w:rPr>
          <w:rFonts w:ascii="arial" w:eastAsia="arial" w:hAnsi="arial" w:cs="arial"/>
          <w:i/>
          <w:color w:val="000000"/>
          <w:sz w:val="20"/>
          <w:lang w:val="en-US" w:eastAsia="en-US" w:bidi="ar-SA"/>
        </w:rPr>
        <w:t>Parypa</w:t>
      </w:r>
      <w:r>
        <w:rPr>
          <w:rFonts w:ascii="arial" w:eastAsia="arial" w:hAnsi="arial" w:cs="arial"/>
          <w:color w:val="000000"/>
          <w:sz w:val="20"/>
          <w:lang w:val="en-US" w:eastAsia="en-US" w:bidi="ar-SA"/>
        </w:rPr>
        <w:t xml:space="preserve"> para. 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Defendant's counsel submits that when that test is applied to the evidence in the case at bar, it should result in dismissal of all of the plaintiff's claim for future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Ball v. ICBC</w:t>
      </w:r>
      <w:r>
        <w:rPr>
          <w:rFonts w:ascii="arial" w:eastAsia="arial" w:hAnsi="arial" w:cs="arial"/>
          <w:color w:val="000000"/>
          <w:sz w:val="20"/>
          <w:lang w:val="en-US" w:eastAsia="en-US" w:bidi="ar-SA"/>
        </w:rPr>
        <w:t xml:space="preserve"> </w:t>
      </w:r>
      <w:hyperlink r:id="rId1035" w:history="1">
        <w:r>
          <w:rPr>
            <w:rFonts w:ascii="arial" w:eastAsia="arial" w:hAnsi="arial" w:cs="arial"/>
            <w:i/>
            <w:color w:val="0077CC"/>
            <w:sz w:val="20"/>
            <w:u w:val="single"/>
            <w:shd w:val="clear" w:color="auto" w:fill="FFFFFF"/>
            <w:lang w:val="en-US" w:eastAsia="en-US" w:bidi="ar-SA"/>
          </w:rPr>
          <w:t>1996 CanLII 1776</w:t>
        </w:r>
      </w:hyperlink>
      <w:r>
        <w:rPr>
          <w:rFonts w:ascii="arial" w:eastAsia="arial" w:hAnsi="arial" w:cs="arial"/>
          <w:color w:val="000000"/>
          <w:sz w:val="20"/>
          <w:lang w:val="en-US" w:eastAsia="en-US" w:bidi="ar-SA"/>
        </w:rPr>
        <w:t xml:space="preserve"> Owen-Flood J. assessed damages in a case where the plaintiff had a pre-existing "crumbling skull" condition to her back which was aggravated by the accident and even without the accident the plaintiff would have required treatment. He applied the principle enunciated by Carrothers J.A. in </w:t>
      </w:r>
      <w:r>
        <w:rPr>
          <w:rFonts w:ascii="arial" w:eastAsia="arial" w:hAnsi="arial" w:cs="arial"/>
          <w:i/>
          <w:color w:val="000000"/>
          <w:sz w:val="20"/>
          <w:lang w:val="en-US" w:eastAsia="en-US" w:bidi="ar-SA"/>
        </w:rPr>
        <w:t>Pryor v. Bains</w:t>
      </w:r>
      <w:r>
        <w:rPr>
          <w:rFonts w:ascii="arial" w:eastAsia="arial" w:hAnsi="arial" w:cs="arial"/>
          <w:color w:val="000000"/>
          <w:sz w:val="20"/>
          <w:lang w:val="en-US" w:eastAsia="en-US" w:bidi="ar-SA"/>
        </w:rPr>
        <w:t xml:space="preserve">, 1986 CanLII 161 (B.C.C.A.), </w:t>
      </w:r>
      <w:hyperlink r:id="rId1036" w:history="1">
        <w:r>
          <w:rPr>
            <w:rFonts w:ascii="arial" w:eastAsia="arial" w:hAnsi="arial" w:cs="arial"/>
            <w:i/>
            <w:color w:val="0077CC"/>
            <w:sz w:val="20"/>
            <w:u w:val="single"/>
            <w:shd w:val="clear" w:color="auto" w:fill="FFFFFF"/>
            <w:lang w:val="en-US" w:eastAsia="en-US" w:bidi="ar-SA"/>
          </w:rPr>
          <w:t>(1986), 69 B.C.L.R. 395</w:t>
        </w:r>
      </w:hyperlink>
      <w:r>
        <w:rPr>
          <w:rFonts w:ascii="arial" w:eastAsia="arial" w:hAnsi="arial" w:cs="arial"/>
          <w:color w:val="000000"/>
          <w:sz w:val="20"/>
          <w:lang w:val="en-US" w:eastAsia="en-US" w:bidi="ar-SA"/>
        </w:rPr>
        <w:t xml:space="preserve"> (B.C.C.A.).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 case where a second source or cause of damage is found to aggravate an existing and active first source or cause, that is a case of aggravated damages and there may be apportionment as between two sources or causes.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and apportioned 50% of the non-pecuniary damages to the injuries sustained in the motor vehicle accident. [see also </w:t>
      </w:r>
      <w:r>
        <w:rPr>
          <w:rFonts w:ascii="arial" w:eastAsia="arial" w:hAnsi="arial" w:cs="arial"/>
          <w:i/>
          <w:color w:val="000000"/>
          <w:sz w:val="20"/>
          <w:lang w:val="en-US" w:eastAsia="en-US" w:bidi="ar-SA"/>
        </w:rPr>
        <w:t>Ross v. Daimler-Chrysler Financial Services Canada Inc.</w:t>
      </w:r>
      <w:r>
        <w:rPr>
          <w:rFonts w:ascii="arial" w:eastAsia="arial" w:hAnsi="arial" w:cs="arial"/>
          <w:color w:val="000000"/>
          <w:sz w:val="20"/>
          <w:lang w:val="en-US" w:eastAsia="en-US" w:bidi="ar-SA"/>
        </w:rPr>
        <w:t xml:space="preserve">, </w:t>
      </w:r>
      <w:hyperlink r:id="rId1037" w:history="1">
        <w:r>
          <w:rPr>
            <w:rFonts w:ascii="arial" w:eastAsia="arial" w:hAnsi="arial" w:cs="arial"/>
            <w:i/>
            <w:color w:val="0077CC"/>
            <w:sz w:val="20"/>
            <w:u w:val="single"/>
            <w:shd w:val="clear" w:color="auto" w:fill="FFFFFF"/>
            <w:lang w:val="en-US" w:eastAsia="en-US" w:bidi="ar-SA"/>
          </w:rPr>
          <w:t>2008 BCSC 1158</w:t>
        </w:r>
      </w:hyperlink>
      <w:r>
        <w:rPr>
          <w:rFonts w:ascii="arial" w:eastAsia="arial" w:hAnsi="arial" w:cs="arial"/>
          <w:color w:val="000000"/>
          <w:sz w:val="20"/>
          <w:lang w:val="en-US" w:eastAsia="en-US" w:bidi="ar-SA"/>
        </w:rPr>
        <w:t xml:space="preserve"> CanLII.]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xml:space="preserve">  Martinson J. in </w:t>
      </w:r>
      <w:r>
        <w:rPr>
          <w:rFonts w:ascii="arial" w:eastAsia="arial" w:hAnsi="arial" w:cs="arial"/>
          <w:i/>
          <w:color w:val="000000"/>
          <w:sz w:val="20"/>
          <w:lang w:val="en-US" w:eastAsia="en-US" w:bidi="ar-SA"/>
        </w:rPr>
        <w:t>Ghataurah v. Fike</w:t>
      </w:r>
      <w:r>
        <w:rPr>
          <w:rFonts w:ascii="arial" w:eastAsia="arial" w:hAnsi="arial" w:cs="arial"/>
          <w:color w:val="000000"/>
          <w:sz w:val="20"/>
          <w:lang w:val="en-US" w:eastAsia="en-US" w:bidi="ar-SA"/>
        </w:rPr>
        <w:t xml:space="preserve">, </w:t>
      </w:r>
      <w:hyperlink r:id="rId1038" w:history="1">
        <w:r>
          <w:rPr>
            <w:rFonts w:ascii="arial" w:eastAsia="arial" w:hAnsi="arial" w:cs="arial"/>
            <w:i/>
            <w:color w:val="0077CC"/>
            <w:sz w:val="20"/>
            <w:u w:val="single"/>
            <w:shd w:val="clear" w:color="auto" w:fill="FFFFFF"/>
            <w:lang w:val="en-US" w:eastAsia="en-US" w:bidi="ar-SA"/>
          </w:rPr>
          <w:t>2008 BCSC 533</w:t>
        </w:r>
      </w:hyperlink>
      <w:r>
        <w:rPr>
          <w:rFonts w:ascii="arial" w:eastAsia="arial" w:hAnsi="arial" w:cs="arial"/>
          <w:color w:val="000000"/>
          <w:sz w:val="20"/>
          <w:lang w:val="en-US" w:eastAsia="en-US" w:bidi="ar-SA"/>
        </w:rPr>
        <w:t xml:space="preserve"> considered a plaintiff's claim in the context of the weak skull versus the crumbling skull situation and agreed that the principals summarized by Melvin J. in </w:t>
      </w:r>
      <w:r>
        <w:rPr>
          <w:rFonts w:ascii="arial" w:eastAsia="arial" w:hAnsi="arial" w:cs="arial"/>
          <w:i/>
          <w:color w:val="000000"/>
          <w:sz w:val="20"/>
          <w:lang w:val="en-US" w:eastAsia="en-US" w:bidi="ar-SA"/>
        </w:rPr>
        <w:t>Bedwell v. McGill</w:t>
      </w:r>
      <w:r>
        <w:rPr>
          <w:rFonts w:ascii="arial" w:eastAsia="arial" w:hAnsi="arial" w:cs="arial"/>
          <w:color w:val="000000"/>
          <w:sz w:val="20"/>
          <w:lang w:val="en-US" w:eastAsia="en-US" w:bidi="ar-SA"/>
        </w:rPr>
        <w:t xml:space="preserve">, </w:t>
      </w:r>
      <w:hyperlink r:id="rId1039" w:history="1">
        <w:r>
          <w:rPr>
            <w:rFonts w:ascii="arial" w:eastAsia="arial" w:hAnsi="arial" w:cs="arial"/>
            <w:i/>
            <w:color w:val="0077CC"/>
            <w:sz w:val="20"/>
            <w:u w:val="single"/>
            <w:shd w:val="clear" w:color="auto" w:fill="FFFFFF"/>
            <w:lang w:val="en-US" w:eastAsia="en-US" w:bidi="ar-SA"/>
          </w:rPr>
          <w:t>2003 BCSC 451</w:t>
        </w:r>
      </w:hyperlink>
      <w:r>
        <w:rPr>
          <w:rFonts w:ascii="arial" w:eastAsia="arial" w:hAnsi="arial" w:cs="arial"/>
          <w:color w:val="000000"/>
          <w:sz w:val="20"/>
          <w:lang w:val="en-US" w:eastAsia="en-US" w:bidi="ar-SA"/>
        </w:rPr>
        <w:t xml:space="preserve">, applied to the plaintiff in the case before her. In the following extract Melvin J. summarized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The Supreme Court of Canada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07"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analyzed the principles applicable to causation. From that decision, the following principles are taken:</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causation is established where the plaintiff proves to the civil standard on a balance of probabilities that the defendant caused or contributed to the injury;</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general test for causation is the "but for" test; that is, the injury would not have occurred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the "but for" test is not applicable, causation is established where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"materially contributed" to the occurrence of the injury. A contributing factor is material if it falls outside the </w:t>
      </w:r>
      <w:r>
        <w:rPr>
          <w:rFonts w:ascii="arial" w:eastAsia="arial" w:hAnsi="arial" w:cs="arial"/>
          <w:i/>
          <w:color w:val="000000"/>
          <w:sz w:val="20"/>
          <w:lang w:val="en-US" w:eastAsia="en-US" w:bidi="ar-SA"/>
        </w:rPr>
        <w:t>de minimus</w:t>
      </w:r>
      <w:r>
        <w:rPr>
          <w:rFonts w:ascii="arial" w:eastAsia="arial" w:hAnsi="arial" w:cs="arial"/>
          <w:color w:val="000000"/>
          <w:sz w:val="20"/>
          <w:lang w:val="en-US" w:eastAsia="en-US" w:bidi="ar-SA"/>
        </w:rPr>
        <w:t xml:space="preserve"> range;</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causation test is not to be applied too rigidly. Causation need not be determined by scientific precision;</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not necessary for the plaintiff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the injury;</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long as a defendant is part of the cause of an injury, he is liable even though his act alone was not enough to create the injury. The defendants remain liable for all injuries caused or contributed to by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1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apportionment between tortious and non-tortious causes is contrary to the principles of tort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Corrado v. Mah</w:t>
      </w:r>
      <w:r>
        <w:rPr>
          <w:rFonts w:ascii="arial" w:eastAsia="arial" w:hAnsi="arial" w:cs="arial"/>
          <w:color w:val="000000"/>
          <w:sz w:val="20"/>
          <w:lang w:val="en-US" w:eastAsia="en-US" w:bidi="ar-SA"/>
        </w:rPr>
        <w:t xml:space="preserve">, </w:t>
      </w:r>
      <w:hyperlink r:id="rId1040" w:history="1">
        <w:r>
          <w:rPr>
            <w:rFonts w:ascii="arial" w:eastAsia="arial" w:hAnsi="arial" w:cs="arial"/>
            <w:i/>
            <w:color w:val="0077CC"/>
            <w:sz w:val="20"/>
            <w:u w:val="single"/>
            <w:shd w:val="clear" w:color="auto" w:fill="FFFFFF"/>
            <w:lang w:val="en-US" w:eastAsia="en-US" w:bidi="ar-SA"/>
          </w:rPr>
          <w:t>2006 BCSC 1191</w:t>
        </w:r>
      </w:hyperlink>
      <w:r>
        <w:rPr>
          <w:rFonts w:ascii="arial" w:eastAsia="arial" w:hAnsi="arial" w:cs="arial"/>
          <w:color w:val="000000"/>
          <w:sz w:val="20"/>
          <w:lang w:val="en-US" w:eastAsia="en-US" w:bidi="ar-SA"/>
        </w:rPr>
        <w:t xml:space="preserve"> Slade J. found on the evidence that the plaintiff had established that his post-accident condition was "caused or contributed to by the accident" but the defendant had established, on a balance of probabilities, "a pre-existing condition that raises a measurable risk that the plaintiff would, had the accident not occurred, someday been afflicted with his present problems", a "thin skull" condition. Accordingly, Slade J. assessed the general damage award at $50,000 but reduced it by 25% "due to the risk of progression of his pre-existing osteoarthritis of the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In summary then, the defendant's counsel submitted that the plaintiff had a symptomatic condition at the time of the accident which was aggravated by this accident but the plaintiff had a more or less normal recovery which was interrupted by some intervening events. The plaintiff was being treated before the accident by the same methods she is today and in all probability would have continued with these treatments even if there had not been the February accident but some of these expenses were accident-related. The plaintiff has not established any past wage loss or certainly not more than 10 days and she has not established she would have taken the course for advancement and no future loss. General damages should be $25,000 and $7,500, or one-half of the claimed $15,000 for the special damages. There should be only a portion of the future care costs for massage and fitness centre but nothing for the kinesiologist or the PST.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Plaintiff's Reply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The plaintiff argues that the defendant ought not to be entitled to rely on the opinion letter of Dr. Parhar because he did not give the required notice of the intention to use the report as an expert's opinion. Also, no witness at this trial has adopted the opinion of Dr. Parhar. Further, there is no evidence that the plaintiff's condition before the motor vehicle accident of February 2004 was the same as she currently presents and that effectively negates the defendant's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In response to the "intervening acts" argument, counsel submitted that the falls the plaintiff later suffered were not a new intervening injury but an aggravation of the injuries of which she was already complaining.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Plaintiff's counsel submitted that each of the authorities relied upon by the defendant for quantum of damages is distinguishable on their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Findings and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I was particularly impressed with the testimony of Dr. Schuman whose evidence was measured and objective. She did not display any of the usual partisan attitudes often found in a party's treating professionals and accordingly I give considerable weight to 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In contrast, Dr. Favero displayed a propensity for significant skepticism in his report and to such an extent that, although he is highly qualified, his language tended to weaken the weight to be attributed to his opinion. The use of such words as "alleged" rather than "reported" are, in my view, those of an author inclined to be the champion of the retaining client and not the objective language required of an expert.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In cross-examination, Dr. Favero had agreed that ninety percent of the 98 medical/legal reports he performs each year, are for defence counsel, that is, for insurance companies. Dr. Favero testified that he charges $2,000 for each report, plus time for reviewing the other material and that in 2004, he charged ICBC $230,000. In 2006, $240,000 and, "a little less in 2007 than in 2006". Presumably this evidence was adduced to demonstrate that Dr. Favero had a bias favouring defendant's but it is also consistent with, and may mean nothing more than that Dr. Favero is solidly and honestly convinced that the overwhelming majority of soft tissue injury sufferers recover fully within 6 to 12 weeks and that absent some neurological or orthopaedic injury, exercise is the preferred treatment; "passive therapies" are counter-productive and can lead to the "medicalization" of the patient. The fact an "expert" witness testifies primarily for insurance funded defendants is not, in and of itself, a basis for giving the evidence little weight. Dr. Favero is a highly qualified specialist who, I find, firmly believes the opinion he delivered. I did, however, find that while he was testifying his demeanor tended at times to be aggressive and argumentative and that also affected my view of the weight to be given to his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Apart from the fact that Dr. Hershler is a strong proponent of PST, the utility of which is still the subject of on-going scientific debate, he was a more measured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Neither Dr. Favero nor Dr. Hershler have had the regular "day-to-day" history of dealing with the plaintiff as did her general practitioner, Dr. Shuman or, for that matter the Ms. Hoeller, the physiotherapist. As I have earlier noted, Ms. Hoeller acknowledged that by the 30th of December 2003, approximately a month prior to the subject accident, the plaintiff had been treated for "many years for neck problems" and that by that point in time -- December 2003 -- she would have recommended that the plaintiff continue with treatments. Arguably more significantly, she did agree with the opinion expressed by Dr. Parhar in his March 2003 letter that the plaintiff was likely to have intermittent exacerbations of her neck pain into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I found the medical opinion of Dr. Gurdeep Parhar, the plaintiff's attending physician for the first two accidents and the author of the medical/legal report of March 10, 2003, important and difficult to resolve with the evidence and submissions of the plaintiff that she had largely recovered prior to the February 2004 accident. This evidence was entered by the defendant when cross-examining the plaintiff and was not rebutted or varied by Dr. Parhar who was not called to testify. The court is entitled to draw an adverse inference when a witness who could provide relevant evidence on an issue before the court, is not called. In my view the defendant was entitled to rely upon the letter and opinion of Dr. Parhar without providing the usual notice. It was a report prepared for and at the request of the plaintiff and it was identified and portions adopted by the plaintiff in cross-examination. The plaintiff had the opportunity to call Dr. Parhar or evidence to rebut the opinion or to object to its introduction prior to its use in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As for the lay witnesses, I found them generally to be helpful and forthcoming, but I would have expected other workmates or friends to give evidence of the plaintiff's condition during the late fall of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The plaintiff is genuinely suffering from a variety of complaints to her upper body, neck and thoracic region. Her job is one of considerable responsibility and is demanding both physically and emotionally, particularly so at end of term times when she must prepare the reports for her students. Her complaints increase as a term ends and she recovers somewhat during the summer holidays. The evidence of her doctor, physiotherapist and massage therapist establishes that limited recovery. She has had the great misfortune to have been involved in three motor vehicle accidents and as well to have had three falls since February, 2004. The falls have admittedly caused her pain to flair and she has reported each incident to the massage therapist or physiotherapist. Presently she is in considerable discomfort five years post-accident.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The critical issue before me is whether the February 2004 accident exacerbated a pre-existing and symptomatic injury caused by the earlier accidents or whether it is a new injury to a vulnerable plaintiff: the classic "thin skull" or the "crumbling skull"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xml:space="preserve">  I find that the plaintiff had not fully recovered from the previous injuries to her upper back and neck by the time of the last accident. As a result, she was more vulnerable to the type of injury she suffered and her condition was further aggravated by later falls. Applying the test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as summarized by Melvin J. in </w:t>
      </w:r>
      <w:r>
        <w:rPr>
          <w:rFonts w:ascii="arial" w:eastAsia="arial" w:hAnsi="arial" w:cs="arial"/>
          <w:i/>
          <w:color w:val="000000"/>
          <w:sz w:val="20"/>
          <w:lang w:val="en-US" w:eastAsia="en-US" w:bidi="ar-SA"/>
        </w:rPr>
        <w:t>Bedwell</w:t>
      </w:r>
      <w:r>
        <w:rPr>
          <w:rFonts w:ascii="arial" w:eastAsia="arial" w:hAnsi="arial" w:cs="arial"/>
          <w:color w:val="000000"/>
          <w:sz w:val="20"/>
          <w:lang w:val="en-US" w:eastAsia="en-US" w:bidi="ar-SA"/>
        </w:rPr>
        <w:t xml:space="preserve">, I am satisfied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"materially contributed" to the plaintiff's complaints and "but for" the February 2004 accident the intervening falls would not have affected her as much as they have.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It seems to be common ground among the experts that the plaintiff suffers from chronic pain, an opinion primarily based on the fact the pain has lasted for so long. All of the experts believe that the plaintiff is "deconditioned" and needs to become "reconditioned". It is likely a very difficult thing for someone who experiences as much pain as the plaintiff says she does, to go out and undertake a reconditioning programme, particularly after a long day in the classroom. Nevertheless, that is what she must do both on the recommendation of her doctors and physiotherapist and in order to mitigate her loss. I find that the plaintiff has not done everything that she should have and could have done to recondition her body and has depended too much on passive therapies. Although Dr. Hershler and Ms. Hoeller have testified to the efficacy of passive therapies, I agree with Dr. Favero to this extent: the plaintiff must become more personally actively involved in treating her symptoms and not rely as heavily on pain and muscle relaxant medication, physiotherapy and massage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Although Dr. Hershler is a well qualified expert in physical medicine and rehabilitation and I found his evidence helpful, I am not prepared to accept PST as an appropriate treatment for the plaintiff's complaints, at least to the extent that the defendant is obliged to contribute to the cost. Although Dr. Schuman was inclined to support alternative therapies, which, I find, is because the plaintiff feels she has tried everything else. She has not tried everything else; she needs to recondition her back and neck by undertaking a fitness programme suited to her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General Damages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I find that the plaintiff suffered a mild to moderate soft tissue injury to her cervical and upper thoracic areas as a result of the February 2004 accident. This was superimposed on her already symptomatic condition caused by the earlier accidents and although she had started to make the expected recovery, the process was interrupted by her falls. Normally, these would not have affected the plaintiff but she was more vulnerable as a result of the three accidents. There is no orthopaedic or neurological cause. It is probable that these complaints will continue well into the future but can be managed and alleviated by an appropriate exercise programme (as recommended by her medical advisors as early as Dr. Parhar in March 2003) and by such passive therapies as may, from time to time, help alleviate 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Using the authorities relied upon by counsel as a template, for each case depends on its own unique features, I assess the plaintiff's general damages at $80,000 which I reduce by 25% as attributable to or an apportionment for her pre-existing symptomatic injuries and her intervening falls.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Past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Turning to the claim for past income loss, this is predicated on a loss of 38 days of sick time caused by her accident-related complaints. There are a number of problems with this claim. First, the plaintiff did not keep a record of the sick days or whether a particular day was because of her accident-related complaints. Second, the number of days she took off before February 2004 was roughly the same as post-accident. Third, some days off are attributable to her per-existing complaints. I find however, that some days of sick time in all probability are related to the injuries she suffered in the subject accident and I allow them at 20 days. I accept the calculations of plaintiff's counsel based on a daily average income of $380 for a total of $7,600.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Future Lost Income - Sick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I do accept that in the future there is a substantial possibility that the plaintiff will have to take sick days off as a result of complaints related to this accident. Her counsel submitted that these are conservatively 5 days a year and for another 11 years until her retirement in 2019. Based on "a conservative estimate of her average income over these years" of $400 a day, he fixes the award at $22,000 gross but I have no evidence of the present day value and I decline to leave it to counsel to agree or return for further evidence and argument. Rather, using Mr. Carson's tables as a rough guide and assuming the annual loss of five sick days at $400 a day equals $2,000 or 2/6ths (1/3) of his calculations for present values for future income loss, I calculate the present value to be $13,333, rounded to $13,300 but reduced by 25% for her pre-existing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Future Income Loss - Forced Early Retirement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I am satisfied that the plaintiff's circumstances will lead her to take early retirement. I accept her counsel's submission that the evidence supports a minimum of two years of income loss - that is two years before a retirement in 2019 - and, based upon a probable annual income of $80,000 of for those two years the future gross income loss amounts to $160,000. Counsel concedes that there is no present value evidence before the court but submits that these can be agreed upon by counsel should the court find this head of loss has been established. This award is also subject to the 25% reduction for pre-existing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Impaired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xml:space="preserve">  This claim depends upon a finding that the plaintiff's income earning capacity has been impaired; that she is less marketable in some occupations; and less able to take advantage of all job opportunities which may be open to her; and less valuable to herself as a person capable of earning income in a competitive labour market: the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Nevertheless I have concluded that the plaintiff will in all probably not leave her present occupation before she takes early retirement but also that she will not want to or have to work in some other occupation. I have no doubt that the plaintiff is less capable over all from earning an income from all types of occupations, but she is employed and has continued with her employment with the some additional sick days and there is no evidence her employer will not continue her employment because of her complaints. I have found that she will retire early and have awarded her compensation for that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Loss of Advancement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The plaintiff's claim for compensation resulting from her inability to upgrade her salary by completing the PB+15 programme fails. I am not satisfied on a balance of probabilities that the plaintiff had any firm prior intention to enroll. She had, and has, taken no steps to enquire seriously about the course and I conclude she had not progressed beyond the stage of mere speculation. Other than observing her husband as he does the 1/2 to 1 hour of homework each night, she has not enquired if there are any ergonomic aids she could use or if indeed her programme would be less onerous than her husband's. The evidence to support such a claim is inadequate.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That finding also results in the failure of her claim for loss of pension which would have flowed from any increase in her salary related to the Loss of Advancement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This claim is for the cost of physiotherapy and massage therapy and mileage for all treatments since February 4, 2004. Counsel says that each and every treatment was required regardless of the plaintiff's pre-existing condition in her low back. That is true of course for there is no claim for injury to the plaintiff's low back but evidence demonstrates that pre-accident treatments were not confined to the plaintiff's low back and I conclude that the symptomatic pre-accident complaints were and continued to be treated after the accident. Accordingly, some portion ought to be deducted for her pre-accident injuries which were and continued to be symptomatic and needing attention. The claim is presented at $15,520 but reduced by 20% to $12,415.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Future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I am satisfied that the plaintiff will need some of her claimed future care costs and that the ones I allow are for the symptoms arising from her February 2004 accident, stripped of treatment expenses that relate to her earlier accidents and presenting symptoms at the time of the February accident. I allow the physiotherapy and massage therapy but reduced after her retirement in 2017 when the stress of her occupation will be removed and thereafter her treatments will not need to be as frequent. The two therapies cost is allowed as claimed for 8 years until the end of the school year in 2017. Thereafter it is reduced to 6 sessions for each therapy for another 10 years. I roughly calculate these to amount to $11,400 for the physiotherapy and $11,700 for massage therapy. Counsel are at liberty to determine if my calculations are correct and agree on the present value of these amounts. I also allow the claim for a gym membership at $1,000 and some allowance for her over-the-counter medications. The evidence on this cost is scanty but some provision is to be made. Doing the best I can I allow this at $1,500, the present value of which I leave again to counsel. The cost of the PST is not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In the absence of some factors of which I am not aware the plaintiff is entitled to her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T.P. WARREN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4" style="position:absolute;z-index:251808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41"/>
          <w:headerReference w:type="default" r:id="rId1042"/>
          <w:footerReference w:type="even" r:id="rId1043"/>
          <w:footerReference w:type="default" r:id="rId1044"/>
          <w:headerReference w:type="first" r:id="rId1045"/>
          <w:footerReference w:type="first" r:id="rId104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1047" w:history="1">
        <w:r>
          <w:rPr>
            <w:rFonts w:ascii="arial" w:eastAsia="arial" w:hAnsi="arial" w:cs="arial"/>
            <w:b/>
            <w:bCs/>
            <w:i/>
            <w:color w:val="0077CC"/>
            <w:kern w:val="32"/>
            <w:sz w:val="28"/>
            <w:szCs w:val="32"/>
            <w:u w:val="single"/>
            <w:shd w:val="clear" w:color="auto" w:fill="FFFFFF"/>
            <w:lang w:val="en-US" w:eastAsia="en-US" w:bidi="ar-SA"/>
          </w:rPr>
          <w:t>Kivisalu v. Brown, [2002] B.C.J. No. 3346</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McKinnon J. (In Chambers)</w:t>
      </w:r>
    </w:p>
    <w:p>
      <w:pPr>
        <w:spacing w:before="120" w:line="260" w:lineRule="atLeast"/>
        <w:jc w:val="center"/>
        <w:rPr>
          <w:lang w:val="en-US" w:eastAsia="en-US" w:bidi="ar-SA"/>
        </w:rPr>
      </w:pPr>
      <w:r>
        <w:rPr>
          <w:rFonts w:ascii="arial" w:eastAsia="arial" w:hAnsi="arial" w:cs="arial"/>
          <w:color w:val="000000"/>
          <w:sz w:val="20"/>
          <w:lang w:val="en-US" w:eastAsia="en-US" w:bidi="ar-SA"/>
        </w:rPr>
        <w:t>Oral judgment: November 13, 2002.</w:t>
      </w:r>
    </w:p>
    <w:p>
      <w:pPr>
        <w:spacing w:before="120" w:line="260" w:lineRule="atLeast"/>
        <w:jc w:val="center"/>
        <w:rPr>
          <w:lang w:val="en-US" w:eastAsia="en-US" w:bidi="ar-SA"/>
        </w:rPr>
      </w:pPr>
      <w:r>
        <w:rPr>
          <w:rFonts w:ascii="arial" w:eastAsia="arial" w:hAnsi="arial" w:cs="arial"/>
          <w:color w:val="000000"/>
          <w:sz w:val="20"/>
          <w:lang w:val="en-US" w:eastAsia="en-US" w:bidi="ar-SA"/>
        </w:rPr>
        <w:t>Released: August 9, 2006.</w:t>
      </w:r>
    </w:p>
    <w:p>
      <w:pPr>
        <w:spacing w:before="120" w:line="260" w:lineRule="atLeast"/>
        <w:jc w:val="center"/>
        <w:rPr>
          <w:lang w:val="en-US" w:eastAsia="en-US" w:bidi="ar-SA"/>
        </w:rPr>
      </w:pPr>
      <w:r>
        <w:rPr>
          <w:rFonts w:ascii="arial" w:eastAsia="arial" w:hAnsi="arial" w:cs="arial"/>
          <w:color w:val="000000"/>
          <w:sz w:val="20"/>
          <w:lang w:val="en-US" w:eastAsia="en-US" w:bidi="ar-SA"/>
        </w:rPr>
        <w:t>New Westminster Registry No. S064470</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[2002] B.C.J. No. 3346</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2002 BCSC 1901</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152 A.C.W.S. (3d) 527</w:t>
      </w:r>
    </w:p>
    <w:p>
      <w:pPr>
        <w:spacing w:before="120" w:line="260" w:lineRule="atLeast"/>
        <w:rPr>
          <w:lang w:val="en-US" w:eastAsia="en-US" w:bidi="ar-SA"/>
        </w:rPr>
      </w:pPr>
      <w:r>
        <w:rPr>
          <w:rFonts w:ascii="arial" w:eastAsia="arial" w:hAnsi="arial" w:cs="arial"/>
          <w:color w:val="000000"/>
          <w:sz w:val="20"/>
          <w:lang w:val="en-US" w:eastAsia="en-US" w:bidi="ar-SA"/>
        </w:rPr>
        <w:t>Between Ritva Kivisalu, Plaintiff, and Robert Ian Gordon Brown, Brendan J.O. Byrne, Barry Singh, Brenda Lau and Royal Columbian Hospital,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(45 paras.)</w:t>
      </w:r>
    </w:p>
    <w:p>
      <w:pPr>
        <w:jc w:val="both"/>
        <w:rPr>
          <w:lang w:val="en-US" w:eastAsia="en-US" w:bidi="ar-SA"/>
        </w:rPr>
      </w:pPr>
      <w:bookmarkStart w:id="215" w:name="Counsel_47"/>
      <w:bookmarkEnd w:id="215"/>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95" style="position:absolute;z-index:25170739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Plaintiff: J.S. Piamonte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Defendants Royal Columbian Hospital and Singh: A. Sayn-Wittgenstein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Defendants Byrne and Lau: B.W. Stock</w:t>
      </w:r>
      <w:r>
        <w:rPr>
          <w:lang w:val="en-US" w:eastAsia="en-US" w:bidi="ar-SA"/>
        </w:rPr>
        <w:cr/>
      </w:r>
    </w:p>
    <w:p>
      <w:pPr>
        <w:spacing w:after="240"/>
        <w:rPr>
          <w:lang w:val="en-US" w:eastAsia="en-US" w:bidi="ar-SA"/>
        </w:rPr>
      </w:pPr>
      <w:bookmarkStart w:id="216" w:name="Judgment_47"/>
      <w:bookmarkEnd w:id="216"/>
      <w:r>
        <w:pict>
          <v:line id="_x0000_s1196" style="position:absolute;z-index:251758592"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17" w:name="McKINNON J. (orally)"/>
            <w:bookmarkEnd w:id="217"/>
            <w:r>
              <w:rPr>
                <w:rFonts w:ascii="arial" w:eastAsia="arial" w:hAnsi="arial" w:cs="arial"/>
                <w:b/>
                <w:color w:val="000000"/>
                <w:sz w:val="30"/>
                <w:lang w:val="en-US" w:eastAsia="en-US" w:bidi="ar-SA"/>
              </w:rPr>
              <w:t>McKINNON J. (orally)</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is the widow of Mr. Endel Kivisalu. He died at Royal Columbian Hospital on April 19th, 1999. She claims damages from Dr. Brendan J.O. Byrne, his general practitioner; Dr. Brenda Lau, an intern at Royal Columbian Hospital; Mr. Barry Singh, a respiratory therapist at Royal Columbian; and the hospital, Royal Columbian.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apply pursuant to Rule 18A for dismissal of all actions against them. The trial is scheduled to commence on February 23rd, 2004.</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There is no issue that Mr. Kivisalu suffered from end-stage congestive heart failure. He had been under the care of several specialists over the years since 1986 and had been hospitalized a number of times at both St. Paul's and Vancouver General.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Dr. Byrne first attended him on February 10th, 1998 when Mr. Kivisalu and his wife came to his clinic. An issue had arisen with his former medical advisors having privileges at Vancouver General Hospital respecting resuscitation at that hospital.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Neither the plaintiff nor her husband was in agreement with the ethics committee of Vancouver General Hospital that had designated Mr. Kivisalu as a "No Code Blue" status. This designation meant that should he suffer a cardiac arrest there would be no resuscitative measures used such as CPR and defibrillation.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Dr. Byrne, who had privileges at Royal Columbian Hospital, accepted Mr. Kivisalu as a patient on the understanding that a Code Blue status would be employed should Mr. Kivisalu suffer cardiac arrest while in Dr. Byrne's care.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One month prior to engaging Dr. Byrne, Mr. Kivisalu had been taken to Royal Columbian Hospital emergency and was seen there by Dr. Brown, a cardiologist on call. Mr. Kivisalu was then 75 years old. He informed Dr. Brown of a long history of coronary artery disease, including bypass surgery in 1986.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Dr. Brown admitted Mr. Kivisalu to Royal Columbian Hospital on January 4th, 1998. He obtained an extensive medical history from former cardiology specialists and from hospital records, and with this and his own examination results, concluded that the patient's heart disease was very advanced.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Dr. Brown treated Mr. Kivisalu with various medications that had all been tried before except for Carvedilol. It was, however, of the same family of drugs as Metoprolol, which Mr. Kivisalu had used in the past. Although discharged on January 9th, Mr. Kivisalu was readmitted on January 14th and remained until January 30th. Dr. Brown noted that, during this time, Mr. Kivisalu seemed able to tolerate Carvedilol.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discharge, Mr. Kivisalu received oxygen therapy at home, analgesics with liquid morphine and the following medications: Lasix, Digoxin, Norvasc, Vasotec, Carvedilol, enteric coated Aspirin, Nitro-dur, Ventolin puffers and Atrovent. Dr. Brown directed that he attend upon his family physician for continued supervision. That was then Dr. Ezekiel. But as indicated, given the DNR status, Mr. Kivisalu selected Dr. Byrne as his general practitioner.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Dr. Brown continued to see Mr. Kivisalu at various times until his last consultation on September 15th, 1998. He deposed that on March 11th, 1998 he saw him in his office, made some adjustments to his medication and made a consultation report to Dr. Byrne.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June 23rd, 1998, Dr. Brown saw Mr. Kivisalu and again prepared a consultation report for Dr. Byrne in which he spoke of decreasing the level of Carvedilol but not until after a scheduled September appointment.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September he again saw Mr. Kivisalu and at this time decreased Zaroxolyn and added Norvasc. No mention was made of reducing Carvedilol. He sent a consult report to Dr. Byrne and indicated that it was not necessary for Mr. Kivisalu to see him again unless Dr. Byrne felt it necessary.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Dr. Brown was of the view then, and since, that nothing more could be done for the patient. He approved of Dr. Byrne's decisions regarding the patient's care and specifically the use of Carvedilol.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Kivisalu was again hospitalized between February 17th and March 12th, 1999. It was during this period that his Code Blue status was changed to Do Not Resuscitate (DNR). At least part of the plaintiff's claim relates to this issue of Code Blue status. She maintains that while her husband may have agreed to the change as deposed by Dr. Byrne, it was not an informed choice that he understood.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March 26th, Mr. Kivisalu was once again admitted to Royal Columbian Hospital. He was then suffering the following problems: insulin dependent diabetes, obesity, peripheral vascular disease with leg pain and open non-healing foot ulcers, diabetic retinopathy, cataracts with marked vision loss, chronic obstructive lung disease requiring intermittent oxygen therapy, gastrointestinal bleeding, an enlarged prostate, chronic kidney failure and severe coronary artery disease.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By the time of this last admission to hospital little could be done for Mr. Kivisalu but to provide palliative care. On April 18th he suffered episodes of breathing cessation and on the morning of April 19th, his potassium level was elevated, suggesting death could be imminent.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Dr. Lau, an intern, attended him, administering medication prescribed by Dr. Byrne. At noon that day she observed him developing ventricular fibrillation which, if left untreated, would be fatal. Given his DNR status, she would not have intervened but the plaintiff insisted that a Code Blue be employed and it was.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Singh, the respiratory therapist, attended and inserted an airway and then commenced bag and mask ventilation. Dr. Byrne arrived and, noting that a heartbeat could not be detected, ordered cessation of all resuscitative measures. Death followed.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claim against Dr. Byrne alleges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his overall treatment of Mr. Kivisalu and particularly the use of Carvedilol. There is also a claim that the Code Blue status was not respected and that all available efforts were not made to resuscitate Mr. Kivisalu. The claims against Dr. Lau and Mr. Singh allege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their resuscitative efforts.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this application, the defendants have provided expert opinion evidence from both a cardiologist and a general practitioner that the standard of care given by both doctors Byrne and Lau was appropriate.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proffered two expert opinions to which the defendants take objection.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Dr. Vaughn is a cardiothoracic surgeon from Flagstaff, Arizona who has 31 years experience in that field. Dr. Fox is a family general practitioner from California.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test to be employed is that found in </w:t>
      </w:r>
      <w:r>
        <w:rPr>
          <w:rFonts w:ascii="arial" w:eastAsia="arial" w:hAnsi="arial" w:cs="arial"/>
          <w:b/>
          <w:i/>
          <w:color w:val="000000"/>
          <w:sz w:val="20"/>
          <w:lang w:val="en-US" w:eastAsia="en-US" w:bidi="ar-SA"/>
        </w:rPr>
        <w:t>ter Neuzen v. Korn</w:t>
      </w:r>
      <w:r>
        <w:rPr>
          <w:rFonts w:ascii="arial" w:eastAsia="arial" w:hAnsi="arial" w:cs="arial"/>
          <w:color w:val="000000"/>
          <w:sz w:val="20"/>
          <w:lang w:val="en-US" w:eastAsia="en-US" w:bidi="ar-SA"/>
        </w:rPr>
        <w:t xml:space="preserve"> </w:t>
      </w:r>
      <w:hyperlink r:id="rId846" w:history="1">
        <w:r>
          <w:rPr>
            <w:rFonts w:ascii="arial" w:eastAsia="arial" w:hAnsi="arial" w:cs="arial"/>
            <w:i/>
            <w:color w:val="0077CC"/>
            <w:sz w:val="20"/>
            <w:u w:val="single"/>
            <w:shd w:val="clear" w:color="auto" w:fill="FFFFFF"/>
            <w:lang w:val="en-US" w:eastAsia="en-US" w:bidi="ar-SA"/>
          </w:rPr>
          <w:t>(1995), 11 B.C.L.R. (3d) 201</w:t>
        </w:r>
      </w:hyperlink>
      <w:r>
        <w:rPr>
          <w:rFonts w:ascii="arial" w:eastAsia="arial" w:hAnsi="arial" w:cs="arial"/>
          <w:color w:val="000000"/>
          <w:sz w:val="20"/>
          <w:lang w:val="en-US" w:eastAsia="en-US" w:bidi="ar-SA"/>
        </w:rPr>
        <w:t xml:space="preserve"> where at p. 214 the Court stated: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A Court judges a physician based on the standard of an ordinary, average specialist in the same field. If the physician establishes that he or she followed a generally accepted or standard practice of his or her peers, then that will normally result in a finding of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plaintiff is obliged to establish that Dr. Byrne failed to meet the standard of care of an ordinary, competent general practitioner in similar circumstances and that Dr. Lau failed to meet the standard of care expected of an ordinary competent resident internist in similar circumstances: see </w:t>
      </w:r>
      <w:r>
        <w:rPr>
          <w:rFonts w:ascii="arial" w:eastAsia="arial" w:hAnsi="arial" w:cs="arial"/>
          <w:b/>
          <w:i/>
          <w:color w:val="000000"/>
          <w:sz w:val="20"/>
          <w:lang w:val="en-US" w:eastAsia="en-US" w:bidi="ar-SA"/>
        </w:rPr>
        <w:t>Wilson v. Swanson</w:t>
      </w:r>
      <w:r>
        <w:rPr>
          <w:rFonts w:ascii="arial" w:eastAsia="arial" w:hAnsi="arial" w:cs="arial"/>
          <w:color w:val="000000"/>
          <w:sz w:val="20"/>
          <w:lang w:val="en-US" w:eastAsia="en-US" w:bidi="ar-SA"/>
        </w:rPr>
        <w:t xml:space="preserve">, </w:t>
      </w:r>
      <w:hyperlink r:id="rId1048" w:history="1">
        <w:r>
          <w:rPr>
            <w:rFonts w:ascii="arial" w:eastAsia="arial" w:hAnsi="arial" w:cs="arial"/>
            <w:i/>
            <w:color w:val="0077CC"/>
            <w:sz w:val="20"/>
            <w:u w:val="single"/>
            <w:shd w:val="clear" w:color="auto" w:fill="FFFFFF"/>
            <w:lang w:val="en-US" w:eastAsia="en-US" w:bidi="ar-SA"/>
          </w:rPr>
          <w:t>[1956] S.C.R. 804</w:t>
        </w:r>
      </w:hyperlink>
      <w:r>
        <w:rPr>
          <w:rFonts w:ascii="arial" w:eastAsia="arial" w:hAnsi="arial" w:cs="arial"/>
          <w:color w:val="000000"/>
          <w:sz w:val="20"/>
          <w:lang w:val="en-US" w:eastAsia="en-US" w:bidi="ar-SA"/>
        </w:rPr>
        <w:t xml:space="preserve"> at 811 and 817 and </w:t>
      </w:r>
      <w:r>
        <w:rPr>
          <w:rFonts w:ascii="arial" w:eastAsia="arial" w:hAnsi="arial" w:cs="arial"/>
          <w:b/>
          <w:i/>
          <w:color w:val="000000"/>
          <w:sz w:val="20"/>
          <w:lang w:val="en-US" w:eastAsia="en-US" w:bidi="ar-SA"/>
        </w:rPr>
        <w:t>Belknap v. Meakes</w:t>
      </w:r>
      <w:r>
        <w:rPr>
          <w:rFonts w:ascii="arial" w:eastAsia="arial" w:hAnsi="arial" w:cs="arial"/>
          <w:color w:val="000000"/>
          <w:sz w:val="20"/>
          <w:lang w:val="en-US" w:eastAsia="en-US" w:bidi="ar-SA"/>
        </w:rPr>
        <w:t xml:space="preserve"> </w:t>
      </w:r>
      <w:hyperlink r:id="rId1049" w:history="1">
        <w:r>
          <w:rPr>
            <w:rFonts w:ascii="arial" w:eastAsia="arial" w:hAnsi="arial" w:cs="arial"/>
            <w:i/>
            <w:color w:val="0077CC"/>
            <w:sz w:val="20"/>
            <w:u w:val="single"/>
            <w:shd w:val="clear" w:color="auto" w:fill="FFFFFF"/>
            <w:lang w:val="en-US" w:eastAsia="en-US" w:bidi="ar-SA"/>
          </w:rPr>
          <w:t>(1989), 64 D.L.R. (4th) 452</w:t>
        </w:r>
      </w:hyperlink>
      <w:r>
        <w:rPr>
          <w:rFonts w:ascii="arial" w:eastAsia="arial" w:hAnsi="arial" w:cs="arial"/>
          <w:color w:val="000000"/>
          <w:sz w:val="20"/>
          <w:lang w:val="en-US" w:eastAsia="en-US" w:bidi="ar-SA"/>
        </w:rPr>
        <w:t xml:space="preserve"> at 473 to 474.</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Evidence respecting the standard of care expected of such persons must come from physicians in corresponding fields; here, the field of general practice: see </w:t>
      </w:r>
      <w:r>
        <w:rPr>
          <w:rFonts w:ascii="arial" w:eastAsia="arial" w:hAnsi="arial" w:cs="arial"/>
          <w:b/>
          <w:i/>
          <w:color w:val="000000"/>
          <w:sz w:val="20"/>
          <w:lang w:val="en-US" w:eastAsia="en-US" w:bidi="ar-SA"/>
        </w:rPr>
        <w:t>American Pyramid Resources Inc. v. Royal Bank of Canada</w:t>
      </w:r>
      <w:r>
        <w:rPr>
          <w:rFonts w:ascii="arial" w:eastAsia="arial" w:hAnsi="arial" w:cs="arial"/>
          <w:color w:val="000000"/>
          <w:sz w:val="20"/>
          <w:lang w:val="en-US" w:eastAsia="en-US" w:bidi="ar-SA"/>
        </w:rPr>
        <w:t xml:space="preserve"> </w:t>
      </w:r>
      <w:hyperlink r:id="rId1050" w:history="1">
        <w:r>
          <w:rPr>
            <w:rFonts w:ascii="arial" w:eastAsia="arial" w:hAnsi="arial" w:cs="arial"/>
            <w:i/>
            <w:color w:val="0077CC"/>
            <w:sz w:val="20"/>
            <w:u w:val="single"/>
            <w:shd w:val="clear" w:color="auto" w:fill="FFFFFF"/>
            <w:lang w:val="en-US" w:eastAsia="en-US" w:bidi="ar-SA"/>
          </w:rPr>
          <w:t>(1986), 2 B.C.L.R. (2d) 99</w:t>
        </w:r>
      </w:hyperlink>
      <w:r>
        <w:rPr>
          <w:rFonts w:ascii="arial" w:eastAsia="arial" w:hAnsi="arial" w:cs="arial"/>
          <w:color w:val="000000"/>
          <w:sz w:val="20"/>
          <w:lang w:val="en-US" w:eastAsia="en-US" w:bidi="ar-SA"/>
        </w:rPr>
        <w:t xml:space="preserve"> at 105 and </w:t>
      </w:r>
      <w:r>
        <w:rPr>
          <w:rFonts w:ascii="arial" w:eastAsia="arial" w:hAnsi="arial" w:cs="arial"/>
          <w:b/>
          <w:i/>
          <w:color w:val="000000"/>
          <w:sz w:val="20"/>
          <w:lang w:val="en-US" w:eastAsia="en-US" w:bidi="ar-SA"/>
        </w:rPr>
        <w:t>Steeves v. Air Canada</w:t>
      </w:r>
      <w:r>
        <w:rPr>
          <w:rFonts w:ascii="arial" w:eastAsia="arial" w:hAnsi="arial" w:cs="arial"/>
          <w:color w:val="000000"/>
          <w:sz w:val="20"/>
          <w:lang w:val="en-US" w:eastAsia="en-US" w:bidi="ar-SA"/>
        </w:rPr>
        <w:t xml:space="preserve">, </w:t>
      </w:r>
      <w:hyperlink r:id="rId1051" w:history="1">
        <w:r>
          <w:rPr>
            <w:rFonts w:ascii="arial" w:eastAsia="arial" w:hAnsi="arial" w:cs="arial"/>
            <w:i/>
            <w:color w:val="0077CC"/>
            <w:sz w:val="20"/>
            <w:u w:val="single"/>
            <w:shd w:val="clear" w:color="auto" w:fill="FFFFFF"/>
            <w:lang w:val="en-US" w:eastAsia="en-US" w:bidi="ar-SA"/>
          </w:rPr>
          <w:t>[1996] B.C.J. No. 2879</w:t>
        </w:r>
      </w:hyperlink>
      <w:r>
        <w:rPr>
          <w:rFonts w:ascii="arial" w:eastAsia="arial" w:hAnsi="arial" w:cs="arial"/>
          <w:color w:val="000000"/>
          <w:sz w:val="20"/>
          <w:lang w:val="en-US" w:eastAsia="en-US" w:bidi="ar-SA"/>
        </w:rPr>
        <w:t>, 8th January 1996, Vancouver Registry No. C931493 (B.C.S.C.).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defendants proffered two expert opinions, one a cardiologist and the other a general practitioner. Dr. John Webb is Director of International Cardiology and Cardiac Catheterization at St. Paul's Hospital and the University of British Columbia. Insofar as the plaintiff's complaint with respect to Carvedilol is concerned, he found the treatment given Mr. Kivisalu to be entirely appropriate stating:</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Dr. Brown specifically recommended the use of Carvedilol. It is worth noting that Carvedilol had also been recommended by a number of cardiologists. Drs. Dodek and MacDonald at St. Paul's Hospital and Dr. Huckell at Vancouver General Hospital specifically recorded their recommendations for its use in these consultation letters ... Dr. Byrne appears to have complied with the recommendation of Dr. Brown and other cardiologists. It is difficult to fault either with respect to this.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Dr. Bradley A. Fritz practiced family medicine in Vancouver. He has been in active practice since 1976. In addition to his practice he is a clinical professor in the Department of Family Practice of the Faculty of Medicine at the University of British Columbia. Although he offered a fairly extensive opinion, the following passages at pp. 4 and 5 of his report summarize his findings for the case at bar:</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In my opinion, Dr. Brendan Byrne met the standard of care I would have expected from a family physician practicing in urban British Columbia in the late 1990s. He provided excellent care to Mr. Kivisalu both in the hospital and through his office. He managed Mr. Kivisalu's multisystem complex diseases well, as evidenced by Dr. Brown having made no changes to the therapeutic regime prescribed by Dr. Byrne. Dr. Byrne provided appropriate hospital care, and when he concluded that Mr. Kivisalu's death was imminent and unavoidable, informed Mrs. Kivisalu of this fact. In keeping with the patient's wishes and the hospital resuscitation guidelines, Dr. Byrne wrote appropriate "do not resuscitate" orders. When he arrived and found Mr. Kivisalu had arrested, he appropriately, in my opinion, cancelled further resuscitative efforts as they would have certainly proven to be futile.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opinion proffered by Dr. Vaughn purports to assess the level of care expected of a general family practitioner. Dr. Vaughn has no such expertise and accordingly his report has no value for the issues raised in this case. If I am wrong in that assumption then the report itself offers no criticism whatever of Dr. Lau and Mr. Singh. They are not even mentioned.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any event, Dr. Vaughn is only mildly critical with regard to the use of Carvedilol and entirely supportive of the DNR decision. He claims that "the glaring failure in this case is a family physician managing a complex case probably beyond his capabilities." This statement is not at all supported by the facts. Dr. Brown, a cardiologist, had an active role in the management of Mr. Kivisalu's treatment. Some six or seven other cardiologists had been involved as well over the past ten years. Dr. Byrne had the support of Dr. Brown and followed the regime of treatment approved by Dr. Brown. Thus, even if admitted, the report of Dr. Vaughn has little or no weight.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Dr. Fox is a family physician practicing in California. He makes no criticism of Dr. Lau or Mr. Singh. Insofar as Dr. Byrne is concerned, he premises much of his opinion upon incorrect facts. He makes categorical statements such as "no input from a cardiologist after September 1998." While it is true that Mr. Kivisalu did not see Dr. Brown after September 1998, the fact is that there was no necessity. Even Dr. Fox concedes that nothing much could have been done by any medical person to extend Mr. Kivisalu's life. In his report he stated: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In summary, it is clear from the records reviewed that the care provided by Dr. Byrne was substandard. However, due to the severe and terminal nature of Mr. Kivisalu's medical condition it is not at all clear that this substandard care impacted the ultimate outcome. It is possible that the patient may have survived a few more days or weeks with more optimal care but I cannot even state this with any kind of medical certainty.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There is, therefore, even on Dr. Fox's view of events, no causal link between Mr. Kivisalu's death and the care given.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Ms. Kivisalu, commented on a number of occasions of her long experience as a registered nurse. My sense of her references to this experience is that she reached her own professional conclusions with regard to her husband's treatment and found it wanting. That conclusion is undoubtedly tempered by her personal sense of loss and is to be contrasted with established facts which do not support some of her inferred conclusions. While I have every sympathy for her loss, I cannot accept her "professional" opinion nor, as indicated, do I agree with many of her factual claims.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 have commented at some length upon the test to be employed when one measures a standard of care. Although I hesitate to use the word "geographical" when employing this test, there is a measure of geography that enters into the assessment. In </w:t>
      </w:r>
      <w:r>
        <w:rPr>
          <w:rFonts w:ascii="arial" w:eastAsia="arial" w:hAnsi="arial" w:cs="arial"/>
          <w:b/>
          <w:i/>
          <w:color w:val="000000"/>
          <w:sz w:val="20"/>
          <w:lang w:val="en-US" w:eastAsia="en-US" w:bidi="ar-SA"/>
        </w:rPr>
        <w:t>Elder v. Farrell</w:t>
      </w:r>
      <w:r>
        <w:rPr>
          <w:rFonts w:ascii="arial" w:eastAsia="arial" w:hAnsi="arial" w:cs="arial"/>
          <w:color w:val="000000"/>
          <w:sz w:val="20"/>
          <w:lang w:val="en-US" w:eastAsia="en-US" w:bidi="ar-SA"/>
        </w:rPr>
        <w:t xml:space="preserve">, </w:t>
      </w:r>
      <w:hyperlink r:id="rId1052" w:history="1">
        <w:r>
          <w:rPr>
            <w:rFonts w:ascii="arial" w:eastAsia="arial" w:hAnsi="arial" w:cs="arial"/>
            <w:i/>
            <w:color w:val="0077CC"/>
            <w:sz w:val="20"/>
            <w:u w:val="single"/>
            <w:shd w:val="clear" w:color="auto" w:fill="FFFFFF"/>
            <w:lang w:val="en-US" w:eastAsia="en-US" w:bidi="ar-SA"/>
          </w:rPr>
          <w:t>[1998] B.C.J. No. 2051</w:t>
        </w:r>
      </w:hyperlink>
      <w:r>
        <w:rPr>
          <w:rFonts w:ascii="arial" w:eastAsia="arial" w:hAnsi="arial" w:cs="arial"/>
          <w:color w:val="000000"/>
          <w:sz w:val="20"/>
          <w:lang w:val="en-US" w:eastAsia="en-US" w:bidi="ar-SA"/>
        </w:rPr>
        <w:t>, Vancouver Registry No. C955735, Madam Justice Gill noted that: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It is clear that the conduct of a physician is to be assessed by reference to the knowledge, competence and skill of a prudent and diligent practitioner in the same circumstances.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Mr. Justice Gow in </w:t>
      </w:r>
      <w:r>
        <w:rPr>
          <w:rFonts w:ascii="arial" w:eastAsia="arial" w:hAnsi="arial" w:cs="arial"/>
          <w:b/>
          <w:i/>
          <w:color w:val="000000"/>
          <w:sz w:val="20"/>
          <w:lang w:val="en-US" w:eastAsia="en-US" w:bidi="ar-SA"/>
        </w:rPr>
        <w:t>St. Jules v. Chen,</w:t>
      </w:r>
      <w:r>
        <w:rPr>
          <w:rFonts w:ascii="arial" w:eastAsia="arial" w:hAnsi="arial" w:cs="arial"/>
          <w:color w:val="000000"/>
          <w:sz w:val="20"/>
          <w:lang w:val="en-US" w:eastAsia="en-US" w:bidi="ar-SA"/>
        </w:rPr>
        <w:t xml:space="preserve"> </w:t>
      </w:r>
      <w:hyperlink r:id="rId1053" w:history="1">
        <w:r>
          <w:rPr>
            <w:rFonts w:ascii="arial" w:eastAsia="arial" w:hAnsi="arial" w:cs="arial"/>
            <w:i/>
            <w:color w:val="0077CC"/>
            <w:sz w:val="20"/>
            <w:u w:val="single"/>
            <w:shd w:val="clear" w:color="auto" w:fill="FFFFFF"/>
            <w:lang w:val="en-US" w:eastAsia="en-US" w:bidi="ar-SA"/>
          </w:rPr>
          <w:t>[1990] B.C.J. No. 23</w:t>
        </w:r>
      </w:hyperlink>
      <w:r>
        <w:rPr>
          <w:rFonts w:ascii="arial" w:eastAsia="arial" w:hAnsi="arial" w:cs="arial"/>
          <w:color w:val="000000"/>
          <w:sz w:val="20"/>
          <w:lang w:val="en-US" w:eastAsia="en-US" w:bidi="ar-SA"/>
        </w:rPr>
        <w:t>, Nanaimo Registry No. SC8412 said that he could not hold a family practitioner practicing in a rural area of Vancouver Island to the same standard as an obstetrician practicing in the city of Vancouver.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Similarly, Mr. Justice Macdonald rejected the opinion of a doctor assessing the standard of care expected of a family practitioner in Kamloops, B.C. when that person had no British Columbia experience. See </w:t>
      </w:r>
      <w:r>
        <w:rPr>
          <w:rFonts w:ascii="arial" w:eastAsia="arial" w:hAnsi="arial" w:cs="arial"/>
          <w:b/>
          <w:i/>
          <w:color w:val="000000"/>
          <w:sz w:val="20"/>
          <w:lang w:val="en-US" w:eastAsia="en-US" w:bidi="ar-SA"/>
        </w:rPr>
        <w:t>Humchitt v. Howie,</w:t>
      </w:r>
      <w:r>
        <w:rPr>
          <w:rFonts w:ascii="arial" w:eastAsia="arial" w:hAnsi="arial" w:cs="arial"/>
          <w:color w:val="000000"/>
          <w:sz w:val="20"/>
          <w:lang w:val="en-US" w:eastAsia="en-US" w:bidi="ar-SA"/>
        </w:rPr>
        <w:t xml:space="preserve"> </w:t>
      </w:r>
      <w:hyperlink r:id="rId1054" w:history="1">
        <w:r>
          <w:rPr>
            <w:rFonts w:ascii="arial" w:eastAsia="arial" w:hAnsi="arial" w:cs="arial"/>
            <w:i/>
            <w:color w:val="0077CC"/>
            <w:sz w:val="20"/>
            <w:u w:val="single"/>
            <w:shd w:val="clear" w:color="auto" w:fill="FFFFFF"/>
            <w:lang w:val="en-US" w:eastAsia="en-US" w:bidi="ar-SA"/>
          </w:rPr>
          <w:t>[1995] B.C.J. No. 756</w:t>
        </w:r>
      </w:hyperlink>
      <w:r>
        <w:rPr>
          <w:rFonts w:ascii="arial" w:eastAsia="arial" w:hAnsi="arial" w:cs="arial"/>
          <w:color w:val="000000"/>
          <w:sz w:val="20"/>
          <w:lang w:val="en-US" w:eastAsia="en-US" w:bidi="ar-SA"/>
        </w:rPr>
        <w:t>, Kamloops Registry No. 19454.</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Neither Dr. Vaughn nor Dr. Fox has any experience in British Columbia. That may be of no significance if one were discussing medications only, but here Dr. Fox purports to comment about the expected level of care for a general practitioner in respect to a patient such as Mr. Kivisalu. He has no experience in British Columbia and his opinion, if admissible, would have little weight. However, as indicated, his opinion, even if accepted, does not establish any causal link.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her statement of claim, the plaintiff alleges various areas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Dr. Byrne. These are, the use of Carvedilol and other unnamed medications without properly informing the deceased of the effects, failing to place the deceased under the care of a cardiologist, placing the deceased under a "no code status" ceasing resuscitation despite the directions of the plaintiff to the contrary.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Insofar as Mr. Singh is concerned, there is a claim that he, "intubated" the deceased, "causing panic, pain and stress, all of which contributed to heart failure." The claim against Dr. Lau is that she failed to stop Mr. Singh and that she failed to complete appropriate resuscitative measures. The claim against the hospital is a general complaint that it "failed to provide a reasonable level of care."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Mr. Singh has no independent recollection of his attendance upon Mr. Kivisalu. He concedes that he would have been the respiratory therapist that answered the Code Blue call and deposed to his standard response in such a situation. This was described earlier in the judgment. There is no evidence whatever supporting a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Mr. Singh. The defendant's experts consider his "usual practice" to be appropriate. Accordingly, the claim against Mr. Singh is dismissed.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Similarly, there is no expert evidence critical of Dr. Lau. The only expert evidence that comments upon her treatment is that given by the defendants' experts, and both agree she acted appropriately. The complaint about the Code status seems to relate only to Dr. Byrne. Dr. Lau acceded to the plaintiff's entreaties to ignore the DNR designation and employed resuscitative measures. There is not a shred of evidence to support a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Finally, insofar as Dr. Byrne is concerned, the expert evidence that I accept is that he did manage his patient appropriately both in prescribing Carvedilol and in collaborating with the cardiologist.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There is no reliable evidence that Mr. Kivisalu did not appreciate the DNR status when discussing this with Dr. Byrne, but in any event, it was ignored in the final analysis. If the complaint is that Dr. Byrne ordered cessation of efforts upon arriving at the scene because he wanted to give effect to the DNR status, that is not consistent with the accepted facts. Dr. Byrne said he could find no heartbeat even with resuscitative efforts and thus he ordered it stopped. Dr. Vaughn agreed with this decision.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the result, I find that the defendants are entitled to the orders which they seek; namely, that the actions against them be dismissed. There will be an order accordingly.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Costs follow the event.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McKINNON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7" style="position:absolute;z-index:2518097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55"/>
          <w:headerReference w:type="default" r:id="rId1056"/>
          <w:footerReference w:type="even" r:id="rId1057"/>
          <w:footerReference w:type="default" r:id="rId1058"/>
          <w:headerReference w:type="first" r:id="rId1059"/>
          <w:footerReference w:type="first" r:id="rId106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61" w:history="1">
        <w:r>
          <w:rPr>
            <w:rFonts w:ascii="arial" w:eastAsia="arial" w:hAnsi="arial" w:cs="arial"/>
            <w:b/>
            <w:bCs/>
            <w:i/>
            <w:color w:val="0077CC"/>
            <w:kern w:val="32"/>
            <w:sz w:val="28"/>
            <w:szCs w:val="32"/>
            <w:u w:val="single"/>
            <w:shd w:val="clear" w:color="auto" w:fill="FFFFFF"/>
            <w:lang w:val="en-US" w:eastAsia="en-US" w:bidi="ar-SA"/>
          </w:rPr>
          <w:t>Miller v. Hall, [2020] B.C.J. No. 512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Prince George,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 Iyer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13-17, 2020.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31, 2020.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S1548187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Prince George</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[2020] B.C.J. No. 512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2020 BCSC 461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Bradley Douglas Miller, Bam Bam Trucking Ltd., Plaintiff, and Esther Hall,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(51 paras.)</w:t>
      </w:r>
    </w:p>
    <w:p>
      <w:pPr>
        <w:jc w:val="both"/>
        <w:rPr>
          <w:rFonts w:ascii="arial" w:eastAsia="arial" w:hAnsi="arial" w:cs="arial"/>
          <w:sz w:val="20"/>
          <w:lang w:val="en-US" w:eastAsia="en-US" w:bidi="ar-SA"/>
        </w:rPr>
      </w:pPr>
      <w:bookmarkStart w:id="218" w:name="Counsel_48"/>
      <w:bookmarkEnd w:id="21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8" style="position:absolute;z-index:2517084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Plaintiffs: R.D. Lyons.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N.L. Gidora.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9" w:name="Judgment_48"/>
      <w:bookmarkEnd w:id="219"/>
      <w:r>
        <w:pict>
          <v:line id="_x0000_s1199" style="position:absolute;z-index:25175961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20" w:name="N. IYER J."/>
            <w:bookmarkEnd w:id="220"/>
            <w:r>
              <w:rPr>
                <w:rFonts w:ascii="arial" w:eastAsia="arial" w:hAnsi="arial" w:cs="arial"/>
                <w:b/>
                <w:color w:val="000000"/>
                <w:sz w:val="30"/>
                <w:lang w:val="en-US" w:eastAsia="en-US" w:bidi="ar-SA"/>
              </w:rPr>
              <w:t>N. IYER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defendant, Esther Hall, provided bookkeeping and accounting services to the plaintiffs, Bradley Miller and his company, Bam Bam Trucking Ltd. ("Bam Bam") for about two years. In March 2015, the plaintiffs terminated Ms. Hall's employment. She commenced an action for wrongful dismissal in provincial court and obtained default judgement. Mr. Miller and Bam Bam commenced an action against Ms. Hall in this court. They obtained an order setting aside the default judgement. As a result, the claims were consolidated in this court. Mr. Miller and Bam Bam allege that Ms. Hall's work was so deficient that it amounts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contract, and breach of fiduciary duty.</w:t>
      </w:r>
      <w:bookmarkStart w:id="221" w:name="Backward_fnref_fnr-1_1"/>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221"/>
      <w:r>
        <w:rPr>
          <w:rFonts w:ascii="arial" w:eastAsia="arial" w:hAnsi="arial" w:cs="arial"/>
          <w:color w:val="000000"/>
          <w:sz w:val="20"/>
          <w:lang w:val="en-US" w:eastAsia="en-US" w:bidi="ar-SA"/>
        </w:rPr>
        <w:t xml:space="preserve"> Ms. Hall counterclaims for wrongful dismissal and defamation. In addition, she seeks repayment of the outstanding amount on personal loans she advanced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For the reasons that follow, I dismiss the plaintiffs' claims. With respect to the counterclaim, I find that Ms. Hall was wrongfully dismissed, that she was defamed, and that she was not fully repaid for the loans she advanced.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Hall obtained certification as a Certified General Accountant ("CGA") in 1993, after completing the requisite combination of online courses and work experience. She retired from that designation in 1995 in order to open her own home-based business providing bookkeeping and tax return services. She continues to operate that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Miller began operating Bam Bam as a sole proprietorship some years ago, providing various services including trucking, water delivery and garbage disposal. In or around 2011, he obtained lucrative contracts related to the construction of a gold and copper mine at Mt. Mulligan ("Contracts"). In order to service the Contracts, Mr. Miller had to hire many more employees and obtain additional equipment, including trucks.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This meant that Bam Bam's finances became more complicated. As Mr. Miller had no knowledge of bookkeeping, accounting or human resources, he hired others to assist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the advice of a friend, Mr. Miller incorporated Bam Bam in December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Miller also obtained bookkeeping services from a series of bookkeepers. Initially, he retained a woman named "Sandy" to do the books. Mr. Miller testified that he learned from Debbie Coles, a bookkeeper at the mine, that Sandy was taking money from him, so he let her go and hired Ms. Coles instead. Ms. Coles testified that she worked for Bam Bam from January 2012 to August 2013. At some point in 2013, Mr. Miller retained Ms. Hall to prepare and file his 2008 to 2011 tax returns, which he had not filed. He also asked her to advise Ms. Coles, which she did. Ms. Hall testified that Mr. Miller told her that he was dissatisfied with Ms. Coles' work. He terminated Ms. Coles' employment and hired Ms. Hall to replace her in September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There was no written contract of employment. Ms. Hall's core responsibility was to keep Bam Bam's books, including making tax remittances, but there is conflicting evidence about the precise scope of those duties. Ms. Hall said the books were in a deplorable state when she received them. She worked on addressing that problem. However, a number of deficiencies still remained in March 2015, when Mr. Miller terminated her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Subsequently, Mr. Miller retained Clarence Lowey to keep Bam Bam's books. A central issue between the parties is whether or to what extent Ms. Hall is responsible for the state of Bam Bam's books and the extent of those deficiencies at the time of her 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After the Contracts ended in 2014, Bam Bam had to downsize and suffered financially. Among other things, Mr. Miller had to refinance his home to address the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From March 2014 until shortly before her termination, Ms. Hall issued a series of short-term loans to Bam Bam to cover cash flow problems. The parties disagree about whether these loans were fully repaid.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March 2, 2015, Mr. Miller terminated Ms. Hall's employment with Bam Bam. He did not provide her with any notice or severance pay. The parties disagree about the reasons for the termination. Mr. Miller telephoned Jennifer Trainor, Bam Bam's office manager, and told her that Ms. Hall had ripped him off and misled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CREDIBILITY AND RELIABILITY OF PRINCIPAL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Miller's recollection of the relevant events was very poor. On direct examination, his typical initial response to the questions was that he did not recall; however, he went on give an answer that supported his position in the litigation. On cross-examination, he was quick to disagree with every proposition that was put to him; however, he would add either that he had no recollection or volunteer information favourable to him that was not responsive to the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Miller could not recall key facts. For example, he could not remember when he hired or fired Ms. Hall, what her job duties included, or whether he ever discussed them with her. He agreed that she loaned him or Bam Bam some money but could not recall when or how much. He gave inconsistent accounts of the reason for terminating Ms. Hall's employment. For these reasons, I find that Mr. Miller's evidence was not credible or reliable. I place no weight on it unless it is supported by other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By contrast, Ms. Hall's evidence was generally straightforward and clear. She gave detailed and responsive answers to questions in direct examination and cross-examination. In particular, her answers were detailed and convincing when numerous deficiencies about the state of Bam Bam's accounts were put to her on cross-examination. Although it was evident from some gratuitous remarks she made in cross-examination that Ms. Hall remains angry at Mr. Miller, this is understandable. I find that this does not detract from her credibility or the reliability of her evidence on the key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PLAINTIFFS'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plaintiffs' claim that Ms. Hall breached her fiduciary duty to them, was negligent in the performance of her duties, and breached the terms of the employment contract. However, in closing submissions, it became apparent that the core of the plaintiffs' claim is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Essentially, they say that Ms. Hall's performance of her bookkeeping/accounting work for Bam Bam fell below the requisite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elements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(1) the defendant owed the plaintiff a duty of care, (2) the defendant breached that duty by failing to exercise the requisite standard of care, (3) the breach caused the plaintiff's injury, (4) the injury was reasonably foreseeable, and (5) actual damage occurred. This is a fact-specific inquiry.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Where the defendant is a professional, a professional standard of care applies. That standard requires the professional to exercise reasonable care, skill and knowledge in the performance of the professional service, assessed in light of what it is reasonable to expect of a competent professional in similar circumstances. This is an objective standard, which is informed by the terms of the particular professional's engagement: </w:t>
      </w:r>
      <w:r>
        <w:rPr>
          <w:rFonts w:ascii="arial" w:eastAsia="arial" w:hAnsi="arial" w:cs="arial"/>
          <w:i/>
          <w:color w:val="000000"/>
          <w:sz w:val="20"/>
          <w:lang w:val="en-US" w:eastAsia="en-US" w:bidi="ar-SA"/>
        </w:rPr>
        <w:t>Newton v. Marzban</w:t>
      </w:r>
      <w:r>
        <w:rPr>
          <w:rFonts w:ascii="arial" w:eastAsia="arial" w:hAnsi="arial" w:cs="arial"/>
          <w:color w:val="000000"/>
          <w:sz w:val="20"/>
          <w:lang w:val="en-US" w:eastAsia="en-US" w:bidi="ar-SA"/>
        </w:rPr>
        <w:t xml:space="preserve">, </w:t>
      </w:r>
      <w:hyperlink r:id="rId1062" w:history="1">
        <w:r>
          <w:rPr>
            <w:rFonts w:ascii="arial" w:eastAsia="arial" w:hAnsi="arial" w:cs="arial"/>
            <w:i/>
            <w:color w:val="0077CC"/>
            <w:sz w:val="20"/>
            <w:u w:val="single"/>
            <w:shd w:val="clear" w:color="auto" w:fill="FFFFFF"/>
            <w:lang w:val="en-US" w:eastAsia="en-US" w:bidi="ar-SA"/>
          </w:rPr>
          <w:t>2008 BCSC 328</w:t>
        </w:r>
      </w:hyperlink>
      <w:r>
        <w:rPr>
          <w:rFonts w:ascii="arial" w:eastAsia="arial" w:hAnsi="arial" w:cs="arial"/>
          <w:color w:val="000000"/>
          <w:sz w:val="20"/>
          <w:lang w:val="en-US" w:eastAsia="en-US" w:bidi="ar-SA"/>
        </w:rPr>
        <w:t xml:space="preserve"> at paras. 297-299.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considering the standard of care applicable to Ms. Hall, it is important to note that she gave up her professional CGA designation before she met Mr. Miller and there is no suggestion that she held herself out as a licenced accountant. However, Ms. Hall acknowledged that she did both accounting and bookkeeping for Bam Bam. She also had the authority over payroll and paid herself back for at least some of the loans she advanced to Bam Bam by authorizing payments to herself without needing to consult Mr. Miller. I am satisfied that a professional standard of care applies in these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Usually, a plaintiff tenders expert evidence to establish the standard of care that applies to a professional. However, as recognized in </w:t>
      </w:r>
      <w:r>
        <w:rPr>
          <w:rFonts w:ascii="arial" w:eastAsia="arial" w:hAnsi="arial" w:cs="arial"/>
          <w:i/>
          <w:color w:val="000000"/>
          <w:sz w:val="20"/>
          <w:lang w:val="en-US" w:eastAsia="en-US" w:bidi="ar-SA"/>
        </w:rPr>
        <w:t>Laidar Holdings Ltd. v. Lindt &amp; Sprungli (Canada) Inc.</w:t>
      </w:r>
      <w:r>
        <w:rPr>
          <w:rFonts w:ascii="arial" w:eastAsia="arial" w:hAnsi="arial" w:cs="arial"/>
          <w:color w:val="000000"/>
          <w:sz w:val="20"/>
          <w:lang w:val="en-US" w:eastAsia="en-US" w:bidi="ar-SA"/>
        </w:rPr>
        <w:t xml:space="preserve">, </w:t>
      </w:r>
      <w:hyperlink r:id="rId1063" w:history="1">
        <w:r>
          <w:rPr>
            <w:rFonts w:ascii="arial" w:eastAsia="arial" w:hAnsi="arial" w:cs="arial"/>
            <w:i/>
            <w:color w:val="0077CC"/>
            <w:sz w:val="20"/>
            <w:u w:val="single"/>
            <w:shd w:val="clear" w:color="auto" w:fill="FFFFFF"/>
            <w:lang w:val="en-US" w:eastAsia="en-US" w:bidi="ar-SA"/>
          </w:rPr>
          <w:t>2015 BCSC 845</w:t>
        </w:r>
      </w:hyperlink>
      <w:r>
        <w:rPr>
          <w:rFonts w:ascii="arial" w:eastAsia="arial" w:hAnsi="arial" w:cs="arial"/>
          <w:color w:val="000000"/>
          <w:sz w:val="20"/>
          <w:lang w:val="en-US" w:eastAsia="en-US" w:bidi="ar-SA"/>
        </w:rPr>
        <w:t xml:space="preserve"> (at paras. 26-27), there are two exceptions to the general rule: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[26] The jurisprudence recognizes two factual contexts in which expert evidence is not required to establish a professional standard of care:</w:t>
      </w:r>
    </w:p>
    <w:p>
      <w:pPr>
        <w:numPr>
          <w:numId w:val="1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the plaintiff seeks to prove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about a matter that is non-technical or a matter of which an ordinary person may be expected to have knowledge: </w:t>
      </w:r>
      <w:r>
        <w:rPr>
          <w:rFonts w:ascii="arial" w:eastAsia="arial" w:hAnsi="arial" w:cs="arial"/>
          <w:i/>
          <w:color w:val="000000"/>
          <w:sz w:val="20"/>
          <w:lang w:val="en-US" w:eastAsia="en-US" w:bidi="ar-SA"/>
        </w:rPr>
        <w:t>317159 B.C. Ltd. v. C.A. Boom Engineering (1985) Ltd.</w:t>
      </w:r>
      <w:r>
        <w:rPr>
          <w:rFonts w:ascii="arial" w:eastAsia="arial" w:hAnsi="arial" w:cs="arial"/>
          <w:color w:val="000000"/>
          <w:sz w:val="20"/>
          <w:lang w:val="en-US" w:eastAsia="en-US" w:bidi="ar-SA"/>
        </w:rPr>
        <w:t xml:space="preserve">, </w:t>
      </w:r>
      <w:hyperlink r:id="rId1064" w:history="1">
        <w:r>
          <w:rPr>
            <w:rFonts w:ascii="arial" w:eastAsia="arial" w:hAnsi="arial" w:cs="arial"/>
            <w:i/>
            <w:color w:val="0077CC"/>
            <w:sz w:val="20"/>
            <w:u w:val="single"/>
            <w:shd w:val="clear" w:color="auto" w:fill="FFFFFF"/>
            <w:lang w:val="en-US" w:eastAsia="en-US" w:bidi="ar-SA"/>
          </w:rPr>
          <w:t>[1990] B.C.J. No. 2699</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Roy v. British Columbia (Attorney General)</w:t>
      </w:r>
      <w:r>
        <w:rPr>
          <w:rFonts w:ascii="arial" w:eastAsia="arial" w:hAnsi="arial" w:cs="arial"/>
          <w:color w:val="000000"/>
          <w:sz w:val="20"/>
          <w:lang w:val="en-US" w:eastAsia="en-US" w:bidi="ar-SA"/>
        </w:rPr>
        <w:t xml:space="preserve">, </w:t>
      </w:r>
      <w:hyperlink r:id="rId1065" w:history="1">
        <w:r>
          <w:rPr>
            <w:rFonts w:ascii="arial" w:eastAsia="arial" w:hAnsi="arial" w:cs="arial"/>
            <w:i/>
            <w:color w:val="0077CC"/>
            <w:sz w:val="20"/>
            <w:u w:val="single"/>
            <w:shd w:val="clear" w:color="auto" w:fill="FFFFFF"/>
            <w:lang w:val="en-US" w:eastAsia="en-US" w:bidi="ar-SA"/>
          </w:rPr>
          <w:t>2005 BCCA 88</w:t>
        </w:r>
      </w:hyperlink>
      <w:r>
        <w:rPr>
          <w:rFonts w:ascii="arial" w:eastAsia="arial" w:hAnsi="arial" w:cs="arial"/>
          <w:color w:val="000000"/>
          <w:sz w:val="20"/>
          <w:lang w:val="en-US" w:eastAsia="en-US" w:bidi="ar-SA"/>
        </w:rPr>
        <w:t>, at para. 36;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the impugned actions of the defendant were so egregious that it is obvious that his or her conduct had fallen short of the standard of care, even without knowing precisely the parameters of that standard: </w:t>
      </w:r>
      <w:r>
        <w:rPr>
          <w:rFonts w:ascii="arial" w:eastAsia="arial" w:hAnsi="arial" w:cs="arial"/>
          <w:i/>
          <w:color w:val="000000"/>
          <w:sz w:val="20"/>
          <w:lang w:val="en-US" w:eastAsia="en-US" w:bidi="ar-SA"/>
        </w:rPr>
        <w:t>Krawchuk</w:t>
      </w:r>
      <w:r>
        <w:rPr>
          <w:rFonts w:ascii="arial" w:eastAsia="arial" w:hAnsi="arial" w:cs="arial"/>
          <w:color w:val="000000"/>
          <w:sz w:val="20"/>
          <w:lang w:val="en-US" w:eastAsia="en-US" w:bidi="ar-SA"/>
        </w:rPr>
        <w:t xml:space="preserve"> at para. 135; </w:t>
      </w:r>
      <w:r>
        <w:rPr>
          <w:rFonts w:ascii="arial" w:eastAsia="arial" w:hAnsi="arial" w:cs="arial"/>
          <w:i/>
          <w:color w:val="000000"/>
          <w:sz w:val="20"/>
          <w:lang w:val="en-US" w:eastAsia="en-US" w:bidi="ar-SA"/>
        </w:rPr>
        <w:t>Cosway</w:t>
      </w:r>
      <w:r>
        <w:rPr>
          <w:rFonts w:ascii="arial" w:eastAsia="arial" w:hAnsi="arial" w:cs="arial"/>
          <w:color w:val="000000"/>
          <w:sz w:val="20"/>
          <w:lang w:val="en-US" w:eastAsia="en-US" w:bidi="ar-SA"/>
        </w:rPr>
        <w:t xml:space="preserve"> at para. 35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The onus is on the party seeking to prove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establish the relevant standard of care: </w:t>
      </w:r>
      <w:r>
        <w:rPr>
          <w:rFonts w:ascii="arial" w:eastAsia="arial" w:hAnsi="arial" w:cs="arial"/>
          <w:i/>
          <w:color w:val="000000"/>
          <w:sz w:val="20"/>
          <w:lang w:val="en-US" w:eastAsia="en-US" w:bidi="ar-SA"/>
        </w:rPr>
        <w:t>Krawchuk</w:t>
      </w:r>
      <w:r>
        <w:rPr>
          <w:rFonts w:ascii="arial" w:eastAsia="arial" w:hAnsi="arial" w:cs="arial"/>
          <w:color w:val="000000"/>
          <w:sz w:val="20"/>
          <w:lang w:val="en-US" w:eastAsia="en-US" w:bidi="ar-SA"/>
        </w:rPr>
        <w:t xml:space="preserve"> at para. 131, citing </w:t>
      </w:r>
      <w:r>
        <w:rPr>
          <w:rFonts w:ascii="arial" w:eastAsia="arial" w:hAnsi="arial" w:cs="arial"/>
          <w:i/>
          <w:color w:val="000000"/>
          <w:sz w:val="20"/>
          <w:lang w:val="en-US" w:eastAsia="en-US" w:bidi="ar-SA"/>
        </w:rPr>
        <w:t>Mileos v. Block Bros. Realty Ltd</w:t>
      </w:r>
      <w:r>
        <w:rPr>
          <w:rFonts w:ascii="arial" w:eastAsia="arial" w:hAnsi="arial" w:cs="arial"/>
          <w:color w:val="000000"/>
          <w:sz w:val="20"/>
          <w:lang w:val="en-US" w:eastAsia="en-US" w:bidi="ar-SA"/>
        </w:rPr>
        <w:t>. (30 September 1994), Vancouver C913338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plaintiffs did not tender any expert evidence to establish the standard of care in this case, nor did they make submissions about the applicability of either of these exceptions. In my view, the first exception does not apply. The alleged deficiencies in Ms. Hall's work concern technical aspects of bookkeeping and accounting that are beyond the knowledge of an ordinary person. However, the second exception may apply, so I will consider whether the plaintiffs' have proved Ms. Hall breached the standard of care on that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plaintiffs' submission that Ms. Hall was negligent rests entirely on Mr. Lowey's evidence about the state of Bam Bam's books. Mr. Miller, the only other defence witness, said that he did not know anything at all about bookkeeping or accounting.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assessing Mr. Lowey's evidence, I take into account that much of his evidence in direct examination was in response to leading questions. This reduces the weight I give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Lowey gave extensive evidence about the flaws he saw in the books he received from Ms. Hall after he was retained by Mr. Miller. He said that, having seen the state of the books, he decided to disregard them entirely and recreate Bam Bam's books from original sources. He said that it took him and one of his employees about two years to do this, although they did not spend all their time on this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Lowey's criticisms of Ms. Hall's work were put to her in cross-examination. She had rational explanations for many of the steps she had taken, and she acknowledged that there were irregularities that she had not yet dealt with. It is not necessary to review this evidence in detail because the plaintiffs' claim fails for a different reason.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Hall testified that, when she took over Bam Bam's books from Ms. Coles, they were in complete disarray. She said that she received five Simply Accounting files and a "suitcase" of documents from Ms. Coles. A great deal of information was missing and Ms. Hall described the efforts she made to find it. Mr. Miller was unresponsive to her inquiries, so Ms. Hall asked a couple of other employees to help. The problems Ms. Hall found included the following:</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Bam Bam's assets were not recorded in its books;</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inexplicable differences between bank and payroll;</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missing vendor invoices and information;</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Bam Bam, although incorporated, was still using its sole proprietorship business number;</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books were structured for a sole proprietorship, not a corporation;</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inadequate separation between Bam Bam's finances and those of Mr. Miller; and</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assets of the Bam Bam sole proprietorship had not been formally transferred to the Bam Bam corporation. No corporate tax returns had been filed to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Ms. Hall testified that, at the time of termination, she was still engaged in the work of regularizing Bam Bam's books. She pointed to various outstanding issues that she had not been able to address by that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Lowey testified that Mr. Miller did not tell him that Ms. Hall had taken over Bam Bam's books from Ms. Coles. He did not see the state of the books Ms. Hall received when she started working for Bam Bam in 2013 and could not know the extent of the problem. Mr. Lowey also acknowledged that the 2014 financial records were an improvement over the 2012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Lowey's evidence does not establish the Ms. Hall's work was so egregious that it is obvious she breached the standard of care. Mr. Lowey assumed that Ms. Hall was responsible for all of the deficiencies in the books. However, some problems arose from Ms. Coles' work and Ms. Hall had not yet addressed them. Other deficiencies that Mr. Lowey attributed to Ms. Hall's work were in fact attributable to Mr. Miller, including his refusal to authorize transfer of the assets to the corporation and his responsibility for missing information. Further, Ms. Hall was fired before she had finished regularizing the books. She agreed that certain problems were issues that she had not yet addressed and estimated it would have taken her three more months to fix the outstanding problems. Finally, Ms. Hall and Mr. Lowey disagreed about how certain items ought to be treated. Absent expert evidence, I have no basis upon which to prefer the evidence of one over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 conclude that the plaintiffs have failed to establish that Ms. Hall breached the applicable standard of care. It follows from this that the breach of fiduciary duty and breach of contract claims must fail as well, as they rest upon the same factual foundation as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DEFENDANT'S COUNTERCLAIMS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Hall's counterclaims are that she was wrongfully dismissed, that she was defamed, and that she is owed the outstanding amount of the loans she made to Bam Bam.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Wrongful dismissal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Miller admitted that he dismissed Ms. Hall without notice. He said that the sole reason for the dismissal was an email inquiry he received from his credit union requesting Bam Bam's payroll records "from Feb 28, 2012 to Dec 19, 2013, as this business has had fraudulent activity go through account." He admitted that Ms. Hall did not start working for Bam Bam until September 2013, so could not have been responsible for any period before that. The inquiry letter is dated March 31, 2015, after Ms. Hall's termination on March 2, 2015. Neither party addressed that discrepancy.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Miller also testified that he dismissed Ms. Hall because, "I had no work for her anyway" and "things weren't working out between 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Ms. Hall testified that Mr. Miller terminated her employment during a telephone call in which she told him that she could not lend him any more money. She testified that he said, "you're in over your head" and "I can't use you anymore", but did not say anything about suspicious or fraudulent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Based on this evidence, I am satisfied that Ms. Hall was dismissed without notice and without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Ms. Hall seeks an amount equal to two months' wages in lieu of reasonable notice based on common law. In the alternative, she seeks pay in lieu of notice under the </w:t>
      </w:r>
      <w:r>
        <w:rPr>
          <w:rFonts w:ascii="arial" w:eastAsia="arial" w:hAnsi="arial" w:cs="arial"/>
          <w:i/>
          <w:color w:val="000000"/>
          <w:sz w:val="20"/>
          <w:lang w:val="en-US" w:eastAsia="en-US" w:bidi="ar-SA"/>
        </w:rPr>
        <w:t>Employment Standards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113</w:t>
      </w:r>
      <w:r>
        <w:rPr>
          <w:rFonts w:ascii="arial" w:eastAsia="arial" w:hAnsi="arial" w:cs="arial"/>
          <w:color w:val="000000"/>
          <w:sz w:val="20"/>
          <w:lang w:val="en-US" w:eastAsia="en-US" w:bidi="ar-SA"/>
        </w:rPr>
        <w:t>. As Ms. Hall was employed for 18 months, this would be an amount equal to two weeks' wages.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evidence of what Ms. Hall's wages were consists of the following paragraph in the parties' "Joint Chronology", which was an exhibit at trial: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and the Defendant do not agree on what the Parties agreed to regarding the Defendant's salary, but regardless, the Defendant was paid approximately $6,360 per month from September 2013 to September 2014. From September 2014 to her termination she was paid approximately $3,180.00 per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There was no evidence about Ms. Hall's hours of work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Ms. Hall did not provide any authority for her submission that the notice period at common law should be two months. In light of the absence of any evidence about how many hours she worked per week, it is not possible for me to compare her circumstances with other wrongful dismissal cases. Accordingly, I find that she has not proved the common law period of reasonable notice. I award her $1,590, representing two weeks' wages at the time of her 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Ms. Hall also claims for unpaid wages for the month of February 2015. Bam Bam's payroll records show that she was last paid in November 2014. I find that she is owed for unpaid wages for February 2014, in the amount of $3,180.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Defamation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order to succeed in a defamation claim, Ms. Hall must prove three elements. First, she must prove that Mr. Miller wrote or spoke defamatory words, in that they would tend to lower the plaintiff's reputation in the eyes of a reasonable person, taking into account the context in which it occurred. Second, she must prove that the words referred to her. Third, she must prove that the words were communicated to someone other than herself: </w:t>
      </w:r>
      <w:r>
        <w:rPr>
          <w:rFonts w:ascii="arial" w:eastAsia="arial" w:hAnsi="arial" w:cs="arial"/>
          <w:i/>
          <w:color w:val="000000"/>
          <w:sz w:val="20"/>
          <w:lang w:val="en-US" w:eastAsia="en-US" w:bidi="ar-SA"/>
        </w:rPr>
        <w:t>Grant v. Torstar Corp.</w:t>
      </w:r>
      <w:r>
        <w:rPr>
          <w:rFonts w:ascii="arial" w:eastAsia="arial" w:hAnsi="arial" w:cs="arial"/>
          <w:color w:val="000000"/>
          <w:sz w:val="20"/>
          <w:lang w:val="en-US" w:eastAsia="en-US" w:bidi="ar-SA"/>
        </w:rPr>
        <w:t xml:space="preserve">, </w:t>
      </w:r>
      <w:hyperlink r:id="rId1066" w:history="1">
        <w:r>
          <w:rPr>
            <w:rFonts w:ascii="arial" w:eastAsia="arial" w:hAnsi="arial" w:cs="arial"/>
            <w:i/>
            <w:color w:val="0077CC"/>
            <w:sz w:val="20"/>
            <w:u w:val="single"/>
            <w:shd w:val="clear" w:color="auto" w:fill="FFFFFF"/>
            <w:lang w:val="en-US" w:eastAsia="en-US" w:bidi="ar-SA"/>
          </w:rPr>
          <w:t>2009 SCC 61</w:t>
        </w:r>
      </w:hyperlink>
      <w:r>
        <w:rPr>
          <w:rFonts w:ascii="arial" w:eastAsia="arial" w:hAnsi="arial" w:cs="arial"/>
          <w:color w:val="000000"/>
          <w:sz w:val="20"/>
          <w:lang w:val="en-US" w:eastAsia="en-US" w:bidi="ar-SA"/>
        </w:rPr>
        <w:t xml:space="preserve"> at para.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After Mr. Miller fired Ms. Hall, he telephoned Jennifer Trainor, who was then Bam Bam's office manager working in Fort St. James, and left a message. In her affidavit, Ms. Trainor deposes: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or about March 31, 2015, I received a phone message from Mr. Miller that said: "This is Brad, just to let you know Esther hasn't been as honest as you think, she has taken me for over $90,000" or words to that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Ms. Trainor also deposes that she understood the words to mean that Ms. Hall had stolen $90,000 from Mr. Miller and Bam Bam. Ms. Hall testified that she learned about what Mr. Miller had said from Ms. Trainor.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For his part, Mr. Miller acknowledged that he may have told Ms. Trainor that Ms. Hall had "ripped me off" and he conceded that the words were defamatory. I agree. Saying that a person committed theft goes beyond a merely offensive or insulting remark and would tend to lower Ms. Hall's reputation in the eyes of a reasonable person, especially given that Mr. Miller was Ms. Hall's boss and that he had just fired her. The words clearly referred to her and were communicated to a third person. I find that Mr. Miller defamed Ms. Hall.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While a finding of defamation attracts a presumptive award of damages, evidence of the harm caused to the plaintiff is necessary to justify a substantial award. Where a plaintiff does not lead such evidence, nominal damages may be awarded. Where the conduct technically constitutes defamation but the court considers that the claim should not have been brought, contemptuous damages may be appropriate: </w:t>
      </w:r>
      <w:r>
        <w:rPr>
          <w:rFonts w:ascii="arial" w:eastAsia="arial" w:hAnsi="arial" w:cs="arial"/>
          <w:i/>
          <w:color w:val="000000"/>
          <w:sz w:val="20"/>
          <w:lang w:val="en-US" w:eastAsia="en-US" w:bidi="ar-SA"/>
        </w:rPr>
        <w:t>Acumen Law Corporation v. Nguyen</w:t>
      </w:r>
      <w:r>
        <w:rPr>
          <w:rFonts w:ascii="arial" w:eastAsia="arial" w:hAnsi="arial" w:cs="arial"/>
          <w:color w:val="000000"/>
          <w:sz w:val="20"/>
          <w:lang w:val="en-US" w:eastAsia="en-US" w:bidi="ar-SA"/>
        </w:rPr>
        <w:t xml:space="preserve">, </w:t>
      </w:r>
      <w:hyperlink r:id="rId1067" w:history="1">
        <w:r>
          <w:rPr>
            <w:rFonts w:ascii="arial" w:eastAsia="arial" w:hAnsi="arial" w:cs="arial"/>
            <w:i/>
            <w:color w:val="0077CC"/>
            <w:sz w:val="20"/>
            <w:u w:val="single"/>
            <w:shd w:val="clear" w:color="auto" w:fill="FFFFFF"/>
            <w:lang w:val="en-US" w:eastAsia="en-US" w:bidi="ar-SA"/>
          </w:rPr>
          <w:t>2018 BCSC 961</w:t>
        </w:r>
      </w:hyperlink>
      <w:r>
        <w:rPr>
          <w:rFonts w:ascii="arial" w:eastAsia="arial" w:hAnsi="arial" w:cs="arial"/>
          <w:color w:val="000000"/>
          <w:sz w:val="20"/>
          <w:lang w:val="en-US" w:eastAsia="en-US" w:bidi="ar-SA"/>
        </w:rPr>
        <w:t xml:space="preserve"> at paras. 19-36.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Ms. Hall did not tender any evidence that Mr. Miller or Ms. Trainor communicated what he had said about her to anyone else. It is therefore not surprising that Ms. Hall provided no evidence of harm caused by the defamation. In these circumstances, and taking into account that Ms. Hall advanced the claim as one of several counterclaims, a nominal award is appropriate. I award Ms. Hall $500 in general damages for Mr. Miller's defamatory statement.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Repayment of Loans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Ms. Hall claims that the plaintiffs owe her $18,713.82 representing the unpaid amount owing on loans she made to them. She tendered evidence of 18 cheques from her to Bam Bam from March to October 2014, totalling $66,070 and one cheque to BC Hydro for $380.89. Ms. Hall testified that this cheque was to cover Mr. Miller's personal BC Hydro bill in order to avoid his electricity being cut off. Ms. Hall testified that she also loaned Mr. Miller $2,700 shortly before her employment was terminated to cover a certification fee for his airplane. She said she wrote a cheque, but cannot find it. Ms. Hall testified that the plaintiffs repaid her approximately $50,000 based on her review of the books in which she recorded repayments.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Miller testified that Ms. Hall had loaned him money on a few occasions. He said that he had paid her back, but then added, "I don't really know." He could not provide any details of repayment. Mr. Miller agreed that Ms. Hall had loaned him money to cover the certification fee for his airplane and in direct examination he said the amount was $2,000. In cross-examination, he said the amount was $1,300. Mr. Miller was not asked about the BC Hydro cheque.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accept Ms. Hall's evidence, corroborated by the cheques, that she loaned Bam Bam $66,070. I am also satisfied based on her uncontradicted testimony that the BC Hydro cheque was to cover Mr. Miller's Hydro bill. Mr. Miller conceded that Ms. Hall loaned him money to cover the airplane certification fee. I accept her quantification of the amount over his on the basis of my assessment of their credibility and reliability as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argument, the plaintiffs submitted that the burden was on Ms. Hall to prove that she had not been fully repaid. This is plainly wrong. Having proved the loans, Ms. Hall is entitled to repayment of the outstanding amount, which she quantifies as $18,713.82. If the plaintiffs dispute this figure, it is up to them to lead the necessary evidence. They have not done so. I award Ms. Hall the $18,713.82 she seeks.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CONLCUSION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conclusion, I dismiss the plaintiffs' claims against Ms. Hall. With respect to Ms. Hall's counterclaims, I award Ms. Hall the following:</w:t>
      </w:r>
      <w:r>
        <w:rPr>
          <w:rFonts w:ascii="arial" w:eastAsia="arial" w:hAnsi="arial" w:cs="arial"/>
          <w:sz w:val="20"/>
          <w:lang w:val="en-US" w:eastAsia="en-US" w:bidi="ar-SA"/>
        </w:rPr>
        <w:cr/>
      </w:r>
    </w:p>
    <w:p>
      <w:pPr>
        <w:numPr>
          <w:numId w:val="1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$3,180 in lieu of notice for her dismissal on March 2, 2015;</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$500 in general damages for Mr. Miller's defamatory remarks; and</w:t>
      </w:r>
    </w:p>
    <w:p>
      <w:pPr>
        <w:numPr>
          <w:numId w:val="1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$18,713.82 for unpaid monies owing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 IYER J.</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r>
        <w:pict>
          <v:line id="_x0000_s1200" style="position:absolute;z-index:251810816"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222" w:name="Forward_fnref_fnr-1_1"/>
      <w:hyperlink w:anchor="Backward_fnref_fnr-1" w:history="1">
        <w:r>
          <w:rPr>
            <w:rFonts w:ascii="arial" w:eastAsia="arial" w:hAnsi="arial" w:cs="arial"/>
            <w:b/>
            <w:color w:val="BE161D"/>
            <w:sz w:val="18"/>
            <w:shd w:val="clear" w:color="auto" w:fill="FFFFFF"/>
            <w:lang w:val="en-US" w:eastAsia="en-US" w:bidi="ar-SA"/>
          </w:rPr>
          <w:t>1</w:t>
        </w:r>
      </w:hyperlink>
      <w:bookmarkEnd w:id="222"/>
      <w:r>
        <w:rPr>
          <w:rFonts w:ascii="arial" w:eastAsia="arial" w:hAnsi="arial" w:cs="arial"/>
          <w:sz w:val="20"/>
          <w:lang w:val="en-US" w:eastAsia="en-US" w:bidi="ar-SA"/>
        </w:rPr>
        <w:tab/>
      </w:r>
      <w:r>
        <w:rPr>
          <w:rFonts w:ascii="arial" w:eastAsia="arial" w:hAnsi="arial" w:cs="arial"/>
          <w:color w:val="6D6E71"/>
          <w:sz w:val="18"/>
          <w:lang w:val="en-US" w:eastAsia="en-US" w:bidi="ar-SA"/>
        </w:rPr>
        <w:t>The plaintiffs also alleged civil fraud but did not pursue that claim at trial.</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pPr>
      <w:r>
        <w:rPr>
          <w:rFonts w:ascii="arial" w:eastAsia="arial" w:hAnsi="arial" w:cs="arial"/>
          <w:sz w:val="20"/>
          <w:lang w:val="en-US" w:eastAsia="en-US" w:bidi="ar-SA"/>
        </w:rPr>
        <w:br/>
      </w:r>
      <w:r>
        <w:pict>
          <v:line id="_x0000_s1201" style="position:absolute;z-index:25182617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Sartori v. Gates, [2011] B.C.J. No. 616</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Shebaylo v. Fradet, [2006] B.C.J. No. 3104</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Sidhu v. Hiebert, [2020] B.C.J. No. 225</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Siewert v. Elden, [2008] B.C.J. No. 2257</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Smeltzer v. Merrison, [2010] B.C.J. No. 2937</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Stare v. Whitehouse, [2019] B.C.J. No. 1619</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Tanaka v. London Drugs Ltd., [2019] B.C.J. No. 1347</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Teck Cominco Metals Ltd. v. Shanghai Boiler Works Co., [2015] B.C.J. No. 107</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Tenhunen v. Tenhunen, [2015] B.C.J. No. 1161</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Towson v. Bergman, [2009] B.C.J. No. 1861</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Van v. Howlett, [2014] B.C.J. No. 1954</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Wong v. Campbell, [2020] B.C.J. No. 286</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Yongfeng Holdings Inc. v. Zheng, [2019] B.C.J. No. 1718</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Augustin v. Double Down (Langley) Ventures Ltd., [2014] B.C.J. No. 2227</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Ban v. Keleher, [2017] B.C.J. No. 1285</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Bardal v. Camosun College, [2003] B.C.J. No. 2675</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British Columbia v. Salt Spring Ventures Inc., [2012] B.C.J. No. 2612</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Carter v. B.C. Federation of Foster Parents Assn., [2004] B.C.J. No. 192</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Costello v. Hornby Island (Local Trust Committee), [2008] B.C.J. No. 2270</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Cridge v. de Vooght, [2004] B.C.J. No. 1255</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Davidson v. British Columbia (Workers' Compensation Board), [2003] B.C.J. No. 1754</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Elder v. McMullen, [2008] B.C.J. No. 1390</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Gibson v. Saran, [2003] B.C.J. No. 413</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Lewis v. Magil, [2003] B.C.J. No. 196</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Mackichan v. June, [2004] B.C.J. No. 2296</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MacLaren v. Kucharek, [2008] B.C.J. No. 982</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Mainland Sawmills Ltd. v. IWA-Canada, Local 1-3567 Society, [2004] B.C.J. No. 2341</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McKenna v. Anderson, [2005] B.C.J. No. 119</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McNutt v. Canada (Attorney General), [2004] B.C.J. No. 1718</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Morris v. John Doe, [2011] B.C.J. No. 1488</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Pardanyi v. Wilson, [2004] B.C.J. No. 2967</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Reed v. Burke Law Corp., [2003] B.C.J. No. 2524</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 v. Neustaeter, [2006] B.C.J. No. 3250</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Salvatierra v. Vancouver (City), [2008] B.C.J. No. 1251</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Strata Plan 4249 v. Travelers Insurance Co. of Canada, [2018] B.C.J. No. 108</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Swiss Reinsurance Co. v. Camarin Ltd., [2013] B.C.J. No. 1295</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Abdi v. Bottomley, [2018] B.C.J. No. 7013</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A.J.G. v. Mann, [2020] B.C.J. No. 238</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Barr v. Accurate Transmission and Driveline, [2016] B.C.J. No. 2755</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Cheema (Guardian Ad Litem of) v. Ng, [2005] B.C.J. No. 3065</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Colson v. Vancouver Coastal Health, [2012] B.C.J. No. 1666</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Cridge v. de Vooght, [2004] B.C.J. No. 130</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Cunningham v. Greer, [2019] B.C.J. No. 1378</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Der v. Zhao, [2019] B.C.J. No. 2227</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Dufault v. Kathed Holdings Ltd. (c.o.b. Regent Fish), [2007] B.C.J. No. 252</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Ferguson v. Brown, [2015] B.C.J. No. 1964</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Gajoum v. Keenan, [2020] B.C.J. No. 402</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Hosking v. Mahoney, [2009] B.C.J. No. 2888</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Kivisalu v. Brown, [2002] B.C.J. No. 3346</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Miller v. Hall, [2020] B.C.J. No. 512</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5"/>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6"/>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15)"/>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5"/>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lowerRoman"/>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ii)"/>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iii)"/>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lowerRoman"/>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i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5"/>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lowerRoman"/>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i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6"/>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7"/>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8"/>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lowerRoman"/>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i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0"/>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5"/>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6"/>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7"/>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8"/>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2"/>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3"/>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4"/>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5"/>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6"/>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7"/>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8"/>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9"/>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1"/>
      <w:numFmt w:val="decimal"/>
      <w:lvlText w:val="10."/>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000003D"/>
    <w:multiLevelType w:val="multilevel"/>
    <w:tmpl w:val="0000003D"/>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000003E"/>
    <w:multiLevelType w:val="multilevel"/>
    <w:tmpl w:val="0000003E"/>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0000003F"/>
    <w:multiLevelType w:val="multilevel"/>
    <w:tmpl w:val="0000003F"/>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0000040"/>
    <w:multiLevelType w:val="multilevel"/>
    <w:tmpl w:val="00000040"/>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00000041"/>
    <w:multiLevelType w:val="multilevel"/>
    <w:tmpl w:val="00000041"/>
    <w:lvl w:ilvl="0">
      <w:start w:val="10"/>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00000042"/>
    <w:multiLevelType w:val="multilevel"/>
    <w:tmpl w:val="00000042"/>
    <w:lvl w:ilvl="0">
      <w:start w:val="1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00000043"/>
    <w:multiLevelType w:val="multilevel"/>
    <w:tmpl w:val="00000043"/>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00000044"/>
    <w:multiLevelType w:val="multilevel"/>
    <w:tmpl w:val="00000044"/>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00000045"/>
    <w:multiLevelType w:val="multilevel"/>
    <w:tmpl w:val="00000045"/>
    <w:lvl w:ilvl="0">
      <w:start w:val="3"/>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00000046"/>
    <w:multiLevelType w:val="multilevel"/>
    <w:tmpl w:val="00000046"/>
    <w:lvl w:ilvl="0">
      <w:start w:val="4"/>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00000047"/>
    <w:multiLevelType w:val="multilevel"/>
    <w:tmpl w:val="00000047"/>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00000048"/>
    <w:multiLevelType w:val="multilevel"/>
    <w:tmpl w:val="00000048"/>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00000049"/>
    <w:multiLevelType w:val="multilevel"/>
    <w:tmpl w:val="00000049"/>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0000004A"/>
    <w:multiLevelType w:val="multilevel"/>
    <w:tmpl w:val="0000004A"/>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0000004B"/>
    <w:multiLevelType w:val="multilevel"/>
    <w:tmpl w:val="0000004B"/>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0000004C"/>
    <w:multiLevelType w:val="multilevel"/>
    <w:tmpl w:val="0000004C"/>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0000004D"/>
    <w:multiLevelType w:val="multilevel"/>
    <w:tmpl w:val="0000004D"/>
    <w:lvl w:ilvl="0">
      <w:start w:val="1"/>
      <w:numFmt w:val="decimal"/>
      <w:lvlText w:val="170."/>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0000004E"/>
    <w:multiLevelType w:val="multilevel"/>
    <w:tmpl w:val="0000004E"/>
    <w:lvl w:ilvl="0">
      <w:start w:val="1"/>
      <w:numFmt w:val="decimal"/>
      <w:lvlText w:val="17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0000004F"/>
    <w:multiLevelType w:val="multilevel"/>
    <w:tmpl w:val="0000004F"/>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00000050"/>
    <w:multiLevelType w:val="multilevel"/>
    <w:tmpl w:val="00000050"/>
    <w:lvl w:ilvl="0">
      <w:start w:val="2"/>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00000051"/>
    <w:multiLevelType w:val="multilevel"/>
    <w:tmpl w:val="00000051"/>
    <w:lvl w:ilvl="0">
      <w:start w:val="3"/>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00000052"/>
    <w:multiLevelType w:val="multilevel"/>
    <w:tmpl w:val="00000052"/>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00000053"/>
    <w:multiLevelType w:val="multilevel"/>
    <w:tmpl w:val="00000053"/>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00000054"/>
    <w:multiLevelType w:val="multilevel"/>
    <w:tmpl w:val="00000054"/>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00000055"/>
    <w:multiLevelType w:val="multilevel"/>
    <w:tmpl w:val="00000055"/>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00000056"/>
    <w:multiLevelType w:val="multilevel"/>
    <w:tmpl w:val="00000056"/>
    <w:lvl w:ilvl="0">
      <w:start w:val="3"/>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00000057"/>
    <w:multiLevelType w:val="multilevel"/>
    <w:tmpl w:val="00000057"/>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00000058"/>
    <w:multiLevelType w:val="multilevel"/>
    <w:tmpl w:val="00000058"/>
    <w:lvl w:ilvl="0">
      <w:start w:val="2"/>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00000059"/>
    <w:multiLevelType w:val="multilevel"/>
    <w:tmpl w:val="00000059"/>
    <w:lvl w:ilvl="0">
      <w:start w:val="3"/>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0000005A"/>
    <w:multiLevelType w:val="multilevel"/>
    <w:tmpl w:val="0000005A"/>
    <w:lvl w:ilvl="0">
      <w:start w:val="4"/>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0000005B"/>
    <w:multiLevelType w:val="multilevel"/>
    <w:tmpl w:val="0000005B"/>
    <w:lvl w:ilvl="0">
      <w:start w:val="5"/>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0000005C"/>
    <w:multiLevelType w:val="multilevel"/>
    <w:tmpl w:val="0000005C"/>
    <w:lvl w:ilvl="0">
      <w:start w:val="6"/>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0000005D"/>
    <w:multiLevelType w:val="multilevel"/>
    <w:tmpl w:val="0000005D"/>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0000005E"/>
    <w:multiLevelType w:val="multilevel"/>
    <w:tmpl w:val="0000005E"/>
    <w:lvl w:ilvl="0">
      <w:start w:val="2"/>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0000005F"/>
    <w:multiLevelType w:val="multilevel"/>
    <w:tmpl w:val="0000005F"/>
    <w:lvl w:ilvl="0">
      <w:start w:val="3"/>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nsid w:val="00000060"/>
    <w:multiLevelType w:val="multilevel"/>
    <w:tmpl w:val="00000060"/>
    <w:lvl w:ilvl="0">
      <w:start w:val="2"/>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nsid w:val="00000061"/>
    <w:multiLevelType w:val="multilevel"/>
    <w:tmpl w:val="00000061"/>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00000062"/>
    <w:multiLevelType w:val="multilevel"/>
    <w:tmpl w:val="00000062"/>
    <w:lvl w:ilvl="0">
      <w:start w:val="1"/>
      <w:numFmt w:val="lowerRoman"/>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00000063"/>
    <w:multiLevelType w:val="multilevel"/>
    <w:tmpl w:val="00000063"/>
    <w:lvl w:ilvl="0">
      <w:start w:val="1"/>
      <w:numFmt w:val="decimal"/>
      <w:lvlText w:val="(ii)"/>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00000064"/>
    <w:multiLevelType w:val="multilevel"/>
    <w:tmpl w:val="00000064"/>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nsid w:val="00000065"/>
    <w:multiLevelType w:val="multilevel"/>
    <w:tmpl w:val="00000065"/>
    <w:lvl w:ilvl="0">
      <w:start w:val="1"/>
      <w:numFmt w:val="lowerRoman"/>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nsid w:val="00000066"/>
    <w:multiLevelType w:val="multilevel"/>
    <w:tmpl w:val="00000066"/>
    <w:lvl w:ilvl="0">
      <w:start w:val="1"/>
      <w:numFmt w:val="decimal"/>
      <w:lvlText w:val="(ii)"/>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00000067"/>
    <w:multiLevelType w:val="multilevel"/>
    <w:tmpl w:val="00000067"/>
    <w:lvl w:ilvl="0">
      <w:start w:val="3"/>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nsid w:val="00000068"/>
    <w:multiLevelType w:val="multilevel"/>
    <w:tmpl w:val="00000068"/>
    <w:lvl w:ilvl="0">
      <w:start w:val="1"/>
      <w:numFmt w:val="lowerRoman"/>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nsid w:val="00000069"/>
    <w:multiLevelType w:val="multilevel"/>
    <w:tmpl w:val="00000069"/>
    <w:lvl w:ilvl="0">
      <w:start w:val="1"/>
      <w:numFmt w:val="decimal"/>
      <w:lvlText w:val="(ii)"/>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5">
    <w:nsid w:val="0000006A"/>
    <w:multiLevelType w:val="multilevel"/>
    <w:tmpl w:val="0000006A"/>
    <w:lvl w:ilvl="0">
      <w:start w:val="1"/>
      <w:numFmt w:val="decimal"/>
      <w:lvlText w:val="(iii)"/>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6">
    <w:nsid w:val="0000006B"/>
    <w:multiLevelType w:val="multilevel"/>
    <w:tmpl w:val="0000006B"/>
    <w:lvl w:ilvl="0">
      <w:start w:val="1"/>
      <w:numFmt w:val="decimal"/>
      <w:lvlText w:val="(iv)"/>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7">
    <w:nsid w:val="0000006C"/>
    <w:multiLevelType w:val="multilevel"/>
    <w:tmpl w:val="0000006C"/>
    <w:lvl w:ilvl="0">
      <w:start w:val="2"/>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8">
    <w:nsid w:val="0000006D"/>
    <w:multiLevelType w:val="multilevel"/>
    <w:tmpl w:val="0000006D"/>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9">
    <w:nsid w:val="0000006E"/>
    <w:multiLevelType w:val="multilevel"/>
    <w:tmpl w:val="0000006E"/>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0">
    <w:nsid w:val="0000006F"/>
    <w:multiLevelType w:val="multilevel"/>
    <w:tmpl w:val="0000006F"/>
    <w:lvl w:ilvl="0">
      <w:start w:val="2"/>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1">
    <w:nsid w:val="00000070"/>
    <w:multiLevelType w:val="multilevel"/>
    <w:tmpl w:val="00000070"/>
    <w:lvl w:ilvl="0">
      <w:start w:val="2"/>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2">
    <w:nsid w:val="00000071"/>
    <w:multiLevelType w:val="multilevel"/>
    <w:tmpl w:val="00000071"/>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3">
    <w:nsid w:val="00000072"/>
    <w:multiLevelType w:val="multilevel"/>
    <w:tmpl w:val="00000072"/>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4">
    <w:nsid w:val="00000073"/>
    <w:multiLevelType w:val="multilevel"/>
    <w:tmpl w:val="00000073"/>
    <w:lvl w:ilvl="0">
      <w:start w:val="1"/>
      <w:numFmt w:val="lowerLetter"/>
      <w:lvlText w:val="(%1)"/>
      <w:lvlJc w:val="left"/>
      <w:pPr>
        <w:tabs>
          <w:tab w:val="num" w:pos="760"/>
        </w:tabs>
        <w:ind w:left="76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5">
    <w:nsid w:val="00000074"/>
    <w:multiLevelType w:val="multilevel"/>
    <w:tmpl w:val="00000074"/>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6">
    <w:nsid w:val="00000075"/>
    <w:multiLevelType w:val="multilevel"/>
    <w:tmpl w:val="00000075"/>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7">
    <w:nsid w:val="00000076"/>
    <w:multiLevelType w:val="multilevel"/>
    <w:tmpl w:val="00000076"/>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8">
    <w:nsid w:val="00000077"/>
    <w:multiLevelType w:val="multilevel"/>
    <w:tmpl w:val="00000077"/>
    <w:lvl w:ilvl="0">
      <w:start w:val="3"/>
      <w:numFmt w:val="lowerLetter"/>
      <w:lvlText w:val="(%1)"/>
      <w:lvlJc w:val="left"/>
      <w:pPr>
        <w:tabs>
          <w:tab w:val="num" w:pos="760"/>
        </w:tabs>
        <w:ind w:left="76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9">
    <w:nsid w:val="00000078"/>
    <w:multiLevelType w:val="multilevel"/>
    <w:tmpl w:val="00000078"/>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0">
    <w:nsid w:val="00000079"/>
    <w:multiLevelType w:val="multilevel"/>
    <w:tmpl w:val="00000079"/>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1">
    <w:nsid w:val="0000007A"/>
    <w:multiLevelType w:val="multilevel"/>
    <w:tmpl w:val="0000007A"/>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2">
    <w:nsid w:val="0000007B"/>
    <w:multiLevelType w:val="multilevel"/>
    <w:tmpl w:val="0000007B"/>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3">
    <w:nsid w:val="013C7493"/>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4">
    <w:nsid w:val="02109DFE"/>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5">
    <w:nsid w:val="02683327"/>
    <w:multiLevelType w:val="multilevel"/>
    <w:tmpl w:val="00000001"/>
    <w:lvl w:ilvl="0">
      <w:start w:val="4"/>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6">
    <w:nsid w:val="04E69B5A"/>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7">
    <w:nsid w:val="04EA5359"/>
    <w:multiLevelType w:val="multilevel"/>
    <w:tmpl w:val="00000001"/>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8">
    <w:nsid w:val="05419FA1"/>
    <w:multiLevelType w:val="multilevel"/>
    <w:tmpl w:val="00000001"/>
    <w:lvl w:ilvl="0">
      <w:start w:val="1"/>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9">
    <w:nsid w:val="0854890C"/>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0">
    <w:nsid w:val="0AB1A3FA"/>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1">
    <w:nsid w:val="0ACC418F"/>
    <w:multiLevelType w:val="multilevel"/>
    <w:tmpl w:val="00000001"/>
    <w:lvl w:ilvl="0">
      <w:start w:val="1"/>
      <w:numFmt w:val="decimal"/>
      <w:lvlText w:val="(3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2">
    <w:nsid w:val="1121569E"/>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3">
    <w:nsid w:val="14A14DFB"/>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4">
    <w:nsid w:val="1A6F52AC"/>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5">
    <w:nsid w:val="1B86A266"/>
    <w:multiLevelType w:val="multilevel"/>
    <w:tmpl w:val="00000001"/>
    <w:lvl w:ilvl="0">
      <w:start w:val="1"/>
      <w:numFmt w:val="upperRoman"/>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6">
    <w:nsid w:val="28BD64A5"/>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7">
    <w:nsid w:val="3034FB95"/>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8">
    <w:nsid w:val="31EB2E7E"/>
    <w:multiLevelType w:val="multilevel"/>
    <w:tmpl w:val="00000001"/>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9">
    <w:nsid w:val="39035E33"/>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0">
    <w:nsid w:val="3EFF5C1A"/>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1">
    <w:nsid w:val="3F548538"/>
    <w:multiLevelType w:val="multilevel"/>
    <w:tmpl w:val="00000001"/>
    <w:lvl w:ilvl="0">
      <w:start w:val="1"/>
      <w:numFmt w:val="lowerRoman"/>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2">
    <w:nsid w:val="42BD237D"/>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3">
    <w:nsid w:val="42BEBCCA"/>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4">
    <w:nsid w:val="43531982"/>
    <w:multiLevelType w:val="multilevel"/>
    <w:tmpl w:val="00000001"/>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5">
    <w:nsid w:val="4A984CB9"/>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6">
    <w:nsid w:val="4EE48F83"/>
    <w:multiLevelType w:val="multilevel"/>
    <w:tmpl w:val="00000001"/>
    <w:lvl w:ilvl="0">
      <w:start w:val="17"/>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7">
    <w:nsid w:val="54EB985F"/>
    <w:multiLevelType w:val="multilevel"/>
    <w:tmpl w:val="00000001"/>
    <w:lvl w:ilvl="0">
      <w:start w:val="1"/>
      <w:numFmt w:val="lowerLetter"/>
      <w:lvlText w:val="(%1)"/>
      <w:lvlJc w:val="left"/>
      <w:pPr>
        <w:tabs>
          <w:tab w:val="num" w:pos="1480"/>
        </w:tabs>
        <w:ind w:left="148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8">
    <w:nsid w:val="56EF5451"/>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9">
    <w:nsid w:val="580FD549"/>
    <w:multiLevelType w:val="multilevel"/>
    <w:tmpl w:val="00000001"/>
    <w:lvl w:ilvl="0">
      <w:start w:val="1"/>
      <w:numFmt w:val="lowerLetter"/>
      <w:lvlText w:val="(%1)"/>
      <w:lvlJc w:val="left"/>
      <w:pPr>
        <w:tabs>
          <w:tab w:val="num" w:pos="760"/>
        </w:tabs>
        <w:ind w:left="76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0">
    <w:nsid w:val="5BA17582"/>
    <w:multiLevelType w:val="multilevel"/>
    <w:tmpl w:val="00000001"/>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1">
    <w:nsid w:val="5CC77F25"/>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2">
    <w:nsid w:val="61205ED5"/>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3">
    <w:nsid w:val="63560920"/>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4">
    <w:nsid w:val="63B1B022"/>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5">
    <w:nsid w:val="642C6FE5"/>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6">
    <w:nsid w:val="69242EB2"/>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7">
    <w:nsid w:val="6DF3FE8F"/>
    <w:multiLevelType w:val="multilevel"/>
    <w:tmpl w:val="00000001"/>
    <w:lvl w:ilvl="0">
      <w:start w:val="1"/>
      <w:numFmt w:val="decimal"/>
      <w:lvlText w:val="20."/>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8">
    <w:nsid w:val="76C4D1A8"/>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9">
    <w:nsid w:val="78C8235B"/>
    <w:multiLevelType w:val="multilevel"/>
    <w:tmpl w:val="00000001"/>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0">
    <w:nsid w:val="797A4B35"/>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1">
    <w:nsid w:val="7B9AA843"/>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2">
    <w:nsid w:val="7D22BEB8"/>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48"/>
  </w:num>
  <w:num w:numId="14">
    <w:abstractNumId w:val="152"/>
  </w:num>
  <w:num w:numId="15">
    <w:abstractNumId w:val="12"/>
  </w:num>
  <w:num w:numId="16">
    <w:abstractNumId w:val="13"/>
  </w:num>
  <w:num w:numId="17">
    <w:abstractNumId w:val="14"/>
  </w:num>
  <w:num w:numId="18">
    <w:abstractNumId w:val="15"/>
  </w:num>
  <w:num w:numId="19">
    <w:abstractNumId w:val="16"/>
  </w:num>
  <w:num w:numId="20">
    <w:abstractNumId w:val="17"/>
  </w:num>
  <w:num w:numId="21">
    <w:abstractNumId w:val="18"/>
  </w:num>
  <w:num w:numId="22">
    <w:abstractNumId w:val="19"/>
  </w:num>
  <w:num w:numId="23">
    <w:abstractNumId w:val="20"/>
  </w:num>
  <w:num w:numId="24">
    <w:abstractNumId w:val="21"/>
  </w:num>
  <w:num w:numId="25">
    <w:abstractNumId w:val="22"/>
  </w:num>
  <w:num w:numId="26">
    <w:abstractNumId w:val="23"/>
  </w:num>
  <w:num w:numId="27">
    <w:abstractNumId w:val="24"/>
  </w:num>
  <w:num w:numId="28">
    <w:abstractNumId w:val="25"/>
  </w:num>
  <w:num w:numId="29">
    <w:abstractNumId w:val="26"/>
  </w:num>
  <w:num w:numId="30">
    <w:abstractNumId w:val="27"/>
  </w:num>
  <w:num w:numId="31">
    <w:abstractNumId w:val="28"/>
  </w:num>
  <w:num w:numId="32">
    <w:abstractNumId w:val="29"/>
  </w:num>
  <w:num w:numId="33">
    <w:abstractNumId w:val="30"/>
  </w:num>
  <w:num w:numId="34">
    <w:abstractNumId w:val="31"/>
  </w:num>
  <w:num w:numId="35">
    <w:abstractNumId w:val="32"/>
  </w:num>
  <w:num w:numId="36">
    <w:abstractNumId w:val="33"/>
  </w:num>
  <w:num w:numId="37">
    <w:abstractNumId w:val="34"/>
  </w:num>
  <w:num w:numId="38">
    <w:abstractNumId w:val="35"/>
  </w:num>
  <w:num w:numId="39">
    <w:abstractNumId w:val="36"/>
  </w:num>
  <w:num w:numId="40">
    <w:abstractNumId w:val="37"/>
  </w:num>
  <w:num w:numId="41">
    <w:abstractNumId w:val="38"/>
  </w:num>
  <w:num w:numId="42">
    <w:abstractNumId w:val="39"/>
  </w:num>
  <w:num w:numId="43">
    <w:abstractNumId w:val="40"/>
  </w:num>
  <w:num w:numId="44">
    <w:abstractNumId w:val="41"/>
  </w:num>
  <w:num w:numId="45">
    <w:abstractNumId w:val="42"/>
  </w:num>
  <w:num w:numId="46">
    <w:abstractNumId w:val="43"/>
  </w:num>
  <w:num w:numId="47">
    <w:abstractNumId w:val="44"/>
  </w:num>
  <w:num w:numId="48">
    <w:abstractNumId w:val="45"/>
  </w:num>
  <w:num w:numId="49">
    <w:abstractNumId w:val="46"/>
  </w:num>
  <w:num w:numId="50">
    <w:abstractNumId w:val="47"/>
  </w:num>
  <w:num w:numId="51">
    <w:abstractNumId w:val="48"/>
  </w:num>
  <w:num w:numId="52">
    <w:abstractNumId w:val="49"/>
  </w:num>
  <w:num w:numId="53">
    <w:abstractNumId w:val="50"/>
  </w:num>
  <w:num w:numId="54">
    <w:abstractNumId w:val="51"/>
  </w:num>
  <w:num w:numId="55">
    <w:abstractNumId w:val="52"/>
  </w:num>
  <w:num w:numId="56">
    <w:abstractNumId w:val="53"/>
  </w:num>
  <w:num w:numId="57">
    <w:abstractNumId w:val="54"/>
  </w:num>
  <w:num w:numId="58">
    <w:abstractNumId w:val="55"/>
  </w:num>
  <w:num w:numId="59">
    <w:abstractNumId w:val="56"/>
  </w:num>
  <w:num w:numId="60">
    <w:abstractNumId w:val="57"/>
  </w:num>
  <w:num w:numId="61">
    <w:abstractNumId w:val="58"/>
  </w:num>
  <w:num w:numId="62">
    <w:abstractNumId w:val="59"/>
  </w:num>
  <w:num w:numId="63">
    <w:abstractNumId w:val="60"/>
  </w:num>
  <w:num w:numId="64">
    <w:abstractNumId w:val="61"/>
  </w:num>
  <w:num w:numId="65">
    <w:abstractNumId w:val="62"/>
  </w:num>
  <w:num w:numId="66">
    <w:abstractNumId w:val="63"/>
  </w:num>
  <w:num w:numId="67">
    <w:abstractNumId w:val="124"/>
  </w:num>
  <w:num w:numId="68">
    <w:abstractNumId w:val="129"/>
  </w:num>
  <w:num w:numId="69">
    <w:abstractNumId w:val="151"/>
  </w:num>
  <w:num w:numId="70">
    <w:abstractNumId w:val="135"/>
  </w:num>
  <w:num w:numId="71">
    <w:abstractNumId w:val="157"/>
  </w:num>
  <w:num w:numId="72">
    <w:abstractNumId w:val="156"/>
  </w:num>
  <w:num w:numId="73">
    <w:abstractNumId w:val="144"/>
  </w:num>
  <w:num w:numId="74">
    <w:abstractNumId w:val="147"/>
  </w:num>
  <w:num w:numId="75">
    <w:abstractNumId w:val="125"/>
  </w:num>
  <w:num w:numId="76">
    <w:abstractNumId w:val="64"/>
  </w:num>
  <w:num w:numId="77">
    <w:abstractNumId w:val="65"/>
  </w:num>
  <w:num w:numId="78">
    <w:abstractNumId w:val="66"/>
  </w:num>
  <w:num w:numId="79">
    <w:abstractNumId w:val="67"/>
  </w:num>
  <w:num w:numId="80">
    <w:abstractNumId w:val="68"/>
  </w:num>
  <w:num w:numId="81">
    <w:abstractNumId w:val="69"/>
  </w:num>
  <w:num w:numId="82">
    <w:abstractNumId w:val="70"/>
  </w:num>
  <w:num w:numId="83">
    <w:abstractNumId w:val="71"/>
  </w:num>
  <w:num w:numId="84">
    <w:abstractNumId w:val="72"/>
  </w:num>
  <w:num w:numId="85">
    <w:abstractNumId w:val="73"/>
  </w:num>
  <w:num w:numId="86">
    <w:abstractNumId w:val="74"/>
  </w:num>
  <w:num w:numId="87">
    <w:abstractNumId w:val="75"/>
  </w:num>
  <w:num w:numId="88">
    <w:abstractNumId w:val="76"/>
  </w:num>
  <w:num w:numId="89">
    <w:abstractNumId w:val="77"/>
  </w:num>
  <w:num w:numId="90">
    <w:abstractNumId w:val="78"/>
  </w:num>
  <w:num w:numId="91">
    <w:abstractNumId w:val="79"/>
  </w:num>
  <w:num w:numId="92">
    <w:abstractNumId w:val="80"/>
  </w:num>
  <w:num w:numId="93">
    <w:abstractNumId w:val="143"/>
  </w:num>
  <w:num w:numId="94">
    <w:abstractNumId w:val="133"/>
  </w:num>
  <w:num w:numId="95">
    <w:abstractNumId w:val="140"/>
  </w:num>
  <w:num w:numId="96">
    <w:abstractNumId w:val="81"/>
  </w:num>
  <w:num w:numId="97">
    <w:abstractNumId w:val="82"/>
  </w:num>
  <w:num w:numId="98">
    <w:abstractNumId w:val="83"/>
  </w:num>
  <w:num w:numId="99">
    <w:abstractNumId w:val="84"/>
  </w:num>
  <w:num w:numId="100">
    <w:abstractNumId w:val="85"/>
  </w:num>
  <w:num w:numId="101">
    <w:abstractNumId w:val="86"/>
  </w:num>
  <w:num w:numId="102">
    <w:abstractNumId w:val="87"/>
  </w:num>
  <w:num w:numId="103">
    <w:abstractNumId w:val="88"/>
  </w:num>
  <w:num w:numId="104">
    <w:abstractNumId w:val="89"/>
  </w:num>
  <w:num w:numId="105">
    <w:abstractNumId w:val="90"/>
  </w:num>
  <w:num w:numId="106">
    <w:abstractNumId w:val="91"/>
  </w:num>
  <w:num w:numId="107">
    <w:abstractNumId w:val="92"/>
  </w:num>
  <w:num w:numId="108">
    <w:abstractNumId w:val="93"/>
  </w:num>
  <w:num w:numId="109">
    <w:abstractNumId w:val="94"/>
  </w:num>
  <w:num w:numId="110">
    <w:abstractNumId w:val="155"/>
  </w:num>
  <w:num w:numId="111">
    <w:abstractNumId w:val="161"/>
  </w:num>
  <w:num w:numId="112">
    <w:abstractNumId w:val="138"/>
  </w:num>
  <w:num w:numId="113">
    <w:abstractNumId w:val="123"/>
  </w:num>
  <w:num w:numId="114">
    <w:abstractNumId w:val="134"/>
  </w:num>
  <w:num w:numId="115">
    <w:abstractNumId w:val="159"/>
  </w:num>
  <w:num w:numId="116">
    <w:abstractNumId w:val="126"/>
  </w:num>
  <w:num w:numId="117">
    <w:abstractNumId w:val="150"/>
  </w:num>
  <w:num w:numId="118">
    <w:abstractNumId w:val="139"/>
  </w:num>
  <w:num w:numId="119">
    <w:abstractNumId w:val="146"/>
  </w:num>
  <w:num w:numId="120">
    <w:abstractNumId w:val="158"/>
  </w:num>
  <w:num w:numId="121">
    <w:abstractNumId w:val="131"/>
  </w:num>
  <w:num w:numId="122">
    <w:abstractNumId w:val="128"/>
  </w:num>
  <w:num w:numId="123">
    <w:abstractNumId w:val="95"/>
  </w:num>
  <w:num w:numId="124">
    <w:abstractNumId w:val="96"/>
  </w:num>
  <w:num w:numId="125">
    <w:abstractNumId w:val="97"/>
  </w:num>
  <w:num w:numId="126">
    <w:abstractNumId w:val="98"/>
  </w:num>
  <w:num w:numId="127">
    <w:abstractNumId w:val="99"/>
  </w:num>
  <w:num w:numId="128">
    <w:abstractNumId w:val="100"/>
  </w:num>
  <w:num w:numId="129">
    <w:abstractNumId w:val="101"/>
  </w:num>
  <w:num w:numId="130">
    <w:abstractNumId w:val="102"/>
  </w:num>
  <w:num w:numId="131">
    <w:abstractNumId w:val="103"/>
  </w:num>
  <w:num w:numId="132">
    <w:abstractNumId w:val="104"/>
  </w:num>
  <w:num w:numId="133">
    <w:abstractNumId w:val="105"/>
  </w:num>
  <w:num w:numId="134">
    <w:abstractNumId w:val="106"/>
  </w:num>
  <w:num w:numId="135">
    <w:abstractNumId w:val="107"/>
  </w:num>
  <w:num w:numId="136">
    <w:abstractNumId w:val="108"/>
  </w:num>
  <w:num w:numId="137">
    <w:abstractNumId w:val="109"/>
  </w:num>
  <w:num w:numId="138">
    <w:abstractNumId w:val="110"/>
  </w:num>
  <w:num w:numId="139">
    <w:abstractNumId w:val="111"/>
  </w:num>
  <w:num w:numId="140">
    <w:abstractNumId w:val="112"/>
  </w:num>
  <w:num w:numId="141">
    <w:abstractNumId w:val="113"/>
  </w:num>
  <w:num w:numId="142">
    <w:abstractNumId w:val="114"/>
  </w:num>
  <w:num w:numId="143">
    <w:abstractNumId w:val="115"/>
  </w:num>
  <w:num w:numId="144">
    <w:abstractNumId w:val="116"/>
  </w:num>
  <w:num w:numId="145">
    <w:abstractNumId w:val="117"/>
  </w:num>
  <w:num w:numId="146">
    <w:abstractNumId w:val="118"/>
  </w:num>
  <w:num w:numId="147">
    <w:abstractNumId w:val="119"/>
  </w:num>
  <w:num w:numId="148">
    <w:abstractNumId w:val="120"/>
  </w:num>
  <w:num w:numId="149">
    <w:abstractNumId w:val="121"/>
  </w:num>
  <w:num w:numId="150">
    <w:abstractNumId w:val="122"/>
  </w:num>
  <w:num w:numId="151">
    <w:abstractNumId w:val="132"/>
  </w:num>
  <w:num w:numId="152">
    <w:abstractNumId w:val="142"/>
  </w:num>
  <w:num w:numId="153">
    <w:abstractNumId w:val="137"/>
  </w:num>
  <w:num w:numId="154">
    <w:abstractNumId w:val="160"/>
  </w:num>
  <w:num w:numId="155">
    <w:abstractNumId w:val="127"/>
  </w:num>
  <w:num w:numId="156">
    <w:abstractNumId w:val="136"/>
  </w:num>
  <w:num w:numId="157">
    <w:abstractNumId w:val="153"/>
  </w:num>
  <w:num w:numId="158">
    <w:abstractNumId w:val="141"/>
  </w:num>
  <w:num w:numId="159">
    <w:abstractNumId w:val="149"/>
  </w:num>
  <w:num w:numId="160">
    <w:abstractNumId w:val="145"/>
  </w:num>
  <w:num w:numId="161">
    <w:abstractNumId w:val="162"/>
  </w:num>
  <w:num w:numId="162">
    <w:abstractNumId w:val="130"/>
  </w:num>
  <w:num w:numId="163">
    <w:abstractNumId w:val="15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eastAsia="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ca&amp;id=urn:contentItem:5F7T-S7K1-DY33-B1RK-00000-00&amp;context=" TargetMode="External" /><Relationship Id="rId100" Type="http://schemas.openxmlformats.org/officeDocument/2006/relationships/hyperlink" Target="https://advance.lexis.com/api/document?collection=cases-ca&amp;id=urn:contentItem:5WYR-5P11-DYV0-G472-00000-00&amp;context=" TargetMode="External" /><Relationship Id="rId1000" Type="http://schemas.openxmlformats.org/officeDocument/2006/relationships/hyperlink" Target="https://advance.lexis.com/api/document?collection=cases-ca&amp;id=urn:contentItem:5F7T-S7M1-JCRC-B1BF-00000-00&amp;context=" TargetMode="External" /><Relationship Id="rId1001" Type="http://schemas.openxmlformats.org/officeDocument/2006/relationships/hyperlink" Target="https://advance.lexis.com/api/document?collection=cases-ca&amp;id=urn:contentItem:5F7T-S7K1-JSJC-X123-00000-00&amp;context=" TargetMode="External" /><Relationship Id="rId1002" Type="http://schemas.openxmlformats.org/officeDocument/2006/relationships/hyperlink" Target="https://advance.lexis.com/api/document?collection=cases-ca&amp;id=urn:contentItem:5F7T-S7N1-JGHR-M3CG-00000-00&amp;context=" TargetMode="External" /><Relationship Id="rId1003" Type="http://schemas.openxmlformats.org/officeDocument/2006/relationships/hyperlink" Target="https://advance.lexis.com/api/document?collection=cases-ca&amp;id=urn:contentItem:5F7T-S7M1-JNCK-22MK-00000-00&amp;context=" TargetMode="External" /><Relationship Id="rId1004" Type="http://schemas.openxmlformats.org/officeDocument/2006/relationships/hyperlink" Target="https://advance.lexis.com/api/document?collection=cases-ca&amp;id=urn:contentItem:5F7T-S7K1-JKHB-62PC-00000-00&amp;context=" TargetMode="External" /><Relationship Id="rId1005" Type="http://schemas.openxmlformats.org/officeDocument/2006/relationships/hyperlink" Target="https://advance.lexis.com/api/document?collection=cases-ca&amp;id=urn:contentItem:5F7T-S7K1-DY33-B1KT-00000-00&amp;context=" TargetMode="External" /><Relationship Id="rId1006" Type="http://schemas.openxmlformats.org/officeDocument/2006/relationships/hyperlink" Target="https://advance.lexis.com/api/document?collection=cases-ca&amp;id=urn:contentItem:5F7T-S7B1-F7ND-G50F-00000-00&amp;context=" TargetMode="External" /><Relationship Id="rId1007" Type="http://schemas.openxmlformats.org/officeDocument/2006/relationships/hyperlink" Target="https://advance.lexis.com/api/document?collection=cases-ca&amp;id=urn:contentItem:5F7T-S7N1-JW09-M12P-00000-00&amp;context=" TargetMode="External" /><Relationship Id="rId1008" Type="http://schemas.openxmlformats.org/officeDocument/2006/relationships/hyperlink" Target="https://advance.lexis.com/api/document?collection=cases-ca&amp;id=urn:contentItem:5F7T-S7N1-F06F-24BC-00000-00&amp;context=" TargetMode="External" /><Relationship Id="rId1009" Type="http://schemas.openxmlformats.org/officeDocument/2006/relationships/hyperlink" Target="https://advance.lexis.com/api/document?collection=cases-ca&amp;id=urn:contentItem:5F7T-S7K1-DY33-B1R6-00000-00&amp;context=" TargetMode="External" /><Relationship Id="rId101" Type="http://schemas.openxmlformats.org/officeDocument/2006/relationships/hyperlink" Target="https://advance.lexis.com/api/document?collection=cases-ca&amp;id=urn:contentItem:5F7T-S711-JNY7-X3B1-00000-00&amp;context=" TargetMode="External" /><Relationship Id="rId1010" Type="http://schemas.openxmlformats.org/officeDocument/2006/relationships/hyperlink" Target="https://advance.lexis.com/api/document?collection=cases-ca&amp;id=urn:contentItem:5F7T-S7M1-F4W2-6247-00000-00&amp;context=" TargetMode="External" /><Relationship Id="rId1011" Type="http://schemas.openxmlformats.org/officeDocument/2006/relationships/hyperlink" Target="https://advance.lexis.com/api/document?collection=cases-ca&amp;id=urn:contentItem:5F7T-S741-F528-G26C-00000-00&amp;context=" TargetMode="External" /><Relationship Id="rId1012" Type="http://schemas.openxmlformats.org/officeDocument/2006/relationships/hyperlink" Target="https://advance.lexis.com/api/document?collection=cases-ca&amp;id=urn:contentItem:5F7T-S6X1-JTNR-M3X3-00000-00&amp;context=" TargetMode="External" /><Relationship Id="rId1013" Type="http://schemas.openxmlformats.org/officeDocument/2006/relationships/header" Target="header142.xml" /><Relationship Id="rId1014" Type="http://schemas.openxmlformats.org/officeDocument/2006/relationships/header" Target="header143.xml" /><Relationship Id="rId1015" Type="http://schemas.openxmlformats.org/officeDocument/2006/relationships/footer" Target="footer142.xml" /><Relationship Id="rId1016" Type="http://schemas.openxmlformats.org/officeDocument/2006/relationships/footer" Target="footer143.xml" /><Relationship Id="rId1017" Type="http://schemas.openxmlformats.org/officeDocument/2006/relationships/header" Target="header144.xml" /><Relationship Id="rId1018" Type="http://schemas.openxmlformats.org/officeDocument/2006/relationships/footer" Target="footer144.xml" /><Relationship Id="rId1019" Type="http://schemas.openxmlformats.org/officeDocument/2006/relationships/hyperlink" Target="https://advance.lexis.com/api/document?collection=cases-ca&amp;id=urn:contentItem:5F7T-S7M1-JJK6-S1X0-00000-00&amp;context=" TargetMode="External" /><Relationship Id="rId102" Type="http://schemas.openxmlformats.org/officeDocument/2006/relationships/hyperlink" Target="https://advance.lexis.com/api/document?collection=cases-ca&amp;id=urn:contentItem:5F7T-S7G1-JNY7-X443-00000-00&amp;context=" TargetMode="External" /><Relationship Id="rId1020" Type="http://schemas.openxmlformats.org/officeDocument/2006/relationships/hyperlink" Target="https://advance.lexis.com/api/document?collection=cases-ca&amp;id=urn:contentItem:5F7T-S7F1-JX3N-B1XJ-00000-00&amp;context=" TargetMode="External" /><Relationship Id="rId1021" Type="http://schemas.openxmlformats.org/officeDocument/2006/relationships/hyperlink" Target="https://advance.lexis.com/api/document?collection=cases-ca&amp;id=urn:contentItem:5F7T-S781-JSC5-M408-00000-00&amp;context=" TargetMode="External" /><Relationship Id="rId1022" Type="http://schemas.openxmlformats.org/officeDocument/2006/relationships/hyperlink" Target="https://advance.lexis.com/api/document?collection=cases-ca&amp;id=urn:contentItem:5F7T-S7B1-JCJ5-2069-00000-00&amp;context=" TargetMode="External" /><Relationship Id="rId1023" Type="http://schemas.openxmlformats.org/officeDocument/2006/relationships/hyperlink" Target="https://advance.lexis.com/api/document?collection=cases-ca&amp;id=urn:contentItem:5F7T-S7H1-JS5Y-B2YB-00000-00&amp;context=" TargetMode="External" /><Relationship Id="rId1024" Type="http://schemas.openxmlformats.org/officeDocument/2006/relationships/hyperlink" Target="https://advance.lexis.com/api/document?collection=cases-ca&amp;id=urn:contentItem:5F7T-S7F1-JFKM-61F5-00000-00&amp;context=" TargetMode="External" /><Relationship Id="rId1025" Type="http://schemas.openxmlformats.org/officeDocument/2006/relationships/hyperlink" Target="https://advance.lexis.com/api/document?collection=cases-ca&amp;id=urn:contentItem:5F7T-S7D1-FCSB-S2NV-00000-00&amp;context=" TargetMode="External" /><Relationship Id="rId1026" Type="http://schemas.openxmlformats.org/officeDocument/2006/relationships/hyperlink" Target="https://advance.lexis.com/api/document?collection=cases-ca&amp;id=urn:contentItem:5F7T-S7F1-FBN1-21V7-00000-00&amp;context=" TargetMode="External" /><Relationship Id="rId1027" Type="http://schemas.openxmlformats.org/officeDocument/2006/relationships/hyperlink" Target="https://advance.lexis.com/api/document?collection=cases-ca&amp;id=urn:contentItem:5F7T-S7G1-JNY7-X45D-00000-00&amp;context=" TargetMode="External" /><Relationship Id="rId1028" Type="http://schemas.openxmlformats.org/officeDocument/2006/relationships/hyperlink" Target="https://advance.lexis.com/api/document?collection=cases-ca&amp;id=urn:contentItem:5F7T-S7H1-FCSB-S3RN-00000-00&amp;context=" TargetMode="External" /><Relationship Id="rId1029" Type="http://schemas.openxmlformats.org/officeDocument/2006/relationships/hyperlink" Target="https://advance.lexis.com/api/document?collection=cases-ca&amp;id=urn:contentItem:5F7T-S7G1-JN6B-S1BC-00000-00&amp;context=" TargetMode="External" /><Relationship Id="rId103" Type="http://schemas.openxmlformats.org/officeDocument/2006/relationships/hyperlink" Target="https://advance.lexis.com/api/document?collection=cases-ca&amp;id=urn:contentItem:5F7T-S7H1-JG02-S3N8-00000-00&amp;context=" TargetMode="External" /><Relationship Id="rId1030" Type="http://schemas.openxmlformats.org/officeDocument/2006/relationships/hyperlink" Target="https://advance.lexis.com/api/document?collection=cases-ca&amp;id=urn:contentItem:5F7T-S7F1-DXWW-23FJ-00000-00&amp;context=" TargetMode="External" /><Relationship Id="rId1031" Type="http://schemas.openxmlformats.org/officeDocument/2006/relationships/hyperlink" Target="https://advance.lexis.com/api/document?collection=cases-ca&amp;id=urn:contentItem:5F7T-S7H1-JS5Y-B2SM-00000-00&amp;context=" TargetMode="External" /><Relationship Id="rId1032" Type="http://schemas.openxmlformats.org/officeDocument/2006/relationships/hyperlink" Target="https://advance.lexis.com/api/document?collection=cases-ca&amp;id=urn:contentItem:5F7T-S7C1-JSRM-6115-00000-00&amp;context=" TargetMode="External" /><Relationship Id="rId1033" Type="http://schemas.openxmlformats.org/officeDocument/2006/relationships/hyperlink" Target="https://advance.lexis.com/api/document?collection=cases-ca&amp;id=urn:contentItem:5F8T-N3V1-JTGH-B0Y8-00000-00&amp;context=" TargetMode="External" /><Relationship Id="rId1034" Type="http://schemas.openxmlformats.org/officeDocument/2006/relationships/hyperlink" Target="https://advance.lexis.com/api/document?collection=cases-ca&amp;id=urn:contentItem:5F7T-S7F1-F7VM-S475-00000-00&amp;context=" TargetMode="External" /><Relationship Id="rId1035" Type="http://schemas.openxmlformats.org/officeDocument/2006/relationships/hyperlink" Target="https://advance.lexis.com/api/document?collection=cases-ca&amp;id=urn:contentItem:5F7T-S741-F57G-S1YB-00000-00&amp;context=" TargetMode="External" /><Relationship Id="rId1036" Type="http://schemas.openxmlformats.org/officeDocument/2006/relationships/hyperlink" Target="https://advance.lexis.com/api/document?collection=cases-ca&amp;id=urn:contentItem:5F7T-S6X1-F7ND-G39N-00000-00&amp;context=" TargetMode="External" /><Relationship Id="rId1037" Type="http://schemas.openxmlformats.org/officeDocument/2006/relationships/hyperlink" Target="https://advance.lexis.com/api/document?collection=cases-ca&amp;id=urn:contentItem:5F7T-S7H1-F4GK-M38W-00000-00&amp;context=" TargetMode="External" /><Relationship Id="rId1038" Type="http://schemas.openxmlformats.org/officeDocument/2006/relationships/hyperlink" Target="https://advance.lexis.com/api/document?collection=cases-ca&amp;id=urn:contentItem:5F7T-S7G1-JX3N-B208-00000-00&amp;context=" TargetMode="External" /><Relationship Id="rId1039" Type="http://schemas.openxmlformats.org/officeDocument/2006/relationships/hyperlink" Target="https://advance.lexis.com/api/document?collection=cases-ca&amp;id=urn:contentItem:5F7T-S7C1-FCSB-S2DB-00000-00&amp;context=" TargetMode="External" /><Relationship Id="rId104" Type="http://schemas.openxmlformats.org/officeDocument/2006/relationships/hyperlink" Target="https://advance.lexis.com/api/document?collection=cases-ca&amp;id=urn:contentItem:5F7T-S7K1-F528-G2XC-00000-00&amp;context=" TargetMode="External" /><Relationship Id="rId1040" Type="http://schemas.openxmlformats.org/officeDocument/2006/relationships/hyperlink" Target="https://advance.lexis.com/api/document?collection=cases-ca&amp;id=urn:contentItem:5F7T-S7F1-FJTD-G3CS-00000-00&amp;context=" TargetMode="External" /><Relationship Id="rId1041" Type="http://schemas.openxmlformats.org/officeDocument/2006/relationships/header" Target="header145.xml" /><Relationship Id="rId1042" Type="http://schemas.openxmlformats.org/officeDocument/2006/relationships/header" Target="header146.xml" /><Relationship Id="rId1043" Type="http://schemas.openxmlformats.org/officeDocument/2006/relationships/footer" Target="footer145.xml" /><Relationship Id="rId1044" Type="http://schemas.openxmlformats.org/officeDocument/2006/relationships/footer" Target="footer146.xml" /><Relationship Id="rId1045" Type="http://schemas.openxmlformats.org/officeDocument/2006/relationships/header" Target="header147.xml" /><Relationship Id="rId1046" Type="http://schemas.openxmlformats.org/officeDocument/2006/relationships/footer" Target="footer147.xml" /><Relationship Id="rId1047" Type="http://schemas.openxmlformats.org/officeDocument/2006/relationships/hyperlink" Target="https://advance.lexis.com/api/document?collection=cases-ca&amp;id=urn:contentItem:5F7T-S7F1-FJTD-G3DF-00000-00&amp;context=" TargetMode="External" /><Relationship Id="rId1048" Type="http://schemas.openxmlformats.org/officeDocument/2006/relationships/hyperlink" Target="https://advance.lexis.com/api/document?collection=cases-ca&amp;id=urn:contentItem:5F8T-N3R1-JNS1-M12J-00000-00&amp;context=" TargetMode="External" /><Relationship Id="rId1049" Type="http://schemas.openxmlformats.org/officeDocument/2006/relationships/hyperlink" Target="https://advance.lexis.com/api/document?collection=cases-ca&amp;id=urn:contentItem:5F7T-S6Y1-JPP5-2188-00000-00&amp;context=" TargetMode="External" /><Relationship Id="rId105" Type="http://schemas.openxmlformats.org/officeDocument/2006/relationships/hyperlink" Target="https://advance.lexis.com/api/document?collection=cases-ca&amp;id=urn:contentItem:5F7T-S7M1-F4W2-626V-00000-00&amp;context=" TargetMode="External" /><Relationship Id="rId1050" Type="http://schemas.openxmlformats.org/officeDocument/2006/relationships/hyperlink" Target="https://advance.lexis.com/api/document?collection=cases-ca&amp;id=urn:contentItem:5F7T-S7H1-FCSB-S3J0-00000-00&amp;context=" TargetMode="External" /><Relationship Id="rId1051" Type="http://schemas.openxmlformats.org/officeDocument/2006/relationships/hyperlink" Target="https://advance.lexis.com/api/document?collection=cases-ca&amp;id=urn:contentItem:5F7T-S751-JGHR-M1YR-00000-00&amp;context=" TargetMode="External" /><Relationship Id="rId1052" Type="http://schemas.openxmlformats.org/officeDocument/2006/relationships/hyperlink" Target="https://advance.lexis.com/api/document?collection=cases-ca&amp;id=urn:contentItem:5F7T-S761-JCBX-S0JM-00000-00&amp;context=" TargetMode="External" /><Relationship Id="rId1053" Type="http://schemas.openxmlformats.org/officeDocument/2006/relationships/hyperlink" Target="https://advance.lexis.com/api/document?collection=cases-ca&amp;id=urn:contentItem:5F7T-S6Y1-JPP5-21F5-00000-00&amp;context=" TargetMode="External" /><Relationship Id="rId1054" Type="http://schemas.openxmlformats.org/officeDocument/2006/relationships/hyperlink" Target="https://advance.lexis.com/api/document?collection=cases-ca&amp;id=urn:contentItem:5F7T-S731-F60C-X132-00000-00&amp;context=" TargetMode="External" /><Relationship Id="rId1055" Type="http://schemas.openxmlformats.org/officeDocument/2006/relationships/header" Target="header148.xml" /><Relationship Id="rId1056" Type="http://schemas.openxmlformats.org/officeDocument/2006/relationships/header" Target="header149.xml" /><Relationship Id="rId1057" Type="http://schemas.openxmlformats.org/officeDocument/2006/relationships/footer" Target="footer148.xml" /><Relationship Id="rId1058" Type="http://schemas.openxmlformats.org/officeDocument/2006/relationships/footer" Target="footer149.xml" /><Relationship Id="rId1059" Type="http://schemas.openxmlformats.org/officeDocument/2006/relationships/header" Target="header150.xml" /><Relationship Id="rId106" Type="http://schemas.openxmlformats.org/officeDocument/2006/relationships/hyperlink" Target="https://advance.lexis.com/api/document?collection=cases-ca&amp;id=urn:contentItem:5F7T-S6V1-JFKM-6133-00000-00&amp;context=" TargetMode="External" /><Relationship Id="rId1060" Type="http://schemas.openxmlformats.org/officeDocument/2006/relationships/footer" Target="footer150.xml" /><Relationship Id="rId1061" Type="http://schemas.openxmlformats.org/officeDocument/2006/relationships/hyperlink" Target="https://advance.lexis.com/api/document?collection=cases-ca&amp;id=urn:contentItem:5YKS-T7V1-FH4C-X3R0-00000-00&amp;context=" TargetMode="External" /><Relationship Id="rId1062" Type="http://schemas.openxmlformats.org/officeDocument/2006/relationships/hyperlink" Target="https://advance.lexis.com/api/document?collection=cases-ca&amp;id=urn:contentItem:5F7T-S7G1-JN6B-S1BS-00000-00&amp;context=" TargetMode="External" /><Relationship Id="rId1063" Type="http://schemas.openxmlformats.org/officeDocument/2006/relationships/hyperlink" Target="https://advance.lexis.com/api/document?collection=cases-ca&amp;id=urn:contentItem:5G5V-93Y1-DYV0-G19V-00000-00&amp;context=" TargetMode="External" /><Relationship Id="rId1064" Type="http://schemas.openxmlformats.org/officeDocument/2006/relationships/hyperlink" Target="https://advance.lexis.com/api/document?collection=cases-ca&amp;id=urn:contentItem:5F7T-S701-JJYN-B2VV-00000-00&amp;context=" TargetMode="External" /><Relationship Id="rId1065" Type="http://schemas.openxmlformats.org/officeDocument/2006/relationships/hyperlink" Target="https://advance.lexis.com/api/document?collection=cases-ca&amp;id=urn:contentItem:5F7T-S7D1-DY89-M3VD-00000-00&amp;context=" TargetMode="External" /><Relationship Id="rId1066" Type="http://schemas.openxmlformats.org/officeDocument/2006/relationships/hyperlink" Target="https://advance.lexis.com/api/document?collection=cases-ca&amp;id=urn:contentItem:5F8T-N3V1-JTGH-B1GX-00000-00&amp;context=" TargetMode="External" /><Relationship Id="rId1067" Type="http://schemas.openxmlformats.org/officeDocument/2006/relationships/hyperlink" Target="https://advance.lexis.com/api/document?collection=cases-ca&amp;id=urn:contentItem:5SKG-24W1-F2TK-21VS-00000-00&amp;context=" TargetMode="External" /><Relationship Id="rId1068" Type="http://schemas.openxmlformats.org/officeDocument/2006/relationships/numbering" Target="numbering.xml" /><Relationship Id="rId1069" Type="http://schemas.openxmlformats.org/officeDocument/2006/relationships/styles" Target="styles.xml" /><Relationship Id="rId107" Type="http://schemas.openxmlformats.org/officeDocument/2006/relationships/hyperlink" Target="https://advance.lexis.com/api/document?collection=cases-ca&amp;id=urn:contentItem:5F8T-N3V1-JF75-M3S6-00000-00&amp;context=" TargetMode="External" /><Relationship Id="rId108" Type="http://schemas.openxmlformats.org/officeDocument/2006/relationships/hyperlink" Target="https://advance.lexis.com/api/document?collection=cases-ca&amp;id=urn:contentItem:5F8T-N3V1-JTGH-B153-00000-00&amp;context=" TargetMode="External" /><Relationship Id="rId109" Type="http://schemas.openxmlformats.org/officeDocument/2006/relationships/hyperlink" Target="https://advance.lexis.com/api/document?collection=cases-ca&amp;id=urn:contentItem:5F8T-N3V1-FH4C-X22V-00000-00&amp;context=" TargetMode="External" /><Relationship Id="rId11" Type="http://schemas.openxmlformats.org/officeDocument/2006/relationships/hyperlink" Target="https://advance.lexis.com/api/document?collection=cases-ca&amp;id=urn:contentItem:5F7T-S6X1-F06F-22SH-00000-00&amp;context=" TargetMode="External" /><Relationship Id="rId110" Type="http://schemas.openxmlformats.org/officeDocument/2006/relationships/hyperlink" Target="https://advance.lexis.com/api/document?collection=cases-ca&amp;id=urn:contentItem:5F8T-N3T1-JFKM-655K-00000-00&amp;context=" TargetMode="External" /><Relationship Id="rId111" Type="http://schemas.openxmlformats.org/officeDocument/2006/relationships/hyperlink" Target="https://advance.lexis.com/api/document?collection=cases-ca&amp;id=urn:contentItem:5F8T-N3V1-FH4C-X20M-00000-00&amp;context=" TargetMode="External" /><Relationship Id="rId112" Type="http://schemas.openxmlformats.org/officeDocument/2006/relationships/hyperlink" Target="https://advance.lexis.com/api/document?collection=cases-ca&amp;id=urn:contentItem:5F7T-S7M1-JNCK-22RP-00000-00&amp;context=" TargetMode="External" /><Relationship Id="rId113" Type="http://schemas.openxmlformats.org/officeDocument/2006/relationships/hyperlink" Target="https://advance.lexis.com/api/document?collection=cases-ca&amp;id=urn:contentItem:5KT4-DY51-JW5H-X0HM-00000-00&amp;context=" TargetMode="External" /><Relationship Id="rId114" Type="http://schemas.openxmlformats.org/officeDocument/2006/relationships/hyperlink" Target="https://advance.lexis.com/api/document?collection=cases-ca&amp;id=urn:contentItem:5PVF-9W91-JP4G-63P6-00000-00&amp;context=" TargetMode="External" /><Relationship Id="rId115" Type="http://schemas.openxmlformats.org/officeDocument/2006/relationships/hyperlink" Target="https://advance.lexis.com/api/document?collection=cases-ca&amp;id=urn:contentItem:5TD3-N221-JC0G-637M-00000-00&amp;context=" TargetMode="External" /><Relationship Id="rId116" Type="http://schemas.openxmlformats.org/officeDocument/2006/relationships/hyperlink" Target="https://advance.lexis.com/api/document?collection=cases-ca&amp;id=urn:contentItem:5F7T-S7K1-F1H1-22C1-00000-00&amp;context=" TargetMode="External" /><Relationship Id="rId117" Type="http://schemas.openxmlformats.org/officeDocument/2006/relationships/hyperlink" Target="https://advance.lexis.com/api/document?collection=cases-ca&amp;id=urn:contentItem:5F7T-S7D1-FBFS-S1M7-00000-00&amp;context=" TargetMode="External" /><Relationship Id="rId118" Type="http://schemas.openxmlformats.org/officeDocument/2006/relationships/hyperlink" Target="https://advance.lexis.com/api/document?collection=cases-ca&amp;id=urn:contentItem:5F82-1SF1-F361-M45M-00000-00&amp;context=" TargetMode="External" /><Relationship Id="rId119" Type="http://schemas.openxmlformats.org/officeDocument/2006/relationships/hyperlink" Target="https://advance.lexis.com/api/document?collection=cases-ca&amp;id=urn:contentItem:5F8T-N3T1-JJSF-234V-00000-00&amp;context=" TargetMode="External" /><Relationship Id="rId12" Type="http://schemas.openxmlformats.org/officeDocument/2006/relationships/hyperlink" Target="https://advance.lexis.com/api/document?collection=cases-ca&amp;id=urn:contentItem:5F82-1SB1-FBFS-S42M-00000-00&amp;context=" TargetMode="External" /><Relationship Id="rId120" Type="http://schemas.openxmlformats.org/officeDocument/2006/relationships/hyperlink" Target="https://advance.lexis.com/api/document?collection=cases-ca&amp;id=urn:contentItem:5F7T-S761-F81W-21RK-00000-00&amp;context=" TargetMode="External" /><Relationship Id="rId121" Type="http://schemas.openxmlformats.org/officeDocument/2006/relationships/hyperlink" Target="https://advance.lexis.com/api/document?collection=cases-ca&amp;id=urn:contentItem:5F7T-S7P1-JSJC-X1F1-00000-00&amp;context=" TargetMode="External" /><Relationship Id="rId122" Type="http://schemas.openxmlformats.org/officeDocument/2006/relationships/hyperlink" Target="https://advance.lexis.com/api/document?collection=cases-ca&amp;id=urn:contentItem:5F7T-S7D1-JN6B-S131-00000-00&amp;context=" TargetMode="External" /><Relationship Id="rId123" Type="http://schemas.openxmlformats.org/officeDocument/2006/relationships/hyperlink" Target="https://advance.lexis.com/api/document?collection=cases-ca&amp;id=urn:contentItem:5F7T-S7D1-DY89-M463-00000-00&amp;context=" TargetMode="External" /><Relationship Id="rId124" Type="http://schemas.openxmlformats.org/officeDocument/2006/relationships/hyperlink" Target="https://advance.lexis.com/api/document?collection=cases-ca&amp;id=urn:contentItem:5F7T-S7M1-DYMS-62FG-00000-00&amp;context=" TargetMode="External" /><Relationship Id="rId125" Type="http://schemas.openxmlformats.org/officeDocument/2006/relationships/hyperlink" Target="https://advance.lexis.com/api/document?collection=cases-ca&amp;id=urn:contentItem:5F7T-S7P1-JSJC-X1SJ-00000-00&amp;context=" TargetMode="External" /><Relationship Id="rId126" Type="http://schemas.openxmlformats.org/officeDocument/2006/relationships/hyperlink" Target="https://advance.lexis.com/api/document?collection=cases-ca&amp;id=urn:contentItem:5F7T-S731-FFFC-B0K2-00000-00&amp;context=" TargetMode="External" /><Relationship Id="rId127" Type="http://schemas.openxmlformats.org/officeDocument/2006/relationships/hyperlink" Target="https://advance.lexis.com/api/document?collection=cases-ca&amp;id=urn:contentItem:5F7T-S6W1-JYYX-61TX-00000-00&amp;context=" TargetMode="External" /><Relationship Id="rId128" Type="http://schemas.openxmlformats.org/officeDocument/2006/relationships/hyperlink" Target="https://advance.lexis.com/api/document?collection=cases-ca&amp;id=urn:contentItem:5F7T-S7K1-JSJC-X168-00000-00&amp;context=" TargetMode="External" /><Relationship Id="rId129" Type="http://schemas.openxmlformats.org/officeDocument/2006/relationships/hyperlink" Target="https://advance.lexis.com/api/document?collection=cases-ca&amp;id=urn:contentItem:5F8T-N3V1-JTGH-B0YB-00000-00&amp;context=" TargetMode="External" /><Relationship Id="rId13" Type="http://schemas.openxmlformats.org/officeDocument/2006/relationships/hyperlink" Target="https://advance.lexis.com/api/document?collection=cases-ca&amp;id=urn:contentItem:5F7T-S731-F1WF-M229-00000-00&amp;context=" TargetMode="External" /><Relationship Id="rId130" Type="http://schemas.openxmlformats.org/officeDocument/2006/relationships/hyperlink" Target="https://advance.lexis.com/api/document?collection=cases-ca&amp;id=urn:contentItem:5F7T-S7M1-JCRC-B1TW-00000-00&amp;context=" TargetMode="External" /><Relationship Id="rId131" Type="http://schemas.openxmlformats.org/officeDocument/2006/relationships/hyperlink" Target="https://advance.lexis.com/api/document?collection=cases-ca&amp;id=urn:contentItem:5F7T-S7P1-JSJC-X1GW-00000-00&amp;context=" TargetMode="External" /><Relationship Id="rId132" Type="http://schemas.openxmlformats.org/officeDocument/2006/relationships/hyperlink" Target="https://advance.lexis.com/api/document?collection=cases-ca&amp;id=urn:contentItem:5F7T-S7N1-F57G-S2D4-00000-00&amp;context=" TargetMode="External" /><Relationship Id="rId133" Type="http://schemas.openxmlformats.org/officeDocument/2006/relationships/hyperlink" Target="https://advance.lexis.com/api/document?collection=cases-ca&amp;id=urn:contentItem:5F7T-S6W1-JB7K-21F4-00000-00&amp;context=" TargetMode="External" /><Relationship Id="rId134" Type="http://schemas.openxmlformats.org/officeDocument/2006/relationships/hyperlink" Target="https://advance.lexis.com/api/document?collection=cases-ca&amp;id=urn:contentItem:5F8T-N3S1-JT99-250W-00000-00&amp;context=" TargetMode="External" /><Relationship Id="rId135" Type="http://schemas.openxmlformats.org/officeDocument/2006/relationships/header" Target="header19.xml" /><Relationship Id="rId136" Type="http://schemas.openxmlformats.org/officeDocument/2006/relationships/header" Target="header20.xml" /><Relationship Id="rId137" Type="http://schemas.openxmlformats.org/officeDocument/2006/relationships/footer" Target="footer19.xml" /><Relationship Id="rId138" Type="http://schemas.openxmlformats.org/officeDocument/2006/relationships/footer" Target="footer20.xml" /><Relationship Id="rId139" Type="http://schemas.openxmlformats.org/officeDocument/2006/relationships/header" Target="header21.xml" /><Relationship Id="rId14" Type="http://schemas.openxmlformats.org/officeDocument/2006/relationships/hyperlink" Target="https://advance.lexis.com/api/document?collection=cases-ca&amp;id=urn:contentItem:5F7T-S7H1-JS5Y-B35X-00000-00&amp;context=" TargetMode="External" /><Relationship Id="rId140" Type="http://schemas.openxmlformats.org/officeDocument/2006/relationships/footer" Target="footer21.xml" /><Relationship Id="rId141" Type="http://schemas.openxmlformats.org/officeDocument/2006/relationships/hyperlink" Target="https://advance.lexis.com/api/document?collection=cases-ca&amp;id=urn:contentItem:5WN6-3YJ1-JKPJ-G3FC-00000-00&amp;context=" TargetMode="External" /><Relationship Id="rId142" Type="http://schemas.openxmlformats.org/officeDocument/2006/relationships/hyperlink" Target="https://advance.lexis.com/api/document?collection=cases-ca&amp;id=urn:contentItem:5F7T-S7M1-JJK6-S22N-00000-00&amp;context=" TargetMode="External" /><Relationship Id="rId143" Type="http://schemas.openxmlformats.org/officeDocument/2006/relationships/hyperlink" Target="https://advance.lexis.com/api/document?collection=cases-ca&amp;id=urn:contentItem:5F7T-S6T1-F2F4-G1FF-00000-00&amp;context=" TargetMode="External" /><Relationship Id="rId144" Type="http://schemas.openxmlformats.org/officeDocument/2006/relationships/hyperlink" Target="https://advance.lexis.com/api/document?collection=cases-ca&amp;id=urn:contentItem:5F7T-S7M1-JCRC-B1VN-00000-00&amp;context=" TargetMode="External" /><Relationship Id="rId145" Type="http://schemas.openxmlformats.org/officeDocument/2006/relationships/hyperlink" Target="https://advance.lexis.com/api/document?collection=cases-ca&amp;id=urn:contentItem:5F7T-S6Y1-F4GK-M1WK-00000-00&amp;context=" TargetMode="External" /><Relationship Id="rId146" Type="http://schemas.openxmlformats.org/officeDocument/2006/relationships/hyperlink" Target="https://advance.lexis.com/api/document?collection=cases-ca&amp;id=urn:contentItem:5F7T-S741-F2F4-G2B9-00000-00&amp;context=" TargetMode="External" /><Relationship Id="rId147" Type="http://schemas.openxmlformats.org/officeDocument/2006/relationships/hyperlink" Target="https://advance.lexis.com/api/document?collection=cases-ca&amp;id=urn:contentItem:5F8P-SFC1-JX8W-M0J5-00000-00&amp;context=" TargetMode="External" /><Relationship Id="rId148" Type="http://schemas.openxmlformats.org/officeDocument/2006/relationships/hyperlink" Target="https://advance.lexis.com/api/document?collection=cases-ca&amp;id=urn:contentItem:5F8P-SDV1-FCSB-S2RD-00000-00&amp;context=" TargetMode="External" /><Relationship Id="rId149" Type="http://schemas.openxmlformats.org/officeDocument/2006/relationships/hyperlink" Target="https://advance.lexis.com/api/document?collection=cases-ca&amp;id=urn:contentItem:5F7T-S711-JNS1-M0T7-00000-00&amp;context=" TargetMode="External" /><Relationship Id="rId15" Type="http://schemas.openxmlformats.org/officeDocument/2006/relationships/hyperlink" Target="https://advance.lexis.com/api/document?collection=cases-ca&amp;id=urn:contentItem:5F7T-S7H1-JCRC-B0XG-00000-00&amp;context=" TargetMode="External" /><Relationship Id="rId150" Type="http://schemas.openxmlformats.org/officeDocument/2006/relationships/header" Target="header22.xml" /><Relationship Id="rId151" Type="http://schemas.openxmlformats.org/officeDocument/2006/relationships/header" Target="header23.xml" /><Relationship Id="rId152" Type="http://schemas.openxmlformats.org/officeDocument/2006/relationships/footer" Target="footer22.xml" /><Relationship Id="rId153" Type="http://schemas.openxmlformats.org/officeDocument/2006/relationships/footer" Target="footer23.xml" /><Relationship Id="rId154" Type="http://schemas.openxmlformats.org/officeDocument/2006/relationships/header" Target="header24.xml" /><Relationship Id="rId155" Type="http://schemas.openxmlformats.org/officeDocument/2006/relationships/footer" Target="footer24.xml" /><Relationship Id="rId156" Type="http://schemas.openxmlformats.org/officeDocument/2006/relationships/hyperlink" Target="https://advance.lexis.com/api/document?collection=cases-ca&amp;id=urn:contentItem:5GBX-BXM1-FGRY-B3H4-00000-00&amp;context=" TargetMode="External" /><Relationship Id="rId157" Type="http://schemas.openxmlformats.org/officeDocument/2006/relationships/hyperlink" Target="https://advance.lexis.com/api/document?collection=legislation-ca&amp;id=urn:contentItem:5F41-1FJ1-JPGX-S13Y-00000-00&amp;context=" TargetMode="External" /><Relationship Id="rId158" Type="http://schemas.openxmlformats.org/officeDocument/2006/relationships/hyperlink" Target="https://advance.lexis.com/api/document?collection=cases-ca&amp;id=urn:contentItem:5F7T-S7M1-JPP5-22MS-00000-00&amp;context=" TargetMode="External" /><Relationship Id="rId159" Type="http://schemas.openxmlformats.org/officeDocument/2006/relationships/hyperlink" Target="https://advance.lexis.com/api/document?collection=cases-ca&amp;id=urn:contentItem:5F7T-S7D1-FCSB-S2XG-00000-00&amp;context=" TargetMode="External" /><Relationship Id="rId16" Type="http://schemas.openxmlformats.org/officeDocument/2006/relationships/hyperlink" Target="https://advance.lexis.com/api/document?collection=cases-ca&amp;id=urn:contentItem:5F7T-S7K1-JNY7-X4GT-00000-00&amp;context=" TargetMode="External" /><Relationship Id="rId160" Type="http://schemas.openxmlformats.org/officeDocument/2006/relationships/hyperlink" Target="https://advance.lexis.com/api/document?collection=cases-ca&amp;id=urn:contentItem:5F7T-S7K1-JKHB-630S-00000-00&amp;context=" TargetMode="External" /><Relationship Id="rId161" Type="http://schemas.openxmlformats.org/officeDocument/2006/relationships/hyperlink" Target="https://advance.lexis.com/api/document?collection=cases-ca&amp;id=urn:contentItem:5F7T-S7H1-JFSV-G34D-00000-00&amp;context=" TargetMode="External" /><Relationship Id="rId162" Type="http://schemas.openxmlformats.org/officeDocument/2006/relationships/hyperlink" Target="https://advance.lexis.com/api/document?collection=cases-ca&amp;id=urn:contentItem:5F7T-S7C1-JS0R-229B-00000-00&amp;context=" TargetMode="External" /><Relationship Id="rId163" Type="http://schemas.openxmlformats.org/officeDocument/2006/relationships/hyperlink" Target="https://advance.lexis.com/api/document?collection=cases-ca&amp;id=urn:contentItem:5F81-VJV1-F60C-X2X2-00000-00&amp;context=" TargetMode="External" /><Relationship Id="rId164" Type="http://schemas.openxmlformats.org/officeDocument/2006/relationships/hyperlink" Target="https://advance.lexis.com/api/document?collection=cases-ca&amp;id=urn:contentItem:5F16-93C1-JWR6-S01F-00000-00&amp;context=" TargetMode="External" /><Relationship Id="rId165" Type="http://schemas.openxmlformats.org/officeDocument/2006/relationships/hyperlink" Target="https://advance.lexis.com/api/document?collection=cases-ca&amp;id=urn:contentItem:5F7T-S6T1-JK4W-M0HF-00000-00&amp;context=" TargetMode="External" /><Relationship Id="rId166" Type="http://schemas.openxmlformats.org/officeDocument/2006/relationships/header" Target="header25.xml" /><Relationship Id="rId167" Type="http://schemas.openxmlformats.org/officeDocument/2006/relationships/header" Target="header26.xml" /><Relationship Id="rId168" Type="http://schemas.openxmlformats.org/officeDocument/2006/relationships/footer" Target="footer25.xml" /><Relationship Id="rId169" Type="http://schemas.openxmlformats.org/officeDocument/2006/relationships/footer" Target="footer26.xml" /><Relationship Id="rId17" Type="http://schemas.openxmlformats.org/officeDocument/2006/relationships/hyperlink" Target="https://advance.lexis.com/api/document?collection=cases-ca&amp;id=urn:contentItem:5F7T-S781-F7G6-63BD-00000-00&amp;context=" TargetMode="External" /><Relationship Id="rId170" Type="http://schemas.openxmlformats.org/officeDocument/2006/relationships/header" Target="header27.xml" /><Relationship Id="rId171" Type="http://schemas.openxmlformats.org/officeDocument/2006/relationships/footer" Target="footer27.xml" /><Relationship Id="rId172" Type="http://schemas.openxmlformats.org/officeDocument/2006/relationships/hyperlink" Target="https://advance.lexis.com/api/document?collection=cases-ca&amp;id=urn:contentItem:5G74-D9V1-F2TK-22GB-00000-00&amp;context=" TargetMode="External" /><Relationship Id="rId173" Type="http://schemas.openxmlformats.org/officeDocument/2006/relationships/hyperlink" Target="https://advance.lexis.com/api/document?collection=cases-ca&amp;id=urn:contentItem:5G77-HXG1-FCK4-G3X6-00000-00&amp;context=" TargetMode="External" /><Relationship Id="rId174" Type="http://schemas.openxmlformats.org/officeDocument/2006/relationships/hyperlink" Target="https://advance.lexis.com/api/document?collection=cases-ca&amp;id=urn:contentItem:5F7T-S741-F1H1-21G4-00000-00&amp;context=" TargetMode="External" /><Relationship Id="rId175" Type="http://schemas.openxmlformats.org/officeDocument/2006/relationships/hyperlink" Target="https://advance.lexis.com/api/document?collection=cases-ca&amp;id=urn:contentItem:5F7T-S7H1-F016-S3PH-00000-00&amp;context=" TargetMode="External" /><Relationship Id="rId176" Type="http://schemas.openxmlformats.org/officeDocument/2006/relationships/hyperlink" Target="https://advance.lexis.com/api/document?collection=cases-ca&amp;id=urn:contentItem:5F7T-S7M1-JCRC-B1MY-00000-00&amp;context=" TargetMode="External" /><Relationship Id="rId177" Type="http://schemas.openxmlformats.org/officeDocument/2006/relationships/hyperlink" Target="https://advance.lexis.com/api/document?collection=cases-ca&amp;id=urn:contentItem:5F7T-S7H1-JS5Y-B2P6-00000-00&amp;context=" TargetMode="External" /><Relationship Id="rId178" Type="http://schemas.openxmlformats.org/officeDocument/2006/relationships/hyperlink" Target="https://advance.lexis.com/api/document?collection=cases-ca&amp;id=urn:contentItem:5F7T-S7H1-JS5Y-B2WC-00000-00&amp;context=" TargetMode="External" /><Relationship Id="rId179" Type="http://schemas.openxmlformats.org/officeDocument/2006/relationships/hyperlink" Target="https://advance.lexis.com/api/document?collection=cases-ca&amp;id=urn:contentItem:5F7T-S7J1-JYYX-62G1-00000-00&amp;context=" TargetMode="External" /><Relationship Id="rId18" Type="http://schemas.openxmlformats.org/officeDocument/2006/relationships/hyperlink" Target="https://advance.lexis.com/api/document?collection=cases-ca&amp;id=urn:contentItem:5F7T-S6Y1-DY33-B06C-00000-00&amp;context=" TargetMode="External" /><Relationship Id="rId180" Type="http://schemas.openxmlformats.org/officeDocument/2006/relationships/hyperlink" Target="https://advance.lexis.com/api/document?collection=cases-ca&amp;id=urn:contentItem:5F7T-S7K1-JSJC-X0WD-00000-00&amp;context=" TargetMode="External" /><Relationship Id="rId181" Type="http://schemas.openxmlformats.org/officeDocument/2006/relationships/header" Target="header28.xml" /><Relationship Id="rId182" Type="http://schemas.openxmlformats.org/officeDocument/2006/relationships/header" Target="header29.xml" /><Relationship Id="rId183" Type="http://schemas.openxmlformats.org/officeDocument/2006/relationships/footer" Target="footer28.xml" /><Relationship Id="rId184" Type="http://schemas.openxmlformats.org/officeDocument/2006/relationships/footer" Target="footer29.xml" /><Relationship Id="rId185" Type="http://schemas.openxmlformats.org/officeDocument/2006/relationships/header" Target="header30.xml" /><Relationship Id="rId186" Type="http://schemas.openxmlformats.org/officeDocument/2006/relationships/footer" Target="footer30.xml" /><Relationship Id="rId187" Type="http://schemas.openxmlformats.org/officeDocument/2006/relationships/hyperlink" Target="https://advance.lexis.com/api/document?collection=cases-ca&amp;id=urn:contentItem:5F7T-S7H1-JCRC-B179-00000-00&amp;context=" TargetMode="External" /><Relationship Id="rId188" Type="http://schemas.openxmlformats.org/officeDocument/2006/relationships/hyperlink" Target="https://advance.lexis.com/api/document?collection=cases-ca&amp;id=urn:contentItem:5F7T-S7H1-F016-S3X8-00000-00&amp;context=" TargetMode="External" /><Relationship Id="rId189" Type="http://schemas.openxmlformats.org/officeDocument/2006/relationships/hyperlink" Target="https://advance.lexis.com/api/document?collection=cases-ca&amp;id=urn:contentItem:5F81-VJX1-JP9P-G4RG-00000-00&amp;context=" TargetMode="External" /><Relationship Id="rId19" Type="http://schemas.openxmlformats.org/officeDocument/2006/relationships/hyperlink" Target="https://advance.lexis.com/api/document?collection=cases-ca&amp;id=urn:contentItem:5F7T-S7J1-JNS1-M223-00000-00&amp;context=" TargetMode="External" /><Relationship Id="rId190" Type="http://schemas.openxmlformats.org/officeDocument/2006/relationships/hyperlink" Target="https://advance.lexis.com/api/document?collection=cases-ca&amp;id=urn:contentItem:5F7T-S781-FH4C-X36T-00000-00&amp;context=" TargetMode="External" /><Relationship Id="rId191" Type="http://schemas.openxmlformats.org/officeDocument/2006/relationships/hyperlink" Target="https://advance.lexis.com/api/document?collection=cases-ca&amp;id=urn:contentItem:5F7T-S781-F27X-61BR-00000-00&amp;context=" TargetMode="External" /><Relationship Id="rId192" Type="http://schemas.openxmlformats.org/officeDocument/2006/relationships/hyperlink" Target="https://advance.lexis.com/api/document?collection=cases-ca&amp;id=urn:contentItem:5F7T-S7C1-JS0R-22B3-00000-00&amp;context=" TargetMode="External" /><Relationship Id="rId193" Type="http://schemas.openxmlformats.org/officeDocument/2006/relationships/hyperlink" Target="https://advance.lexis.com/api/document?collection=cases-ca&amp;id=urn:contentItem:5F7T-S7F1-FFFC-B1MJ-00000-00&amp;context=" TargetMode="External" /><Relationship Id="rId194" Type="http://schemas.openxmlformats.org/officeDocument/2006/relationships/hyperlink" Target="https://advance.lexis.com/api/document?collection=cases-ca&amp;id=urn:contentItem:5F82-1SG1-JWBS-64YT-00000-00&amp;context=" TargetMode="External" /><Relationship Id="rId195" Type="http://schemas.openxmlformats.org/officeDocument/2006/relationships/hyperlink" Target="https://advance.lexis.com/api/document?collection=cases-ca&amp;id=urn:contentItem:5F7T-S7F1-JFKM-6224-00000-00&amp;context=" TargetMode="External" /><Relationship Id="rId196" Type="http://schemas.openxmlformats.org/officeDocument/2006/relationships/hyperlink" Target="https://advance.lexis.com/api/document?collection=cases-ca&amp;id=urn:contentItem:5F7T-S7B1-F7ND-G4YK-00000-00&amp;context=" TargetMode="External" /><Relationship Id="rId197" Type="http://schemas.openxmlformats.org/officeDocument/2006/relationships/hyperlink" Target="https://advance.lexis.com/api/document?collection=legislation-ca&amp;id=urn:contentItem:5W2C-X5J1-JJ1H-X0F6-00000-00&amp;context=" TargetMode="External" /><Relationship Id="rId198" Type="http://schemas.openxmlformats.org/officeDocument/2006/relationships/hyperlink" Target="https://advance.lexis.com/api/document?collection=cases-ca&amp;id=urn:contentItem:5F7T-S741-F528-G2H5-00000-00&amp;context=" TargetMode="External" /><Relationship Id="rId199" Type="http://schemas.openxmlformats.org/officeDocument/2006/relationships/hyperlink" Target="https://advance.lexis.com/api/document?collection=cases-ca&amp;id=urn:contentItem:5F7T-S771-F81W-22W7-00000-00&amp;context="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ca&amp;id=urn:contentItem:5F7T-S7K1-F1H1-223T-00000-00&amp;context=" TargetMode="External" /><Relationship Id="rId200" Type="http://schemas.openxmlformats.org/officeDocument/2006/relationships/hyperlink" Target="https://advance.lexis.com/api/document?collection=cases-ca&amp;id=urn:contentItem:5F7T-S7C1-F4NT-X41X-00000-00&amp;context=" TargetMode="External" /><Relationship Id="rId201" Type="http://schemas.openxmlformats.org/officeDocument/2006/relationships/hyperlink" Target="https://advance.lexis.com/api/document?collection=cases-ca&amp;id=urn:contentItem:5F7T-S7D1-JXG3-X12H-00000-00&amp;context=" TargetMode="External" /><Relationship Id="rId202" Type="http://schemas.openxmlformats.org/officeDocument/2006/relationships/hyperlink" Target="https://advance.lexis.com/api/document?collection=cases-ca&amp;id=urn:contentItem:5F7T-S7H1-JCRC-B106-00000-00&amp;context=" TargetMode="External" /><Relationship Id="rId203" Type="http://schemas.openxmlformats.org/officeDocument/2006/relationships/hyperlink" Target="https://advance.lexis.com/api/document?collection=cases-ca&amp;id=urn:contentItem:5F7T-S781-JSC5-M439-00000-00&amp;context=" TargetMode="External" /><Relationship Id="rId204" Type="http://schemas.openxmlformats.org/officeDocument/2006/relationships/hyperlink" Target="https://advance.lexis.com/api/document?collection=cases-ca&amp;id=urn:contentItem:5F7T-S781-JSC5-M402-00000-00&amp;context=" TargetMode="External" /><Relationship Id="rId205" Type="http://schemas.openxmlformats.org/officeDocument/2006/relationships/hyperlink" Target="https://advance.lexis.com/api/document?collection=cases-ca&amp;id=urn:contentItem:5F7T-S6T1-FJTD-G17V-00000-00&amp;context=" TargetMode="External" /><Relationship Id="rId206" Type="http://schemas.openxmlformats.org/officeDocument/2006/relationships/hyperlink" Target="https://advance.lexis.com/api/document?collection=cases-ca&amp;id=urn:contentItem:5F7T-S6V1-F956-S05N-00000-00&amp;context=" TargetMode="External" /><Relationship Id="rId207" Type="http://schemas.openxmlformats.org/officeDocument/2006/relationships/hyperlink" Target="https://advance.lexis.com/api/document?collection=cases-ca&amp;id=urn:contentItem:5F7T-S6V1-JFKM-6130-00000-00&amp;context=" TargetMode="External" /><Relationship Id="rId208" Type="http://schemas.openxmlformats.org/officeDocument/2006/relationships/hyperlink" Target="https://advance.lexis.com/api/document?collection=legislation-ca&amp;id=urn:contentItem:5F41-1FJ1-JBDT-B069-00000-00&amp;context=" TargetMode="External" /><Relationship Id="rId209" Type="http://schemas.openxmlformats.org/officeDocument/2006/relationships/hyperlink" Target="https://advance.lexis.com/api/document?collection=cases-ca&amp;id=urn:contentItem:5F7T-S7H1-FCSB-S3RP-00000-00&amp;context=" TargetMode="External" /><Relationship Id="rId21" Type="http://schemas.openxmlformats.org/officeDocument/2006/relationships/hyperlink" Target="https://advance.lexis.com/api/document?collection=cases-ca&amp;id=urn:contentItem:5F7T-S7J1-JGBH-B282-00000-00&amp;context=" TargetMode="External" /><Relationship Id="rId210" Type="http://schemas.openxmlformats.org/officeDocument/2006/relationships/hyperlink" Target="https://advance.lexis.com/api/document?collection=cases-ca&amp;id=urn:contentItem:5F7T-S7D1-F7ND-G0NP-00000-00&amp;context=" TargetMode="External" /><Relationship Id="rId211" Type="http://schemas.openxmlformats.org/officeDocument/2006/relationships/hyperlink" Target="https://advance.lexis.com/api/document?collection=cases-ca&amp;id=urn:contentItem:5F7T-S7G1-JWR6-S1G8-00000-00&amp;context=" TargetMode="External" /><Relationship Id="rId212" Type="http://schemas.openxmlformats.org/officeDocument/2006/relationships/hyperlink" Target="https://advance.lexis.com/api/document?collection=cases-ca&amp;id=urn:contentItem:5F7T-S7F1-JK4W-M1JB-00000-00&amp;context=" TargetMode="External" /><Relationship Id="rId213" Type="http://schemas.openxmlformats.org/officeDocument/2006/relationships/header" Target="header31.xml" /><Relationship Id="rId214" Type="http://schemas.openxmlformats.org/officeDocument/2006/relationships/header" Target="header32.xml" /><Relationship Id="rId215" Type="http://schemas.openxmlformats.org/officeDocument/2006/relationships/footer" Target="footer31.xml" /><Relationship Id="rId216" Type="http://schemas.openxmlformats.org/officeDocument/2006/relationships/footer" Target="footer32.xml" /><Relationship Id="rId217" Type="http://schemas.openxmlformats.org/officeDocument/2006/relationships/header" Target="header33.xml" /><Relationship Id="rId218" Type="http://schemas.openxmlformats.org/officeDocument/2006/relationships/footer" Target="footer33.xml" /><Relationship Id="rId219" Type="http://schemas.openxmlformats.org/officeDocument/2006/relationships/hyperlink" Target="https://advance.lexis.com/api/document?collection=cases-ca&amp;id=urn:contentItem:5F7T-S7P1-JBDT-B1CJ-00000-00&amp;context=" TargetMode="External" /><Relationship Id="rId22" Type="http://schemas.openxmlformats.org/officeDocument/2006/relationships/hyperlink" Target="https://advance.lexis.com/api/document?collection=cases-ca&amp;id=urn:contentItem:5F7T-S7H1-FCSB-S3PW-00000-00&amp;context=" TargetMode="External" /><Relationship Id="rId220" Type="http://schemas.openxmlformats.org/officeDocument/2006/relationships/image" Target="media/image1.png" /><Relationship Id="rId221" Type="http://schemas.openxmlformats.org/officeDocument/2006/relationships/hyperlink" Target="https://advance.lexis.com/api/document?collection=cases-ca&amp;id=urn:contentItem:5F7T-S7C1-F4NT-X3NB-00000-00&amp;context=" TargetMode="External" /><Relationship Id="rId222" Type="http://schemas.openxmlformats.org/officeDocument/2006/relationships/hyperlink" Target="https://advance.lexis.com/api/document?collection=cases-ca&amp;id=urn:contentItem:5F7T-S7N1-JWR6-S287-00000-00&amp;context=" TargetMode="External" /><Relationship Id="rId223" Type="http://schemas.openxmlformats.org/officeDocument/2006/relationships/hyperlink" Target="https://advance.lexis.com/api/document?collection=cases-ca&amp;id=urn:contentItem:5F7T-S7K1-JNY7-X4M0-00000-00&amp;context=" TargetMode="External" /><Relationship Id="rId224" Type="http://schemas.openxmlformats.org/officeDocument/2006/relationships/hyperlink" Target="https://advance.lexis.com/api/document?collection=cases-ca&amp;id=urn:contentItem:5F7T-S7M1-JCRC-B1SF-00000-00&amp;context=" TargetMode="External" /><Relationship Id="rId225" Type="http://schemas.openxmlformats.org/officeDocument/2006/relationships/hyperlink" Target="https://advance.lexis.com/api/document?collection=cases-ca&amp;id=urn:contentItem:5F7T-S711-F5KY-B10J-00000-00&amp;context=" TargetMode="External" /><Relationship Id="rId226" Type="http://schemas.openxmlformats.org/officeDocument/2006/relationships/hyperlink" Target="https://advance.lexis.com/api/document?collection=cases-ca&amp;id=urn:contentItem:5F8T-N3V1-FC1F-M4BC-00000-00&amp;context=" TargetMode="External" /><Relationship Id="rId227" Type="http://schemas.openxmlformats.org/officeDocument/2006/relationships/hyperlink" Target="https://advance.lexis.com/api/document?collection=cases-ca&amp;id=urn:contentItem:5F7T-S741-F8D9-M1MM-00000-00&amp;context=" TargetMode="External" /><Relationship Id="rId228" Type="http://schemas.openxmlformats.org/officeDocument/2006/relationships/hyperlink" Target="https://advance.lexis.com/api/document?collection=cases-ca&amp;id=urn:contentItem:5F7T-S7K1-F1H1-227X-00000-00&amp;context=" TargetMode="External" /><Relationship Id="rId229" Type="http://schemas.openxmlformats.org/officeDocument/2006/relationships/hyperlink" Target="https://advance.lexis.com/api/document?collection=cases-ca&amp;id=urn:contentItem:5F7T-S7M1-JNCK-22SH-00000-00&amp;context=" TargetMode="External" /><Relationship Id="rId23" Type="http://schemas.openxmlformats.org/officeDocument/2006/relationships/hyperlink" Target="https://advance.lexis.com/api/document?collection=cases-ca&amp;id=urn:contentItem:5F7T-S7H1-JCRC-B178-00000-00&amp;context=" TargetMode="External" /><Relationship Id="rId230" Type="http://schemas.openxmlformats.org/officeDocument/2006/relationships/hyperlink" Target="https://advance.lexis.com/api/document?collection=cases-ca&amp;id=urn:contentItem:5F7T-S771-JSJC-X05N-00000-00&amp;context=" TargetMode="External" /><Relationship Id="rId231" Type="http://schemas.openxmlformats.org/officeDocument/2006/relationships/hyperlink" Target="https://advance.lexis.com/api/document?collection=cases-ca&amp;id=urn:contentItem:5F7T-S7D1-JG02-S2Y2-00000-00&amp;context=" TargetMode="External" /><Relationship Id="rId232" Type="http://schemas.openxmlformats.org/officeDocument/2006/relationships/hyperlink" Target="https://advance.lexis.com/api/document?collection=cases-ca&amp;id=urn:contentItem:5F7T-S761-F81W-222K-00000-00&amp;context=" TargetMode="External" /><Relationship Id="rId233" Type="http://schemas.openxmlformats.org/officeDocument/2006/relationships/hyperlink" Target="https://advance.lexis.com/api/document?collection=cases-ca&amp;id=urn:contentItem:5F7T-S7C1-JSRM-618R-00000-00&amp;context=" TargetMode="External" /><Relationship Id="rId234" Type="http://schemas.openxmlformats.org/officeDocument/2006/relationships/hyperlink" Target="https://advance.lexis.com/api/document?collection=cases-ca&amp;id=urn:contentItem:5F7T-S6W1-JB7K-21KW-00000-00&amp;context=" TargetMode="External" /><Relationship Id="rId235" Type="http://schemas.openxmlformats.org/officeDocument/2006/relationships/hyperlink" Target="https://advance.lexis.com/api/document?collection=cases-ca&amp;id=urn:contentItem:5F7T-S7D1-FC6N-X0P7-00000-00&amp;context=" TargetMode="External" /><Relationship Id="rId236" Type="http://schemas.openxmlformats.org/officeDocument/2006/relationships/hyperlink" Target="https://advance.lexis.com/api/document?collection=cases-ca&amp;id=urn:contentItem:5F7T-S7P1-JNJT-B2PW-00000-00&amp;context=" TargetMode="External" /><Relationship Id="rId237" Type="http://schemas.openxmlformats.org/officeDocument/2006/relationships/header" Target="header34.xml" /><Relationship Id="rId238" Type="http://schemas.openxmlformats.org/officeDocument/2006/relationships/header" Target="header35.xml" /><Relationship Id="rId239" Type="http://schemas.openxmlformats.org/officeDocument/2006/relationships/footer" Target="footer34.xml" /><Relationship Id="rId24" Type="http://schemas.openxmlformats.org/officeDocument/2006/relationships/hyperlink" Target="https://advance.lexis.com/api/document?collection=cases-ca&amp;id=urn:contentItem:5F7T-S7C1-FCSB-S2HK-00000-00&amp;context=" TargetMode="External" /><Relationship Id="rId240" Type="http://schemas.openxmlformats.org/officeDocument/2006/relationships/footer" Target="footer35.xml" /><Relationship Id="rId241" Type="http://schemas.openxmlformats.org/officeDocument/2006/relationships/header" Target="header36.xml" /><Relationship Id="rId242" Type="http://schemas.openxmlformats.org/officeDocument/2006/relationships/footer" Target="footer36.xml" /><Relationship Id="rId243" Type="http://schemas.openxmlformats.org/officeDocument/2006/relationships/hyperlink" Target="https://advance.lexis.com/api/document?collection=cases-ca&amp;id=urn:contentItem:5YB9-XST1-JWR6-S00H-00000-00&amp;context=" TargetMode="External" /><Relationship Id="rId244" Type="http://schemas.openxmlformats.org/officeDocument/2006/relationships/hyperlink" Target="https://advance.lexis.com/api/document?collection=cases-ca&amp;id=urn:contentItem:5F7T-S7K1-JX3N-B2V4-00000-00&amp;context=" TargetMode="External" /><Relationship Id="rId245" Type="http://schemas.openxmlformats.org/officeDocument/2006/relationships/hyperlink" Target="https://advance.lexis.com/api/document?collection=cases-ca&amp;id=urn:contentItem:5F8T-N3P1-F7ND-G14C-00000-00&amp;context=" TargetMode="External" /><Relationship Id="rId246" Type="http://schemas.openxmlformats.org/officeDocument/2006/relationships/hyperlink" Target="https://advance.lexis.com/api/document?collection=cases-ca&amp;id=urn:contentItem:5F81-YGW1-DYFH-X025-00000-00&amp;context=" TargetMode="External" /><Relationship Id="rId247" Type="http://schemas.openxmlformats.org/officeDocument/2006/relationships/hyperlink" Target="https://advance.lexis.com/api/document?collection=cases-ca&amp;id=urn:contentItem:5F8P-SC71-JK4W-M2MK-00000-00&amp;context=" TargetMode="External" /><Relationship Id="rId248" Type="http://schemas.openxmlformats.org/officeDocument/2006/relationships/hyperlink" Target="https://advance.lexis.com/api/document?collection=cases-ca&amp;id=urn:contentItem:5F7T-S7G1-JBT7-X40C-00000-00&amp;context=" TargetMode="External" /><Relationship Id="rId249" Type="http://schemas.openxmlformats.org/officeDocument/2006/relationships/hyperlink" Target="https://advance.lexis.com/api/document?collection=cases-ca&amp;id=urn:contentItem:5F8T-N3V1-JF75-M3WX-00000-00&amp;context=" TargetMode="External" /><Relationship Id="rId25" Type="http://schemas.openxmlformats.org/officeDocument/2006/relationships/hyperlink" Target="https://advance.lexis.com/api/document?collection=cases-ca&amp;id=urn:contentItem:5F7T-S6X1-JXNB-632D-00000-00&amp;context=" TargetMode="External" /><Relationship Id="rId250" Type="http://schemas.openxmlformats.org/officeDocument/2006/relationships/hyperlink" Target="https://advance.lexis.com/api/document?collection=cases-ca&amp;id=urn:contentItem:5HK3-JGT1-JPGX-S3V4-00000-00&amp;context=" TargetMode="External" /><Relationship Id="rId251" Type="http://schemas.openxmlformats.org/officeDocument/2006/relationships/hyperlink" Target="https://advance.lexis.com/api/document?collection=cases-ca&amp;id=urn:contentItem:5F7T-S7F1-DXWW-2481-00000-00&amp;context=" TargetMode="External" /><Relationship Id="rId252" Type="http://schemas.openxmlformats.org/officeDocument/2006/relationships/hyperlink" Target="https://advance.lexis.com/api/document?collection=cases-ca&amp;id=urn:contentItem:5F7T-S7M1-DYMS-6275-00000-00&amp;context=" TargetMode="External" /><Relationship Id="rId253" Type="http://schemas.openxmlformats.org/officeDocument/2006/relationships/hyperlink" Target="https://advance.lexis.com/api/document?collection=cases-ca&amp;id=urn:contentItem:5F7T-S7N1-F57G-S2MR-00000-00&amp;context=" TargetMode="External" /><Relationship Id="rId254" Type="http://schemas.openxmlformats.org/officeDocument/2006/relationships/hyperlink" Target="https://advance.lexis.com/api/document?collection=cases-ca&amp;id=urn:contentItem:5F7T-S751-JNS1-M1YB-00000-00&amp;context=" TargetMode="External" /><Relationship Id="rId255" Type="http://schemas.openxmlformats.org/officeDocument/2006/relationships/hyperlink" Target="https://advance.lexis.com/api/document?collection=cases-ca&amp;id=urn:contentItem:5F7T-S7C1-F30T-B283-00000-00&amp;context=" TargetMode="External" /><Relationship Id="rId256" Type="http://schemas.openxmlformats.org/officeDocument/2006/relationships/hyperlink" Target="https://advance.lexis.com/api/document?collection=cases-ca&amp;id=urn:contentItem:5F7T-S7F1-JBT7-X2KB-00000-00&amp;context=" TargetMode="External" /><Relationship Id="rId257" Type="http://schemas.openxmlformats.org/officeDocument/2006/relationships/hyperlink" Target="https://advance.lexis.com/api/document?collection=cases-ca&amp;id=urn:contentItem:5F7T-S7D1-JS5Y-B2JK-00000-00&amp;context=" TargetMode="External" /><Relationship Id="rId258" Type="http://schemas.openxmlformats.org/officeDocument/2006/relationships/hyperlink" Target="https://advance.lexis.com/api/document?collection=cases-ca&amp;id=urn:contentItem:5F7T-S7K1-JWXF-20X0-00000-00&amp;context=" TargetMode="External" /><Relationship Id="rId259" Type="http://schemas.openxmlformats.org/officeDocument/2006/relationships/hyperlink" Target="https://advance.lexis.com/api/document?collection=cases-ca&amp;id=urn:contentItem:5F8T-N3V1-JTGH-B0Y9-00000-00&amp;context=" TargetMode="External" /><Relationship Id="rId26" Type="http://schemas.openxmlformats.org/officeDocument/2006/relationships/hyperlink" Target="https://advance.lexis.com/api/document?collection=cases-ca&amp;id=urn:contentItem:5F7T-S7G1-JPP5-221F-00000-00&amp;context=" TargetMode="External" /><Relationship Id="rId260" Type="http://schemas.openxmlformats.org/officeDocument/2006/relationships/hyperlink" Target="https://advance.lexis.com/api/document?collection=cases-ca&amp;id=urn:contentItem:5F8T-N3V1-JTGH-B18F-00000-00&amp;context=" TargetMode="External" /><Relationship Id="rId261" Type="http://schemas.openxmlformats.org/officeDocument/2006/relationships/hyperlink" Target="https://advance.lexis.com/api/document?collection=cases-ca&amp;id=urn:contentItem:5GCC-XVC1-JSRM-60WB-00000-00&amp;context=" TargetMode="External" /><Relationship Id="rId262" Type="http://schemas.openxmlformats.org/officeDocument/2006/relationships/hyperlink" Target="https://advance.lexis.com/api/document?collection=cases-ca&amp;id=urn:contentItem:5XRX-TYC1-FBFS-S1P7-00000-00&amp;context=" TargetMode="External" /><Relationship Id="rId263" Type="http://schemas.openxmlformats.org/officeDocument/2006/relationships/hyperlink" Target="https://advance.lexis.com/api/document?collection=cases-ca&amp;id=urn:contentItem:5F7T-S7H1-JS5Y-B2RX-00000-00&amp;context=" TargetMode="External" /><Relationship Id="rId264" Type="http://schemas.openxmlformats.org/officeDocument/2006/relationships/hyperlink" Target="https://advance.lexis.com/api/document?collection=cases-ca&amp;id=urn:contentItem:5W6N-2JC1-JS0R-2463-00000-00&amp;context=" TargetMode="External" /><Relationship Id="rId265" Type="http://schemas.openxmlformats.org/officeDocument/2006/relationships/hyperlink" Target="https://advance.lexis.com/api/document?collection=cases-ca&amp;id=urn:contentItem:5HSD-C7M1-JFSV-G4C1-00000-00&amp;context=" TargetMode="External" /><Relationship Id="rId266" Type="http://schemas.openxmlformats.org/officeDocument/2006/relationships/hyperlink" Target="https://advance.lexis.com/api/document?collection=cases-ca&amp;id=urn:contentItem:5F7T-S7N1-F57G-S264-00000-00&amp;context=" TargetMode="External" /><Relationship Id="rId267" Type="http://schemas.openxmlformats.org/officeDocument/2006/relationships/hyperlink" Target="https://advance.lexis.com/api/document?collection=cases-ca&amp;id=urn:contentItem:5F7T-S7N1-DXWW-20HP-00000-00&amp;context=" TargetMode="External" /><Relationship Id="rId268" Type="http://schemas.openxmlformats.org/officeDocument/2006/relationships/hyperlink" Target="https://advance.lexis.com/api/document?collection=cases-ca&amp;id=urn:contentItem:5HDT-KH51-JS5Y-B2M2-00000-00&amp;context=" TargetMode="External" /><Relationship Id="rId269" Type="http://schemas.openxmlformats.org/officeDocument/2006/relationships/hyperlink" Target="https://advance.lexis.com/api/document?collection=cases-ca&amp;id=urn:contentItem:5WC3-G9C1-K0HK-24Y0-00000-00&amp;context=" TargetMode="External" /><Relationship Id="rId27" Type="http://schemas.openxmlformats.org/officeDocument/2006/relationships/hyperlink" Target="https://advance.lexis.com/api/document?collection=cases-ca&amp;id=urn:contentItem:5F7T-S7H1-F016-S40Y-00000-00&amp;context=" TargetMode="External" /><Relationship Id="rId270" Type="http://schemas.openxmlformats.org/officeDocument/2006/relationships/hyperlink" Target="https://advance.lexis.com/api/document?collection=cases-ca&amp;id=urn:contentItem:5F7T-S7P1-F2TK-2395-00000-00&amp;context=" TargetMode="External" /><Relationship Id="rId271" Type="http://schemas.openxmlformats.org/officeDocument/2006/relationships/hyperlink" Target="https://advance.lexis.com/api/document?collection=cases-ca&amp;id=urn:contentItem:5F7T-S7P1-JP4G-620F-00000-00&amp;context=" TargetMode="External" /><Relationship Id="rId272" Type="http://schemas.openxmlformats.org/officeDocument/2006/relationships/hyperlink" Target="https://advance.lexis.com/api/document?collection=cases-ca&amp;id=urn:contentItem:5F7T-S7P1-JCRC-B29G-00000-00&amp;context=" TargetMode="External" /><Relationship Id="rId273" Type="http://schemas.openxmlformats.org/officeDocument/2006/relationships/hyperlink" Target="https://advance.lexis.com/api/document?collection=cases-ca&amp;id=urn:contentItem:5F7T-S7K1-DY33-B1K8-00000-00&amp;context=" TargetMode="External" /><Relationship Id="rId274" Type="http://schemas.openxmlformats.org/officeDocument/2006/relationships/hyperlink" Target="https://advance.lexis.com/api/document?collection=cases-ca&amp;id=urn:contentItem:5F7T-S7F1-JX3N-B19D-00000-00&amp;context=" TargetMode="External" /><Relationship Id="rId275" Type="http://schemas.openxmlformats.org/officeDocument/2006/relationships/hyperlink" Target="https://advance.lexis.com/api/document?collection=cases-ca&amp;id=urn:contentItem:5P98-G3F1-FFMK-M3VC-00000-00&amp;context=" TargetMode="External" /><Relationship Id="rId276" Type="http://schemas.openxmlformats.org/officeDocument/2006/relationships/hyperlink" Target="https://advance.lexis.com/api/document?collection=cases-ca&amp;id=urn:contentItem:5KHN-KX81-JWR6-S437-00000-00&amp;context=" TargetMode="External" /><Relationship Id="rId277" Type="http://schemas.openxmlformats.org/officeDocument/2006/relationships/hyperlink" Target="https://advance.lexis.com/api/document?collection=cases-ca&amp;id=urn:contentItem:5KVM-43P1-JT42-S0WY-00000-00&amp;context=" TargetMode="External" /><Relationship Id="rId278" Type="http://schemas.openxmlformats.org/officeDocument/2006/relationships/hyperlink" Target="https://advance.lexis.com/api/document?collection=cases-ca&amp;id=urn:contentItem:5KHN-KX81-JWR6-S42T-00000-00&amp;context=" TargetMode="External" /><Relationship Id="rId279" Type="http://schemas.openxmlformats.org/officeDocument/2006/relationships/hyperlink" Target="https://advance.lexis.com/api/document?collection=cases-ca&amp;id=urn:contentItem:5F7T-S771-JN14-G2PR-00000-00&amp;context=" TargetMode="External" /><Relationship Id="rId28" Type="http://schemas.openxmlformats.org/officeDocument/2006/relationships/hyperlink" Target="https://advance.lexis.com/api/document?collection=cases-ca&amp;id=urn:contentItem:5F7T-S781-F900-G0N5-00000-00&amp;context=" TargetMode="External" /><Relationship Id="rId280" Type="http://schemas.openxmlformats.org/officeDocument/2006/relationships/hyperlink" Target="https://advance.lexis.com/api/document?collection=cases-ca&amp;id=urn:contentItem:5F7T-S7P1-JG02-S46D-00000-00&amp;context=" TargetMode="External" /><Relationship Id="rId281" Type="http://schemas.openxmlformats.org/officeDocument/2006/relationships/hyperlink" Target="https://advance.lexis.com/api/document?collection=cases-ca&amp;id=urn:contentItem:5F7T-S781-F27X-615P-00000-00&amp;context=" TargetMode="External" /><Relationship Id="rId282" Type="http://schemas.openxmlformats.org/officeDocument/2006/relationships/hyperlink" Target="https://advance.lexis.com/api/document?collection=cases-ca&amp;id=urn:contentItem:5F7T-S7K1-F1H1-222V-00000-00&amp;context=" TargetMode="External" /><Relationship Id="rId283" Type="http://schemas.openxmlformats.org/officeDocument/2006/relationships/hyperlink" Target="https://advance.lexis.com/api/document?collection=cases-ca&amp;id=urn:contentItem:5F7T-S7M1-F4W2-62B8-00000-00&amp;context=" TargetMode="External" /><Relationship Id="rId284" Type="http://schemas.openxmlformats.org/officeDocument/2006/relationships/hyperlink" Target="https://advance.lexis.com/api/document?collection=cases-ca&amp;id=urn:contentItem:5F7T-S7F1-DXWW-24HM-00000-00&amp;context=" TargetMode="External" /><Relationship Id="rId285" Type="http://schemas.openxmlformats.org/officeDocument/2006/relationships/hyperlink" Target="https://advance.lexis.com/api/document?collection=cases-ca&amp;id=urn:contentItem:5F7T-S7K1-JSJC-X0R5-00000-00&amp;context=" TargetMode="External" /><Relationship Id="rId286" Type="http://schemas.openxmlformats.org/officeDocument/2006/relationships/hyperlink" Target="https://advance.lexis.com/api/document?collection=cases-ca&amp;id=urn:contentItem:5GCC-XVB1-JGHR-M4D1-00000-00&amp;context=" TargetMode="External" /><Relationship Id="rId287" Type="http://schemas.openxmlformats.org/officeDocument/2006/relationships/hyperlink" Target="https://advance.lexis.com/api/document?collection=cases-ca&amp;id=urn:contentItem:5F7T-S7M1-F4W2-62BF-00000-00&amp;context=" TargetMode="External" /><Relationship Id="rId288" Type="http://schemas.openxmlformats.org/officeDocument/2006/relationships/hyperlink" Target="https://advance.lexis.com/api/document?collection=cases-ca&amp;id=urn:contentItem:5W30-JV41-F016-S4TW-00000-00&amp;context=" TargetMode="External" /><Relationship Id="rId289" Type="http://schemas.openxmlformats.org/officeDocument/2006/relationships/header" Target="header37.xml" /><Relationship Id="rId29" Type="http://schemas.openxmlformats.org/officeDocument/2006/relationships/hyperlink" Target="https://advance.lexis.com/api/document?collection=cases-ca&amp;id=urn:contentItem:5F7T-S7H1-K054-G2F4-00000-00&amp;context=" TargetMode="External" /><Relationship Id="rId290" Type="http://schemas.openxmlformats.org/officeDocument/2006/relationships/header" Target="header38.xml" /><Relationship Id="rId291" Type="http://schemas.openxmlformats.org/officeDocument/2006/relationships/footer" Target="footer37.xml" /><Relationship Id="rId292" Type="http://schemas.openxmlformats.org/officeDocument/2006/relationships/footer" Target="footer38.xml" /><Relationship Id="rId293" Type="http://schemas.openxmlformats.org/officeDocument/2006/relationships/header" Target="header39.xml" /><Relationship Id="rId294" Type="http://schemas.openxmlformats.org/officeDocument/2006/relationships/footer" Target="footer39.xml" /><Relationship Id="rId295" Type="http://schemas.openxmlformats.org/officeDocument/2006/relationships/hyperlink" Target="https://advance.lexis.com/api/document?collection=cases-ca&amp;id=urn:contentItem:5X5P-36Y1-F2MB-S0B6-00000-00&amp;context=" TargetMode="External" /><Relationship Id="rId296" Type="http://schemas.openxmlformats.org/officeDocument/2006/relationships/hyperlink" Target="https://advance.lexis.com/api/document?collection=cases-ca&amp;id=urn:contentItem:5F81-VJX1-JP9P-G4MS-00000-00&amp;context=" TargetMode="External" /><Relationship Id="rId297" Type="http://schemas.openxmlformats.org/officeDocument/2006/relationships/hyperlink" Target="https://advance.lexis.com/api/document?collection=cases-ca&amp;id=urn:contentItem:5RCS-RS91-JGBH-B0ST-00000-00&amp;context=" TargetMode="External" /><Relationship Id="rId298" Type="http://schemas.openxmlformats.org/officeDocument/2006/relationships/hyperlink" Target="https://advance.lexis.com/api/document?collection=cases-ca&amp;id=urn:contentItem:5F7T-S7K1-JX3N-B2MD-00000-00&amp;context=" TargetMode="External" /><Relationship Id="rId299" Type="http://schemas.openxmlformats.org/officeDocument/2006/relationships/hyperlink" Target="https://advance.lexis.com/api/document?collection=cases-ca&amp;id=urn:contentItem:5M4Y-47R1-JC5P-G440-00000-00&amp;context=" TargetMode="External" /><Relationship Id="rId3" Type="http://schemas.openxmlformats.org/officeDocument/2006/relationships/fontTable" Target="fontTable.xml" /><Relationship Id="rId30" Type="http://schemas.openxmlformats.org/officeDocument/2006/relationships/header" Target="header4.xml" /><Relationship Id="rId300" Type="http://schemas.openxmlformats.org/officeDocument/2006/relationships/hyperlink" Target="https://advance.lexis.com/api/document?collection=cases-ca&amp;id=urn:contentItem:5F7T-S7J1-FGCG-S094-00000-00&amp;context=" TargetMode="External" /><Relationship Id="rId301" Type="http://schemas.openxmlformats.org/officeDocument/2006/relationships/hyperlink" Target="https://advance.lexis.com/api/document?collection=cases-ca&amp;id=urn:contentItem:5F7T-S7G1-JN6B-S1CN-00000-00&amp;context=" TargetMode="External" /><Relationship Id="rId302" Type="http://schemas.openxmlformats.org/officeDocument/2006/relationships/hyperlink" Target="https://advance.lexis.com/api/document?collection=cases-ca&amp;id=urn:contentItem:5FXJ-PSX1-JNJT-B0JG-00000-00&amp;context=" TargetMode="External" /><Relationship Id="rId303" Type="http://schemas.openxmlformats.org/officeDocument/2006/relationships/hyperlink" Target="https://advance.lexis.com/api/document?collection=cases-ca&amp;id=urn:contentItem:5F7T-S751-JBM1-M2HC-00000-00&amp;context=" TargetMode="External" /><Relationship Id="rId304" Type="http://schemas.openxmlformats.org/officeDocument/2006/relationships/hyperlink" Target="https://advance.lexis.com/api/document?collection=cases-ca&amp;id=urn:contentItem:5F7T-S781-JC5P-G1G3-00000-00&amp;context=" TargetMode="External" /><Relationship Id="rId305" Type="http://schemas.openxmlformats.org/officeDocument/2006/relationships/hyperlink" Target="https://advance.lexis.com/api/document?collection=cases-ca&amp;id=urn:contentItem:5F7T-S7F1-FFFC-B22R-00000-00&amp;context=" TargetMode="External" /><Relationship Id="rId306" Type="http://schemas.openxmlformats.org/officeDocument/2006/relationships/hyperlink" Target="https://advance.lexis.com/api/document?collection=cases-ca&amp;id=urn:contentItem:5F7T-S7G1-F5KY-B1F3-00000-00&amp;context=" TargetMode="External" /><Relationship Id="rId307" Type="http://schemas.openxmlformats.org/officeDocument/2006/relationships/hyperlink" Target="https://advance.lexis.com/api/document?collection=cases-ca&amp;id=urn:contentItem:5F7T-S711-JC0G-630F-00000-00&amp;context=" TargetMode="External" /><Relationship Id="rId308" Type="http://schemas.openxmlformats.org/officeDocument/2006/relationships/hyperlink" Target="https://advance.lexis.com/api/document?collection=cases-ca&amp;id=urn:contentItem:5F7T-S751-JNS1-M1BB-00000-00&amp;context=" TargetMode="External" /><Relationship Id="rId309" Type="http://schemas.openxmlformats.org/officeDocument/2006/relationships/hyperlink" Target="https://advance.lexis.com/api/document?collection=cases-ca&amp;id=urn:contentItem:5F7T-S761-FGJR-22GB-00000-00&amp;context=" TargetMode="External" /><Relationship Id="rId31" Type="http://schemas.openxmlformats.org/officeDocument/2006/relationships/header" Target="header5.xml" /><Relationship Id="rId310" Type="http://schemas.openxmlformats.org/officeDocument/2006/relationships/hyperlink" Target="https://advance.lexis.com/api/document?collection=cases-ca&amp;id=urn:contentItem:5F7T-S7C1-JSRM-6181-00000-00&amp;context=" TargetMode="External" /><Relationship Id="rId311" Type="http://schemas.openxmlformats.org/officeDocument/2006/relationships/hyperlink" Target="https://advance.lexis.com/api/document?collection=cases-ca&amp;id=urn:contentItem:5F7T-S761-FGJR-22G8-00000-00&amp;context=" TargetMode="External" /><Relationship Id="rId312" Type="http://schemas.openxmlformats.org/officeDocument/2006/relationships/hyperlink" Target="https://advance.lexis.com/api/document?collection=cases-ca&amp;id=urn:contentItem:5XR8-3W01-JWJ0-G00C-00000-00&amp;context=" TargetMode="External" /><Relationship Id="rId313" Type="http://schemas.openxmlformats.org/officeDocument/2006/relationships/hyperlink" Target="https://advance.lexis.com/api/document?collection=cases-ca&amp;id=urn:contentItem:5F8T-N3V1-JTGH-B1DM-00000-00&amp;context=" TargetMode="External" /><Relationship Id="rId314" Type="http://schemas.openxmlformats.org/officeDocument/2006/relationships/hyperlink" Target="https://advance.lexis.com/api/document?collection=cases-ca&amp;id=urn:contentItem:5F8T-N3R1-JNS1-M12X-00000-00&amp;context=" TargetMode="External" /><Relationship Id="rId315" Type="http://schemas.openxmlformats.org/officeDocument/2006/relationships/hyperlink" Target="https://advance.lexis.com/api/document?collection=cases-ca&amp;id=urn:contentItem:5F8T-N3V1-JFKM-609F-00000-00&amp;context=" TargetMode="External" /><Relationship Id="rId316" Type="http://schemas.openxmlformats.org/officeDocument/2006/relationships/hyperlink" Target="https://advance.lexis.com/api/document?collection=cases-ca&amp;id=urn:contentItem:5F8T-N3P1-F7ND-G194-00000-00&amp;context=" TargetMode="External" /><Relationship Id="rId317" Type="http://schemas.openxmlformats.org/officeDocument/2006/relationships/hyperlink" Target="https://advance.lexis.com/api/document?collection=cases-ca&amp;id=urn:contentItem:5F81-YH41-JX8W-M062-00000-00&amp;context=" TargetMode="External" /><Relationship Id="rId318" Type="http://schemas.openxmlformats.org/officeDocument/2006/relationships/hyperlink" Target="https://advance.lexis.com/api/document?collection=cases-ca&amp;id=urn:contentItem:5F8T-N3R1-FBV7-B0G3-00000-00&amp;context=" TargetMode="External" /><Relationship Id="rId319" Type="http://schemas.openxmlformats.org/officeDocument/2006/relationships/hyperlink" Target="https://advance.lexis.com/api/document?collection=cases-ca&amp;id=urn:contentItem:5GC0-VTK1-FGRY-B41M-00000-00&amp;context=" TargetMode="External" /><Relationship Id="rId32" Type="http://schemas.openxmlformats.org/officeDocument/2006/relationships/footer" Target="footer4.xml" /><Relationship Id="rId320" Type="http://schemas.openxmlformats.org/officeDocument/2006/relationships/hyperlink" Target="https://advance.lexis.com/api/document?collection=cases-ca&amp;id=urn:contentItem:5F81-VJV1-JK4W-M52N-00000-00&amp;context=" TargetMode="External" /><Relationship Id="rId321" Type="http://schemas.openxmlformats.org/officeDocument/2006/relationships/hyperlink" Target="https://advance.lexis.com/api/document?collection=cases-ca&amp;id=urn:contentItem:5F81-VJW1-K0HK-221V-00000-00&amp;context=" TargetMode="External" /><Relationship Id="rId322" Type="http://schemas.openxmlformats.org/officeDocument/2006/relationships/hyperlink" Target="https://advance.lexis.com/api/document?collection=cases-ca&amp;id=urn:contentItem:5F81-VJX1-FCK4-G1J2-00000-00&amp;context=" TargetMode="External" /><Relationship Id="rId323" Type="http://schemas.openxmlformats.org/officeDocument/2006/relationships/hyperlink" Target="https://advance.lexis.com/api/document?collection=cases-ca&amp;id=urn:contentItem:5S2S-4CM1-FGY5-M42M-00000-00&amp;context=" TargetMode="External" /><Relationship Id="rId324" Type="http://schemas.openxmlformats.org/officeDocument/2006/relationships/hyperlink" Target="https://advance.lexis.com/api/document?collection=cases-ca&amp;id=urn:contentItem:5F7T-S7K1-JKHB-62YJ-00000-00&amp;context=" TargetMode="External" /><Relationship Id="rId325" Type="http://schemas.openxmlformats.org/officeDocument/2006/relationships/hyperlink" Target="https://advance.lexis.com/api/document?collection=cases-ca&amp;id=urn:contentItem:5F7T-S7J1-DXWW-250N-00000-00&amp;context=" TargetMode="External" /><Relationship Id="rId326" Type="http://schemas.openxmlformats.org/officeDocument/2006/relationships/hyperlink" Target="https://advance.lexis.com/api/document?collection=cases-ca&amp;id=urn:contentItem:5F7T-S741-F8D9-M1N3-00000-00&amp;context=" TargetMode="External" /><Relationship Id="rId327" Type="http://schemas.openxmlformats.org/officeDocument/2006/relationships/hyperlink" Target="https://advance.lexis.com/api/document?collection=cases-ca&amp;id=urn:contentItem:5F8T-N3T1-JJSF-23NF-00000-00&amp;context=" TargetMode="External" /><Relationship Id="rId328" Type="http://schemas.openxmlformats.org/officeDocument/2006/relationships/hyperlink" Target="https://advance.lexis.com/api/document?collection=cases-ca&amp;id=urn:contentItem:5F8P-SFV1-JJYN-B557-00000-00&amp;context=" TargetMode="External" /><Relationship Id="rId329" Type="http://schemas.openxmlformats.org/officeDocument/2006/relationships/hyperlink" Target="https://advance.lexis.com/api/document?collection=cases-ca&amp;id=urn:contentItem:5F7T-S7J1-JYYX-6266-00000-00&amp;context=" TargetMode="External" /><Relationship Id="rId33" Type="http://schemas.openxmlformats.org/officeDocument/2006/relationships/footer" Target="footer5.xml" /><Relationship Id="rId330" Type="http://schemas.openxmlformats.org/officeDocument/2006/relationships/hyperlink" Target="https://advance.lexis.com/api/document?collection=cases-ca&amp;id=urn:contentItem:5F7T-S7K1-DY33-B198-00000-00&amp;context=" TargetMode="External" /><Relationship Id="rId331" Type="http://schemas.openxmlformats.org/officeDocument/2006/relationships/hyperlink" Target="https://advance.lexis.com/api/document?collection=cases-ca&amp;id=urn:contentItem:5F7T-S721-JSC5-M3F1-00000-00&amp;context=" TargetMode="External" /><Relationship Id="rId332" Type="http://schemas.openxmlformats.org/officeDocument/2006/relationships/hyperlink" Target="https://advance.lexis.com/api/document?collection=cases-ca&amp;id=urn:contentItem:5J76-ND21-JPGX-S4M3-00000-00&amp;context=" TargetMode="External" /><Relationship Id="rId333" Type="http://schemas.openxmlformats.org/officeDocument/2006/relationships/hyperlink" Target="https://advance.lexis.com/api/document?collection=cases-ca&amp;id=urn:contentItem:5F7T-S7K1-JKHB-630B-00000-00&amp;context=" TargetMode="External" /><Relationship Id="rId334" Type="http://schemas.openxmlformats.org/officeDocument/2006/relationships/hyperlink" Target="https://advance.lexis.com/api/document?collection=cases-ca&amp;id=urn:contentItem:5F7T-S7N1-JC5P-G21R-00000-00&amp;context=" TargetMode="External" /><Relationship Id="rId335" Type="http://schemas.openxmlformats.org/officeDocument/2006/relationships/hyperlink" Target="https://advance.lexis.com/api/document?collection=cases-ca&amp;id=urn:contentItem:5F7T-S7F1-JK4W-M1KW-00000-00&amp;context=" TargetMode="External" /><Relationship Id="rId336" Type="http://schemas.openxmlformats.org/officeDocument/2006/relationships/hyperlink" Target="https://advance.lexis.com/api/document?collection=cases-ca&amp;id=urn:contentItem:5F7T-S7H1-F016-S429-00000-00&amp;context=" TargetMode="External" /><Relationship Id="rId337" Type="http://schemas.openxmlformats.org/officeDocument/2006/relationships/hyperlink" Target="https://advance.lexis.com/api/document?collection=cases-ca&amp;id=urn:contentItem:5F16-93C1-F2MB-S15G-00000-00&amp;context=" TargetMode="External" /><Relationship Id="rId338" Type="http://schemas.openxmlformats.org/officeDocument/2006/relationships/hyperlink" Target="https://advance.lexis.com/api/document?collection=cases-ca&amp;id=urn:contentItem:5F7T-S7D1-JS5Y-B28G-00000-00&amp;context=" TargetMode="External" /><Relationship Id="rId339" Type="http://schemas.openxmlformats.org/officeDocument/2006/relationships/hyperlink" Target="https://advance.lexis.com/api/document?collection=cases-ca&amp;id=urn:contentItem:5R9V-XFH1-FD4T-B18W-00000-00&amp;context=" TargetMode="External" /><Relationship Id="rId34" Type="http://schemas.openxmlformats.org/officeDocument/2006/relationships/header" Target="header6.xml" /><Relationship Id="rId340" Type="http://schemas.openxmlformats.org/officeDocument/2006/relationships/hyperlink" Target="https://advance.lexis.com/api/document?collection=cases-ca&amp;id=urn:contentItem:5SY2-T191-FK0M-S316-00000-00&amp;context=" TargetMode="External" /><Relationship Id="rId341" Type="http://schemas.openxmlformats.org/officeDocument/2006/relationships/hyperlink" Target="https://advance.lexis.com/api/document?collection=cases-ca&amp;id=urn:contentItem:5F8T-N3V1-JF75-M3SJ-00000-00&amp;context=" TargetMode="External" /><Relationship Id="rId342" Type="http://schemas.openxmlformats.org/officeDocument/2006/relationships/hyperlink" Target="https://advance.lexis.com/api/document?collection=cases-ca&amp;id=urn:contentItem:5F7T-S721-F06F-23DS-00000-00&amp;context=" TargetMode="External" /><Relationship Id="rId343" Type="http://schemas.openxmlformats.org/officeDocument/2006/relationships/hyperlink" Target="https://advance.lexis.com/api/document?collection=cases-ca&amp;id=urn:contentItem:5F7T-S7K1-JSJC-X0PR-00000-00&amp;context=" TargetMode="External" /><Relationship Id="rId344" Type="http://schemas.openxmlformats.org/officeDocument/2006/relationships/hyperlink" Target="https://advance.lexis.com/api/document?collection=cases-ca&amp;id=urn:contentItem:5F8T-N3T1-JJSF-23CM-00000-00&amp;context=" TargetMode="External" /><Relationship Id="rId345" Type="http://schemas.openxmlformats.org/officeDocument/2006/relationships/hyperlink" Target="https://advance.lexis.com/api/document?collection=cases-ca&amp;id=urn:contentItem:5F8P-SGB1-FBV7-B4BS-00000-00&amp;context=" TargetMode="External" /><Relationship Id="rId346" Type="http://schemas.openxmlformats.org/officeDocument/2006/relationships/hyperlink" Target="https://advance.lexis.com/api/document?collection=cases-ca&amp;id=urn:contentItem:5F8P-SD81-F1H1-24W3-00000-00&amp;context=" TargetMode="External" /><Relationship Id="rId347" Type="http://schemas.openxmlformats.org/officeDocument/2006/relationships/hyperlink" Target="https://advance.lexis.com/api/document?collection=cases-ca&amp;id=urn:contentItem:5R1B-2SG1-F5DR-24MT-00000-00&amp;context=" TargetMode="External" /><Relationship Id="rId348" Type="http://schemas.openxmlformats.org/officeDocument/2006/relationships/hyperlink" Target="https://advance.lexis.com/api/document?collection=cases-ca&amp;id=urn:contentItem:5F8P-SDR1-F1H1-2221-00000-00&amp;context=" TargetMode="External" /><Relationship Id="rId349" Type="http://schemas.openxmlformats.org/officeDocument/2006/relationships/hyperlink" Target="https://advance.lexis.com/api/document?collection=cases-ca&amp;id=urn:contentItem:5F7H-KWB1-DYMS-60S3-00000-00&amp;context=" TargetMode="External" /><Relationship Id="rId35" Type="http://schemas.openxmlformats.org/officeDocument/2006/relationships/footer" Target="footer6.xml" /><Relationship Id="rId350" Type="http://schemas.openxmlformats.org/officeDocument/2006/relationships/hyperlink" Target="https://advance.lexis.com/api/document?collection=cases-ca&amp;id=urn:contentItem:5HDC-MS71-FFFC-B1D7-00000-00&amp;context=" TargetMode="External" /><Relationship Id="rId351" Type="http://schemas.openxmlformats.org/officeDocument/2006/relationships/hyperlink" Target="https://advance.lexis.com/api/document?collection=cases-ca&amp;id=urn:contentItem:5F81-VJX1-JX3N-B1J2-00000-00&amp;context=" TargetMode="External" /><Relationship Id="rId352" Type="http://schemas.openxmlformats.org/officeDocument/2006/relationships/hyperlink" Target="https://advance.lexis.com/api/document?collection=cases-ca&amp;id=urn:contentItem:5F8P-SG91-F016-S111-00000-00&amp;context=" TargetMode="External" /><Relationship Id="rId353" Type="http://schemas.openxmlformats.org/officeDocument/2006/relationships/hyperlink" Target="https://advance.lexis.com/api/document?collection=cases-ca&amp;id=urn:contentItem:5F8P-SD11-FJDY-X55Y-00000-00&amp;context=" TargetMode="External" /><Relationship Id="rId354" Type="http://schemas.openxmlformats.org/officeDocument/2006/relationships/hyperlink" Target="https://advance.lexis.com/api/document?collection=cases-ca&amp;id=urn:contentItem:5F81-VJX1-JKPJ-G1NT-00000-00&amp;context=" TargetMode="External" /><Relationship Id="rId355" Type="http://schemas.openxmlformats.org/officeDocument/2006/relationships/hyperlink" Target="https://advance.lexis.com/api/document?collection=cases-ca&amp;id=urn:contentItem:5F8P-SGB1-FBV7-B43Y-00000-00&amp;context=" TargetMode="External" /><Relationship Id="rId356" Type="http://schemas.openxmlformats.org/officeDocument/2006/relationships/hyperlink" Target="https://advance.lexis.com/api/document?collection=cases-ca&amp;id=urn:contentItem:5F7T-S7M1-JNCK-22TX-00000-00&amp;context=" TargetMode="External" /><Relationship Id="rId357" Type="http://schemas.openxmlformats.org/officeDocument/2006/relationships/hyperlink" Target="https://advance.lexis.com/api/document?collection=cases-ca&amp;id=urn:contentItem:5F81-VJT1-JK4W-M48Y-00000-00&amp;context=" TargetMode="External" /><Relationship Id="rId358" Type="http://schemas.openxmlformats.org/officeDocument/2006/relationships/hyperlink" Target="https://advance.lexis.com/api/document?collection=cases-ca&amp;id=urn:contentItem:5F7T-S6Y1-FJDY-X241-00000-00&amp;context=" TargetMode="External" /><Relationship Id="rId359" Type="http://schemas.openxmlformats.org/officeDocument/2006/relationships/hyperlink" Target="https://advance.lexis.com/api/document?collection=cases-ca&amp;id=urn:contentItem:5F7T-S7H1-JS5Y-B333-00000-00&amp;context=" TargetMode="External" /><Relationship Id="rId36" Type="http://schemas.openxmlformats.org/officeDocument/2006/relationships/hyperlink" Target="https://advance.lexis.com/api/document?collection=cases-ca&amp;id=urn:contentItem:5F7T-S7F1-JBT7-X31H-00000-00&amp;context=" TargetMode="External" /><Relationship Id="rId360" Type="http://schemas.openxmlformats.org/officeDocument/2006/relationships/hyperlink" Target="https://advance.lexis.com/api/document?collection=cases-ca&amp;id=urn:contentItem:5F7T-S7D1-JS5Y-B2M0-00000-00&amp;context=" TargetMode="External" /><Relationship Id="rId361" Type="http://schemas.openxmlformats.org/officeDocument/2006/relationships/hyperlink" Target="https://advance.lexis.com/api/document?collection=cases-ca&amp;id=urn:contentItem:5FX0-MRR1-JSJC-X155-00000-00&amp;context=" TargetMode="External" /><Relationship Id="rId362" Type="http://schemas.openxmlformats.org/officeDocument/2006/relationships/hyperlink" Target="https://advance.lexis.com/api/document?collection=cases-ca&amp;id=urn:contentItem:5NP1-5SB1-JX8W-M2B6-00000-00&amp;context=" TargetMode="External" /><Relationship Id="rId363" Type="http://schemas.openxmlformats.org/officeDocument/2006/relationships/hyperlink" Target="https://advance.lexis.com/api/document?collection=cases-ca&amp;id=urn:contentItem:5T22-BD41-FFFC-B100-00000-00&amp;context=" TargetMode="External" /><Relationship Id="rId364" Type="http://schemas.openxmlformats.org/officeDocument/2006/relationships/hyperlink" Target="https://advance.lexis.com/api/document?collection=cases-ca&amp;id=urn:contentItem:5F8T-N3V1-JTGH-B175-00000-00&amp;context=" TargetMode="External" /><Relationship Id="rId365" Type="http://schemas.openxmlformats.org/officeDocument/2006/relationships/header" Target="header40.xml" /><Relationship Id="rId366" Type="http://schemas.openxmlformats.org/officeDocument/2006/relationships/header" Target="header41.xml" /><Relationship Id="rId367" Type="http://schemas.openxmlformats.org/officeDocument/2006/relationships/footer" Target="footer40.xml" /><Relationship Id="rId368" Type="http://schemas.openxmlformats.org/officeDocument/2006/relationships/footer" Target="footer41.xml" /><Relationship Id="rId369" Type="http://schemas.openxmlformats.org/officeDocument/2006/relationships/header" Target="header42.xml" /><Relationship Id="rId37" Type="http://schemas.openxmlformats.org/officeDocument/2006/relationships/hyperlink" Target="https://advance.lexis.com/api/document?collection=cases-ca&amp;id=urn:contentItem:5F7T-S7D1-JXG3-X0PB-00000-00&amp;context=" TargetMode="External" /><Relationship Id="rId370" Type="http://schemas.openxmlformats.org/officeDocument/2006/relationships/footer" Target="footer42.xml" /><Relationship Id="rId371" Type="http://schemas.openxmlformats.org/officeDocument/2006/relationships/hyperlink" Target="https://advance.lexis.com/api/document?collection=cases-ca&amp;id=urn:contentItem:5GCC-XVB1-JSXV-G07X-00000-00&amp;context=" TargetMode="External" /><Relationship Id="rId372" Type="http://schemas.openxmlformats.org/officeDocument/2006/relationships/hyperlink" Target="https://advance.lexis.com/api/document?collection=cases-ca&amp;id=urn:contentItem:5K6X-WKJ1-JSC5-M160-00000-00&amp;context=" TargetMode="External" /><Relationship Id="rId373" Type="http://schemas.openxmlformats.org/officeDocument/2006/relationships/hyperlink" Target="https://advance.lexis.com/api/document?collection=cases-ca&amp;id=urn:contentItem:5F7T-S7H1-F016-S3NR-00000-00&amp;context=" TargetMode="External" /><Relationship Id="rId374" Type="http://schemas.openxmlformats.org/officeDocument/2006/relationships/hyperlink" Target="https://advance.lexis.com/api/document?collection=cases-ca&amp;id=urn:contentItem:5F8T-N3T1-JJSF-23B2-00000-00&amp;context=" TargetMode="External" /><Relationship Id="rId375" Type="http://schemas.openxmlformats.org/officeDocument/2006/relationships/hyperlink" Target="https://advance.lexis.com/api/document?collection=cases-ca&amp;id=urn:contentItem:5F8T-N3V1-JF75-M3JV-00000-00&amp;context=" TargetMode="External" /><Relationship Id="rId376" Type="http://schemas.openxmlformats.org/officeDocument/2006/relationships/hyperlink" Target="https://advance.lexis.com/api/document?collection=cases-ca&amp;id=urn:contentItem:5F7H-KW51-JX8W-M1W1-00000-00&amp;context=" TargetMode="External" /><Relationship Id="rId377" Type="http://schemas.openxmlformats.org/officeDocument/2006/relationships/hyperlink" Target="https://advance.lexis.com/api/document?collection=cases-ca&amp;id=urn:contentItem:5F7T-S6X1-JXNB-6359-00000-00&amp;context=" TargetMode="External" /><Relationship Id="rId378" Type="http://schemas.openxmlformats.org/officeDocument/2006/relationships/hyperlink" Target="https://advance.lexis.com/api/document?collection=cases-ca&amp;id=urn:contentItem:5F81-VJX1-F5T5-M3YF-00000-00&amp;context=" TargetMode="External" /><Relationship Id="rId379" Type="http://schemas.openxmlformats.org/officeDocument/2006/relationships/hyperlink" Target="https://advance.lexis.com/api/document?collection=cases-ca&amp;id=urn:contentItem:5F8T-N3V1-JTGH-B13C-00000-00&amp;context=" TargetMode="External" /><Relationship Id="rId38" Type="http://schemas.openxmlformats.org/officeDocument/2006/relationships/hyperlink" Target="https://advance.lexis.com/api/document?collection=cases-ca&amp;id=urn:contentItem:5F7T-S771-JN14-G2DF-00000-00&amp;context=" TargetMode="External" /><Relationship Id="rId380" Type="http://schemas.openxmlformats.org/officeDocument/2006/relationships/hyperlink" Target="https://advance.lexis.com/api/document?collection=cases-ca&amp;id=urn:contentItem:5F8T-N3V1-FC1F-M44H-00000-00&amp;context=" TargetMode="External" /><Relationship Id="rId381" Type="http://schemas.openxmlformats.org/officeDocument/2006/relationships/hyperlink" Target="https://advance.lexis.com/api/document?collection=cases-ca&amp;id=urn:contentItem:5F8T-N3V1-JF75-M3JW-00000-00&amp;context=" TargetMode="External" /><Relationship Id="rId382" Type="http://schemas.openxmlformats.org/officeDocument/2006/relationships/hyperlink" Target="https://advance.lexis.com/api/document?collection=cases-ca&amp;id=urn:contentItem:5F7T-S781-JSC5-M3YN-00000-00&amp;context=" TargetMode="External" /><Relationship Id="rId383" Type="http://schemas.openxmlformats.org/officeDocument/2006/relationships/hyperlink" Target="https://advance.lexis.com/api/document?collection=cases-ca&amp;id=urn:contentItem:5F8W-M461-JJ1H-X298-00000-00&amp;context=" TargetMode="External" /><Relationship Id="rId384" Type="http://schemas.openxmlformats.org/officeDocument/2006/relationships/hyperlink" Target="https://advance.lexis.com/api/document?collection=cases-ca&amp;id=urn:contentItem:5F7T-S771-JJD0-G1KD-00000-00&amp;context=" TargetMode="External" /><Relationship Id="rId385" Type="http://schemas.openxmlformats.org/officeDocument/2006/relationships/hyperlink" Target="https://advance.lexis.com/api/document?collection=cases-ca&amp;id=urn:contentItem:5F8P-SD61-JWJ0-G208-00000-00&amp;context=" TargetMode="External" /><Relationship Id="rId386" Type="http://schemas.openxmlformats.org/officeDocument/2006/relationships/hyperlink" Target="https://advance.lexis.com/api/document?collection=cases-ca&amp;id=urn:contentItem:5F82-1SD1-FCK4-G30C-00000-00&amp;context=" TargetMode="External" /><Relationship Id="rId387" Type="http://schemas.openxmlformats.org/officeDocument/2006/relationships/hyperlink" Target="https://advance.lexis.com/api/document?collection=cases-ca&amp;id=urn:contentItem:5F81-VJX1-JKPJ-G1D0-00000-00&amp;context=" TargetMode="External" /><Relationship Id="rId388" Type="http://schemas.openxmlformats.org/officeDocument/2006/relationships/hyperlink" Target="https://advance.lexis.com/api/document?collection=cases-ca&amp;id=urn:contentItem:5F82-1SF1-JXG3-X225-00000-00&amp;context=" TargetMode="External" /><Relationship Id="rId389" Type="http://schemas.openxmlformats.org/officeDocument/2006/relationships/hyperlink" Target="https://advance.lexis.com/api/document?collection=cases-ca&amp;id=urn:contentItem:5F7H-KW91-F57G-S089-00000-00&amp;context=" TargetMode="External" /><Relationship Id="rId39" Type="http://schemas.openxmlformats.org/officeDocument/2006/relationships/hyperlink" Target="https://advance.lexis.com/api/document?collection=cases-ca&amp;id=urn:contentItem:5F7T-S6T1-F2F4-G1JJ-00000-00&amp;context=" TargetMode="External" /><Relationship Id="rId390" Type="http://schemas.openxmlformats.org/officeDocument/2006/relationships/hyperlink" Target="https://advance.lexis.com/api/document?collection=cases-ca&amp;id=urn:contentItem:5F7H-KW91-F57G-S03S-00000-00&amp;context=" TargetMode="External" /><Relationship Id="rId391" Type="http://schemas.openxmlformats.org/officeDocument/2006/relationships/hyperlink" Target="https://advance.lexis.com/api/document?collection=cases-ca&amp;id=urn:contentItem:5F8P-SD31-JSRM-62VR-00000-00&amp;context=" TargetMode="External" /><Relationship Id="rId392" Type="http://schemas.openxmlformats.org/officeDocument/2006/relationships/hyperlink" Target="https://advance.lexis.com/api/document?collection=cases-ca&amp;id=urn:contentItem:5F82-1SD1-JFKM-608H-00000-00&amp;context=" TargetMode="External" /><Relationship Id="rId393" Type="http://schemas.openxmlformats.org/officeDocument/2006/relationships/hyperlink" Target="https://advance.lexis.com/api/document?collection=cases-ca&amp;id=urn:contentItem:5F8P-SD91-F27X-618F-00000-00&amp;context=" TargetMode="External" /><Relationship Id="rId394" Type="http://schemas.openxmlformats.org/officeDocument/2006/relationships/hyperlink" Target="https://advance.lexis.com/api/document?collection=cases-ca&amp;id=urn:contentItem:5F8P-SD31-F2MB-S4BF-00000-00&amp;context=" TargetMode="External" /><Relationship Id="rId395" Type="http://schemas.openxmlformats.org/officeDocument/2006/relationships/hyperlink" Target="https://advance.lexis.com/api/document?collection=cases-ca&amp;id=urn:contentItem:5F8W-M461-JJ1H-X222-00000-00&amp;context=" TargetMode="External" /><Relationship Id="rId396" Type="http://schemas.openxmlformats.org/officeDocument/2006/relationships/hyperlink" Target="https://advance.lexis.com/api/document?collection=cases-ca&amp;id=urn:contentItem:5F8W-M461-K0HK-238H-00000-00&amp;context=" TargetMode="External" /><Relationship Id="rId397" Type="http://schemas.openxmlformats.org/officeDocument/2006/relationships/hyperlink" Target="https://advance.lexis.com/api/document?collection=cases-ca&amp;id=urn:contentItem:5F7T-S7F1-JFKM-61FG-00000-00&amp;context=" TargetMode="External" /><Relationship Id="rId398" Type="http://schemas.openxmlformats.org/officeDocument/2006/relationships/hyperlink" Target="https://advance.lexis.com/api/document?collection=cases-ca&amp;id=urn:contentItem:5FBJ-YXY1-FCSB-S26P-00000-00&amp;context=" TargetMode="External" /><Relationship Id="rId399" Type="http://schemas.openxmlformats.org/officeDocument/2006/relationships/hyperlink" Target="https://advance.lexis.com/api/document?collection=cases-ca&amp;id=urn:contentItem:5F7T-S711-F4W2-61NY-00000-00&amp;context=" TargetMode="External" /><Relationship Id="rId4" Type="http://schemas.openxmlformats.org/officeDocument/2006/relationships/header" Target="header1.xml" /><Relationship Id="rId40" Type="http://schemas.openxmlformats.org/officeDocument/2006/relationships/hyperlink" Target="https://advance.lexis.com/api/document?collection=cases-ca&amp;id=urn:contentItem:5F7T-S7D1-F7ND-G0FM-00000-00&amp;context=" TargetMode="External" /><Relationship Id="rId400" Type="http://schemas.openxmlformats.org/officeDocument/2006/relationships/hyperlink" Target="https://advance.lexis.com/api/document?collection=cases-ca&amp;id=urn:contentItem:5F7T-S7F1-JFKM-61KX-00000-00&amp;context=" TargetMode="External" /><Relationship Id="rId401" Type="http://schemas.openxmlformats.org/officeDocument/2006/relationships/hyperlink" Target="https://advance.lexis.com/api/document?collection=legislation-ca&amp;id=urn:contentItem:5F41-1FJ1-F27X-60WB-00000-00&amp;context=" TargetMode="External" /><Relationship Id="rId402" Type="http://schemas.openxmlformats.org/officeDocument/2006/relationships/hyperlink" Target="https://advance.lexis.com/api/document?collection=cases-ca&amp;id=urn:contentItem:5F7T-S6T1-DY89-M2S4-00000-00&amp;context=" TargetMode="External" /><Relationship Id="rId403" Type="http://schemas.openxmlformats.org/officeDocument/2006/relationships/header" Target="header43.xml" /><Relationship Id="rId404" Type="http://schemas.openxmlformats.org/officeDocument/2006/relationships/header" Target="header44.xml" /><Relationship Id="rId405" Type="http://schemas.openxmlformats.org/officeDocument/2006/relationships/footer" Target="footer43.xml" /><Relationship Id="rId406" Type="http://schemas.openxmlformats.org/officeDocument/2006/relationships/footer" Target="footer44.xml" /><Relationship Id="rId407" Type="http://schemas.openxmlformats.org/officeDocument/2006/relationships/header" Target="header45.xml" /><Relationship Id="rId408" Type="http://schemas.openxmlformats.org/officeDocument/2006/relationships/footer" Target="footer45.xml" /><Relationship Id="rId409" Type="http://schemas.openxmlformats.org/officeDocument/2006/relationships/hyperlink" Target="https://advance.lexis.com/api/document?collection=cases-ca&amp;id=urn:contentItem:5P09-TM51-F2F4-G4C2-00000-00&amp;context=" TargetMode="External" /><Relationship Id="rId41" Type="http://schemas.openxmlformats.org/officeDocument/2006/relationships/header" Target="header7.xml" /><Relationship Id="rId410" Type="http://schemas.openxmlformats.org/officeDocument/2006/relationships/hyperlink" Target="https://advance.lexis.com/api/document?collection=cases-ca&amp;id=urn:contentItem:5F7T-S7K1-JNY7-X49Y-00000-00&amp;context=" TargetMode="External" /><Relationship Id="rId411" Type="http://schemas.openxmlformats.org/officeDocument/2006/relationships/hyperlink" Target="https://advance.lexis.com/api/document?collection=cases-ca&amp;id=urn:contentItem:5F7T-S7M1-JPP5-22M6-00000-00&amp;context=" TargetMode="External" /><Relationship Id="rId412" Type="http://schemas.openxmlformats.org/officeDocument/2006/relationships/hyperlink" Target="https://advance.lexis.com/api/document?collection=cases-ca&amp;id=urn:contentItem:5F7T-S6T1-JJ1H-X22K-00000-00&amp;context=" TargetMode="External" /><Relationship Id="rId413" Type="http://schemas.openxmlformats.org/officeDocument/2006/relationships/hyperlink" Target="https://advance.lexis.com/api/document?collection=cases-ca&amp;id=urn:contentItem:5F7T-S7C1-JSRM-6165-00000-00&amp;context=" TargetMode="External" /><Relationship Id="rId414" Type="http://schemas.openxmlformats.org/officeDocument/2006/relationships/hyperlink" Target="https://advance.lexis.com/api/document?collection=cases-ca&amp;id=urn:contentItem:5F7T-S7J1-DXWW-2560-00000-00&amp;context=" TargetMode="External" /><Relationship Id="rId415" Type="http://schemas.openxmlformats.org/officeDocument/2006/relationships/hyperlink" Target="https://advance.lexis.com/api/document?collection=cases-ca&amp;id=urn:contentItem:5F8T-N3V1-JFKM-609G-00000-00&amp;context=" TargetMode="External" /><Relationship Id="rId416" Type="http://schemas.openxmlformats.org/officeDocument/2006/relationships/hyperlink" Target="https://advance.lexis.com/api/document?collection=cases-ca&amp;id=urn:contentItem:5F7T-S7D1-FCSB-S2RB-00000-00&amp;context=" TargetMode="External" /><Relationship Id="rId417" Type="http://schemas.openxmlformats.org/officeDocument/2006/relationships/hyperlink" Target="https://advance.lexis.com/api/document?collection=cases-ca&amp;id=urn:contentItem:5F7T-S701-F8KH-X18S-00000-00&amp;context=" TargetMode="External" /><Relationship Id="rId418" Type="http://schemas.openxmlformats.org/officeDocument/2006/relationships/hyperlink" Target="https://advance.lexis.com/api/document?collection=cases-ca&amp;id=urn:contentItem:5F8T-N3V1-JFKM-6045-00000-00&amp;context=" TargetMode="External" /><Relationship Id="rId419" Type="http://schemas.openxmlformats.org/officeDocument/2006/relationships/hyperlink" Target="https://advance.lexis.com/api/document?collection=cases-ca&amp;id=urn:contentItem:5F7T-S7C1-JS0R-224W-00000-00&amp;context=" TargetMode="External" /><Relationship Id="rId42" Type="http://schemas.openxmlformats.org/officeDocument/2006/relationships/header" Target="header8.xml" /><Relationship Id="rId420" Type="http://schemas.openxmlformats.org/officeDocument/2006/relationships/hyperlink" Target="https://advance.lexis.com/api/document?collection=cases-ca&amp;id=urn:contentItem:5F7T-S7M1-JCRC-B1H6-00000-00&amp;context=" TargetMode="External" /><Relationship Id="rId421" Type="http://schemas.openxmlformats.org/officeDocument/2006/relationships/hyperlink" Target="https://advance.lexis.com/api/document?collection=cases-ca&amp;id=urn:contentItem:5GCC-XVB1-FK0M-S4VD-00000-00&amp;context=" TargetMode="External" /><Relationship Id="rId422" Type="http://schemas.openxmlformats.org/officeDocument/2006/relationships/hyperlink" Target="https://advance.lexis.com/api/document?collection=cases-ca&amp;id=urn:contentItem:5F7T-S6W1-F4GK-M1CM-00000-00&amp;context=" TargetMode="External" /><Relationship Id="rId423" Type="http://schemas.openxmlformats.org/officeDocument/2006/relationships/hyperlink" Target="https://advance.lexis.com/api/document?collection=cases-ca&amp;id=urn:contentItem:5F7T-S7N1-DXWW-20HJ-00000-00&amp;context=" TargetMode="External" /><Relationship Id="rId424" Type="http://schemas.openxmlformats.org/officeDocument/2006/relationships/header" Target="header46.xml" /><Relationship Id="rId425" Type="http://schemas.openxmlformats.org/officeDocument/2006/relationships/header" Target="header47.xml" /><Relationship Id="rId426" Type="http://schemas.openxmlformats.org/officeDocument/2006/relationships/footer" Target="footer46.xml" /><Relationship Id="rId427" Type="http://schemas.openxmlformats.org/officeDocument/2006/relationships/footer" Target="footer47.xml" /><Relationship Id="rId428" Type="http://schemas.openxmlformats.org/officeDocument/2006/relationships/header" Target="header48.xml" /><Relationship Id="rId429" Type="http://schemas.openxmlformats.org/officeDocument/2006/relationships/footer" Target="footer48.xml" /><Relationship Id="rId43" Type="http://schemas.openxmlformats.org/officeDocument/2006/relationships/footer" Target="footer7.xml" /><Relationship Id="rId430" Type="http://schemas.openxmlformats.org/officeDocument/2006/relationships/hyperlink" Target="https://advance.lexis.com/api/document?collection=cases-ca&amp;id=urn:contentItem:5F7T-S7C1-JSRM-60R3-00000-00&amp;context=" TargetMode="External" /><Relationship Id="rId431" Type="http://schemas.openxmlformats.org/officeDocument/2006/relationships/header" Target="header49.xml" /><Relationship Id="rId432" Type="http://schemas.openxmlformats.org/officeDocument/2006/relationships/header" Target="header50.xml" /><Relationship Id="rId433" Type="http://schemas.openxmlformats.org/officeDocument/2006/relationships/footer" Target="footer49.xml" /><Relationship Id="rId434" Type="http://schemas.openxmlformats.org/officeDocument/2006/relationships/footer" Target="footer50.xml" /><Relationship Id="rId435" Type="http://schemas.openxmlformats.org/officeDocument/2006/relationships/header" Target="header51.xml" /><Relationship Id="rId436" Type="http://schemas.openxmlformats.org/officeDocument/2006/relationships/footer" Target="footer51.xml" /><Relationship Id="rId437" Type="http://schemas.openxmlformats.org/officeDocument/2006/relationships/hyperlink" Target="https://advance.lexis.com/api/document?collection=cases-ca&amp;id=urn:contentItem:5F7T-S7N1-JJ1H-X30J-00000-00&amp;context=" TargetMode="External" /><Relationship Id="rId438" Type="http://schemas.openxmlformats.org/officeDocument/2006/relationships/hyperlink" Target="https://advance.lexis.com/api/document?collection=cases-ca&amp;id=urn:contentItem:5K6Y-81N1-JN14-G22F-00000-00&amp;context=" TargetMode="External" /><Relationship Id="rId439" Type="http://schemas.openxmlformats.org/officeDocument/2006/relationships/hyperlink" Target="https://advance.lexis.com/api/document?collection=cases-ca&amp;id=urn:contentItem:5F7T-S7H1-JFKM-629T-00000-00&amp;context=" TargetMode="External" /><Relationship Id="rId44" Type="http://schemas.openxmlformats.org/officeDocument/2006/relationships/footer" Target="footer8.xml" /><Relationship Id="rId440" Type="http://schemas.openxmlformats.org/officeDocument/2006/relationships/hyperlink" Target="https://advance.lexis.com/api/document?collection=cases-ca&amp;id=urn:contentItem:5F7T-S6P1-JXNB-61MM-00000-00&amp;context=" TargetMode="External" /><Relationship Id="rId441" Type="http://schemas.openxmlformats.org/officeDocument/2006/relationships/hyperlink" Target="https://advance.lexis.com/api/document?collection=cases-ca&amp;id=urn:contentItem:5F8T-N3V1-JTGH-B1DH-00000-00&amp;context=" TargetMode="External" /><Relationship Id="rId442" Type="http://schemas.openxmlformats.org/officeDocument/2006/relationships/hyperlink" Target="https://advance.lexis.com/api/document?collection=cases-ca&amp;id=urn:contentItem:5F8T-N3T1-JJSF-23DG-00000-00&amp;context=" TargetMode="External" /><Relationship Id="rId443" Type="http://schemas.openxmlformats.org/officeDocument/2006/relationships/hyperlink" Target="https://advance.lexis.com/api/document?collection=cases-ca&amp;id=urn:contentItem:5F7T-S7H1-K054-G2BY-00000-00&amp;context=" TargetMode="External" /><Relationship Id="rId444" Type="http://schemas.openxmlformats.org/officeDocument/2006/relationships/hyperlink" Target="https://advance.lexis.com/api/document?collection=cases-ca&amp;id=urn:contentItem:5F8T-N3T1-JFKM-652P-00000-00&amp;context=" TargetMode="External" /><Relationship Id="rId445" Type="http://schemas.openxmlformats.org/officeDocument/2006/relationships/hyperlink" Target="https://advance.lexis.com/api/document?collection=cases-ca&amp;id=urn:contentItem:5F8P-SDN1-FC6N-X4XJ-00000-00&amp;context=" TargetMode="External" /><Relationship Id="rId446" Type="http://schemas.openxmlformats.org/officeDocument/2006/relationships/header" Target="header52.xml" /><Relationship Id="rId447" Type="http://schemas.openxmlformats.org/officeDocument/2006/relationships/header" Target="header53.xml" /><Relationship Id="rId448" Type="http://schemas.openxmlformats.org/officeDocument/2006/relationships/footer" Target="footer52.xml" /><Relationship Id="rId449" Type="http://schemas.openxmlformats.org/officeDocument/2006/relationships/footer" Target="footer53.xml" /><Relationship Id="rId45" Type="http://schemas.openxmlformats.org/officeDocument/2006/relationships/header" Target="header9.xml" /><Relationship Id="rId450" Type="http://schemas.openxmlformats.org/officeDocument/2006/relationships/header" Target="header54.xml" /><Relationship Id="rId451" Type="http://schemas.openxmlformats.org/officeDocument/2006/relationships/footer" Target="footer54.xml" /><Relationship Id="rId452" Type="http://schemas.openxmlformats.org/officeDocument/2006/relationships/hyperlink" Target="https://advance.lexis.com/api/document?collection=cases-ca&amp;id=urn:contentItem:5F7T-S7C1-F7VM-S3CH-00000-00&amp;context=" TargetMode="External" /><Relationship Id="rId453" Type="http://schemas.openxmlformats.org/officeDocument/2006/relationships/hyperlink" Target="https://advance.lexis.com/api/document?collection=legislation-ca&amp;id=urn:contentItem:5F41-1FG1-FC1F-M0TW-00000-00&amp;context=" TargetMode="External" /><Relationship Id="rId454" Type="http://schemas.openxmlformats.org/officeDocument/2006/relationships/hyperlink" Target="https://advance.lexis.com/api/document?collection=cases-ca&amp;id=urn:contentItem:5F8P-SD51-F8KH-X4CG-00000-00&amp;context=" TargetMode="External" /><Relationship Id="rId455" Type="http://schemas.openxmlformats.org/officeDocument/2006/relationships/hyperlink" Target="https://advance.lexis.com/api/document?collection=cases-ca&amp;id=urn:contentItem:5F7V-3DK1-FCYK-242S-00000-00&amp;context=" TargetMode="External" /><Relationship Id="rId456" Type="http://schemas.openxmlformats.org/officeDocument/2006/relationships/hyperlink" Target="https://advance.lexis.com/api/document?collection=cases-ca&amp;id=urn:contentItem:5F7T-S701-JGPY-X1KR-00000-00&amp;context=" TargetMode="External" /><Relationship Id="rId457" Type="http://schemas.openxmlformats.org/officeDocument/2006/relationships/header" Target="header55.xml" /><Relationship Id="rId458" Type="http://schemas.openxmlformats.org/officeDocument/2006/relationships/header" Target="header56.xml" /><Relationship Id="rId459" Type="http://schemas.openxmlformats.org/officeDocument/2006/relationships/footer" Target="footer55.xml" /><Relationship Id="rId46" Type="http://schemas.openxmlformats.org/officeDocument/2006/relationships/footer" Target="footer9.xml" /><Relationship Id="rId460" Type="http://schemas.openxmlformats.org/officeDocument/2006/relationships/footer" Target="footer56.xml" /><Relationship Id="rId461" Type="http://schemas.openxmlformats.org/officeDocument/2006/relationships/header" Target="header57.xml" /><Relationship Id="rId462" Type="http://schemas.openxmlformats.org/officeDocument/2006/relationships/footer" Target="footer57.xml" /><Relationship Id="rId463" Type="http://schemas.openxmlformats.org/officeDocument/2006/relationships/hyperlink" Target="https://advance.lexis.com/api/document?collection=cases-ca&amp;id=urn:contentItem:5F7T-S7H1-JS5Y-B2XY-00000-00&amp;context=" TargetMode="External" /><Relationship Id="rId464" Type="http://schemas.openxmlformats.org/officeDocument/2006/relationships/hyperlink" Target="https://advance.lexis.com/api/document?collection=cases-ca&amp;id=urn:contentItem:5F7T-S781-F06F-23M6-00000-00&amp;context=" TargetMode="External" /><Relationship Id="rId465" Type="http://schemas.openxmlformats.org/officeDocument/2006/relationships/hyperlink" Target="https://advance.lexis.com/api/document?collection=cases-ca&amp;id=urn:contentItem:5F7T-S7C1-F4NT-X44D-00000-00&amp;context=" TargetMode="External" /><Relationship Id="rId466" Type="http://schemas.openxmlformats.org/officeDocument/2006/relationships/hyperlink" Target="https://advance.lexis.com/api/document?collection=cases-ca&amp;id=urn:contentItem:5F7T-S7B1-FH4C-X38S-00000-00&amp;context=" TargetMode="External" /><Relationship Id="rId467" Type="http://schemas.openxmlformats.org/officeDocument/2006/relationships/header" Target="header58.xml" /><Relationship Id="rId468" Type="http://schemas.openxmlformats.org/officeDocument/2006/relationships/header" Target="header59.xml" /><Relationship Id="rId469" Type="http://schemas.openxmlformats.org/officeDocument/2006/relationships/footer" Target="footer58.xml" /><Relationship Id="rId47" Type="http://schemas.openxmlformats.org/officeDocument/2006/relationships/hyperlink" Target="https://advance.lexis.com/api/document?collection=cases-ca&amp;id=urn:contentItem:5Y8B-27Y1-JF1Y-B215-00000-00&amp;context=" TargetMode="External" /><Relationship Id="rId470" Type="http://schemas.openxmlformats.org/officeDocument/2006/relationships/footer" Target="footer59.xml" /><Relationship Id="rId471" Type="http://schemas.openxmlformats.org/officeDocument/2006/relationships/header" Target="header60.xml" /><Relationship Id="rId472" Type="http://schemas.openxmlformats.org/officeDocument/2006/relationships/footer" Target="footer60.xml" /><Relationship Id="rId473" Type="http://schemas.openxmlformats.org/officeDocument/2006/relationships/hyperlink" Target="https://advance.lexis.com/api/document?collection=cases-ca&amp;id=urn:contentItem:5F7T-S7C1-F4NT-X42J-00000-00&amp;context=" TargetMode="External" /><Relationship Id="rId474" Type="http://schemas.openxmlformats.org/officeDocument/2006/relationships/hyperlink" Target="https://advance.lexis.com/api/document?collection=cases-ca&amp;id=urn:contentItem:5F7T-S781-DYMS-61D4-00000-00&amp;context=" TargetMode="External" /><Relationship Id="rId475" Type="http://schemas.openxmlformats.org/officeDocument/2006/relationships/hyperlink" Target="https://advance.lexis.com/api/document?collection=cases-ca&amp;id=urn:contentItem:5F7T-S7C1-F7VM-S3HT-00000-00&amp;context=" TargetMode="External" /><Relationship Id="rId476" Type="http://schemas.openxmlformats.org/officeDocument/2006/relationships/hyperlink" Target="https://advance.lexis.com/api/document?collection=cases-ca&amp;id=urn:contentItem:5F8T-N3V1-JTGH-B100-00000-00&amp;context=" TargetMode="External" /><Relationship Id="rId477" Type="http://schemas.openxmlformats.org/officeDocument/2006/relationships/header" Target="header61.xml" /><Relationship Id="rId478" Type="http://schemas.openxmlformats.org/officeDocument/2006/relationships/header" Target="header62.xml" /><Relationship Id="rId479" Type="http://schemas.openxmlformats.org/officeDocument/2006/relationships/footer" Target="footer61.xml" /><Relationship Id="rId48" Type="http://schemas.openxmlformats.org/officeDocument/2006/relationships/hyperlink" Target="https://advance.lexis.com/api/document?collection=cases-ca&amp;id=urn:contentItem:5F7T-S7M1-F4W2-622C-00000-00&amp;context=" TargetMode="External" /><Relationship Id="rId480" Type="http://schemas.openxmlformats.org/officeDocument/2006/relationships/footer" Target="footer62.xml" /><Relationship Id="rId481" Type="http://schemas.openxmlformats.org/officeDocument/2006/relationships/header" Target="header63.xml" /><Relationship Id="rId482" Type="http://schemas.openxmlformats.org/officeDocument/2006/relationships/footer" Target="footer63.xml" /><Relationship Id="rId483" Type="http://schemas.openxmlformats.org/officeDocument/2006/relationships/hyperlink" Target="https://advance.lexis.com/api/document?collection=cases-ca&amp;id=urn:contentItem:5F7T-S7C1-JCJ5-2091-00000-00&amp;context=" TargetMode="External" /><Relationship Id="rId484" Type="http://schemas.openxmlformats.org/officeDocument/2006/relationships/hyperlink" Target="https://advance.lexis.com/api/document?collection=cases-ca&amp;id=urn:contentItem:5F7T-S761-F7ND-G4GG-00000-00&amp;context=" TargetMode="External" /><Relationship Id="rId485" Type="http://schemas.openxmlformats.org/officeDocument/2006/relationships/hyperlink" Target="https://advance.lexis.com/api/document?collection=cases-ca&amp;id=urn:contentItem:5F7T-S781-FH4C-X2SP-00000-00&amp;context=" TargetMode="External" /><Relationship Id="rId486" Type="http://schemas.openxmlformats.org/officeDocument/2006/relationships/hyperlink" Target="https://advance.lexis.com/api/document?collection=cases-ca&amp;id=urn:contentItem:5F7T-S781-F7G6-63TP-00000-00&amp;context=" TargetMode="External" /><Relationship Id="rId487" Type="http://schemas.openxmlformats.org/officeDocument/2006/relationships/hyperlink" Target="https://advance.lexis.com/api/document?collection=cases-ca&amp;id=urn:contentItem:5F8T-N3V1-FC1F-M48G-00000-00&amp;context=" TargetMode="External" /><Relationship Id="rId488" Type="http://schemas.openxmlformats.org/officeDocument/2006/relationships/hyperlink" Target="https://advance.lexis.com/api/document?collection=cases-ca&amp;id=urn:contentItem:5F8T-N3V1-FC1F-M3Y6-00000-00&amp;context=" TargetMode="External" /><Relationship Id="rId489" Type="http://schemas.openxmlformats.org/officeDocument/2006/relationships/hyperlink" Target="https://advance.lexis.com/api/document?collection=cases-ca&amp;id=urn:contentItem:5F8T-N3V1-JF75-M3WJ-00000-00&amp;context=" TargetMode="External" /><Relationship Id="rId49" Type="http://schemas.openxmlformats.org/officeDocument/2006/relationships/hyperlink" Target="https://advance.lexis.com/api/document?collection=cases-ca&amp;id=urn:contentItem:5GB3-MY31-JX3N-B2CM-00000-00&amp;context=" TargetMode="External" /><Relationship Id="rId490" Type="http://schemas.openxmlformats.org/officeDocument/2006/relationships/hyperlink" Target="https://advance.lexis.com/api/document?collection=cases-ca&amp;id=urn:contentItem:5F7T-S6X1-FCCX-60CN-00000-00&amp;context=" TargetMode="External" /><Relationship Id="rId491" Type="http://schemas.openxmlformats.org/officeDocument/2006/relationships/hyperlink" Target="https://advance.lexis.com/api/document?collection=cases-ca&amp;id=urn:contentItem:5F7T-S7C1-F4NT-X3XT-00000-00&amp;context=" TargetMode="External" /><Relationship Id="rId492" Type="http://schemas.openxmlformats.org/officeDocument/2006/relationships/hyperlink" Target="https://advance.lexis.com/api/document?collection=cases-ca&amp;id=urn:contentItem:5F7T-S731-JNJT-B1S8-00000-00&amp;context=" TargetMode="External" /><Relationship Id="rId493" Type="http://schemas.openxmlformats.org/officeDocument/2006/relationships/hyperlink" Target="https://advance.lexis.com/api/document?collection=cases-ca&amp;id=urn:contentItem:5F7T-S761-JX8W-M33F-00000-00&amp;context=" TargetMode="External" /><Relationship Id="rId494" Type="http://schemas.openxmlformats.org/officeDocument/2006/relationships/hyperlink" Target="https://advance.lexis.com/api/document?collection=cases-ca&amp;id=urn:contentItem:5F7T-S6V1-FJTD-G254-00000-00&amp;context=" TargetMode="External" /><Relationship Id="rId495" Type="http://schemas.openxmlformats.org/officeDocument/2006/relationships/hyperlink" Target="https://advance.lexis.com/api/document?collection=cases-ca&amp;id=urn:contentItem:5F7T-S6W1-JF75-M3BP-00000-00&amp;context=" TargetMode="External" /><Relationship Id="rId496" Type="http://schemas.openxmlformats.org/officeDocument/2006/relationships/hyperlink" Target="https://advance.lexis.com/api/document?collection=cases-ca&amp;id=urn:contentItem:5F7T-S711-JG02-S1N4-00000-00&amp;context=" TargetMode="External" /><Relationship Id="rId497" Type="http://schemas.openxmlformats.org/officeDocument/2006/relationships/hyperlink" Target="https://advance.lexis.com/api/document?collection=cases-ca&amp;id=urn:contentItem:5F7T-S6Y1-F4GK-M22H-00000-00&amp;context=" TargetMode="External" /><Relationship Id="rId498" Type="http://schemas.openxmlformats.org/officeDocument/2006/relationships/hyperlink" Target="https://advance.lexis.com/api/document?collection=cases-ca&amp;id=urn:contentItem:5F8T-N3V1-FC1F-M3YP-00000-00&amp;context=" TargetMode="External" /><Relationship Id="rId499" Type="http://schemas.openxmlformats.org/officeDocument/2006/relationships/hyperlink" Target="https://advance.lexis.com/api/document?collection=cases-ca&amp;id=urn:contentItem:5F8T-N3V1-FC1F-M4FW-00000-00&amp;context=" TargetMode="External" /><Relationship Id="rId5" Type="http://schemas.openxmlformats.org/officeDocument/2006/relationships/header" Target="header2.xml" /><Relationship Id="rId50" Type="http://schemas.openxmlformats.org/officeDocument/2006/relationships/hyperlink" Target="https://advance.lexis.com/api/document?collection=cases-ca&amp;id=urn:contentItem:5HD5-ST21-F2F4-G3K8-00000-00&amp;context=" TargetMode="External" /><Relationship Id="rId500" Type="http://schemas.openxmlformats.org/officeDocument/2006/relationships/hyperlink" Target="https://advance.lexis.com/api/document?collection=cases-ca&amp;id=urn:contentItem:5F8T-N3P1-F7ND-G1DW-00000-00&amp;context=" TargetMode="External" /><Relationship Id="rId501" Type="http://schemas.openxmlformats.org/officeDocument/2006/relationships/hyperlink" Target="https://advance.lexis.com/api/document?collection=cases-ca&amp;id=urn:contentItem:5F8T-N3T1-JJSF-23MK-00000-00&amp;context=" TargetMode="External" /><Relationship Id="rId502" Type="http://schemas.openxmlformats.org/officeDocument/2006/relationships/hyperlink" Target="https://advance.lexis.com/api/document?collection=cases-ca&amp;id=urn:contentItem:5F8T-N3V1-JF75-M3SR-00000-00&amp;context=" TargetMode="External" /><Relationship Id="rId503" Type="http://schemas.openxmlformats.org/officeDocument/2006/relationships/hyperlink" Target="https://advance.lexis.com/api/document?collection=cases-ca&amp;id=urn:contentItem:5F7T-S761-FFMK-M147-00000-00&amp;context=" TargetMode="External" /><Relationship Id="rId504" Type="http://schemas.openxmlformats.org/officeDocument/2006/relationships/hyperlink" Target="https://advance.lexis.com/api/document?collection=cases-ca&amp;id=urn:contentItem:5F82-1SD1-FCK4-G2RH-00000-00&amp;context=" TargetMode="External" /><Relationship Id="rId505" Type="http://schemas.openxmlformats.org/officeDocument/2006/relationships/hyperlink" Target="https://advance.lexis.com/api/document?collection=cases-ca&amp;id=urn:contentItem:5F7T-S761-FGJR-22NV-00000-00&amp;context=" TargetMode="External" /><Relationship Id="rId506" Type="http://schemas.openxmlformats.org/officeDocument/2006/relationships/hyperlink" Target="https://advance.lexis.com/api/document?collection=cases-ca&amp;id=urn:contentItem:5F8T-N3V1-FC1F-M442-00000-00&amp;context=" TargetMode="External" /><Relationship Id="rId507" Type="http://schemas.openxmlformats.org/officeDocument/2006/relationships/hyperlink" Target="https://advance.lexis.com/api/document?collection=cases-ca&amp;id=urn:contentItem:5F8T-N3T1-JJSF-2342-00000-00&amp;context=" TargetMode="External" /><Relationship Id="rId508" Type="http://schemas.openxmlformats.org/officeDocument/2006/relationships/hyperlink" Target="https://advance.lexis.com/api/document?collection=cases-ca&amp;id=urn:contentItem:5F8T-N3T1-JT99-2009-00000-00&amp;context=" TargetMode="External" /><Relationship Id="rId509" Type="http://schemas.openxmlformats.org/officeDocument/2006/relationships/hyperlink" Target="https://advance.lexis.com/api/document?collection=cases-ca&amp;id=urn:contentItem:5F7T-S751-JX3N-B11Y-00000-00&amp;context=" TargetMode="External" /><Relationship Id="rId51" Type="http://schemas.openxmlformats.org/officeDocument/2006/relationships/hyperlink" Target="https://advance.lexis.com/api/document?collection=cases-ca&amp;id=urn:contentItem:5F7T-S7J1-JYYX-6211-00000-00&amp;context=" TargetMode="External" /><Relationship Id="rId510" Type="http://schemas.openxmlformats.org/officeDocument/2006/relationships/header" Target="header64.xml" /><Relationship Id="rId511" Type="http://schemas.openxmlformats.org/officeDocument/2006/relationships/header" Target="header65.xml" /><Relationship Id="rId512" Type="http://schemas.openxmlformats.org/officeDocument/2006/relationships/footer" Target="footer64.xml" /><Relationship Id="rId513" Type="http://schemas.openxmlformats.org/officeDocument/2006/relationships/footer" Target="footer65.xml" /><Relationship Id="rId514" Type="http://schemas.openxmlformats.org/officeDocument/2006/relationships/header" Target="header66.xml" /><Relationship Id="rId515" Type="http://schemas.openxmlformats.org/officeDocument/2006/relationships/footer" Target="footer66.xml" /><Relationship Id="rId516" Type="http://schemas.openxmlformats.org/officeDocument/2006/relationships/hyperlink" Target="https://advance.lexis.com/api/document?collection=cases-ca&amp;id=urn:contentItem:5F7T-S7H1-F4GK-M2YC-00000-00&amp;context=" TargetMode="External" /><Relationship Id="rId517" Type="http://schemas.openxmlformats.org/officeDocument/2006/relationships/hyperlink" Target="https://advance.lexis.com/api/document?collection=cases-ca&amp;id=urn:contentItem:5F16-9371-F5DR-233X-00000-00&amp;context=" TargetMode="External" /><Relationship Id="rId518" Type="http://schemas.openxmlformats.org/officeDocument/2006/relationships/hyperlink" Target="https://advance.lexis.com/api/document?collection=cases-ca&amp;id=urn:contentItem:5F81-VJX1-FD4T-B30D-00000-00&amp;context=" TargetMode="External" /><Relationship Id="rId519" Type="http://schemas.openxmlformats.org/officeDocument/2006/relationships/hyperlink" Target="https://advance.lexis.com/api/document?collection=cases-ca&amp;id=urn:contentItem:5F7T-S741-F57G-S22S-00000-00&amp;context=" TargetMode="External" /><Relationship Id="rId52" Type="http://schemas.openxmlformats.org/officeDocument/2006/relationships/hyperlink" Target="https://advance.lexis.com/api/document?collection=cases-ca&amp;id=urn:contentItem:5F7T-S7K1-JKHB-6329-00000-00&amp;context=" TargetMode="External" /><Relationship Id="rId520" Type="http://schemas.openxmlformats.org/officeDocument/2006/relationships/hyperlink" Target="https://advance.lexis.com/api/document?collection=cases-ca&amp;id=urn:contentItem:5F7T-S751-JG02-S29R-00000-00&amp;context=" TargetMode="External" /><Relationship Id="rId521" Type="http://schemas.openxmlformats.org/officeDocument/2006/relationships/header" Target="header67.xml" /><Relationship Id="rId522" Type="http://schemas.openxmlformats.org/officeDocument/2006/relationships/header" Target="header68.xml" /><Relationship Id="rId523" Type="http://schemas.openxmlformats.org/officeDocument/2006/relationships/footer" Target="footer67.xml" /><Relationship Id="rId524" Type="http://schemas.openxmlformats.org/officeDocument/2006/relationships/footer" Target="footer68.xml" /><Relationship Id="rId525" Type="http://schemas.openxmlformats.org/officeDocument/2006/relationships/header" Target="header69.xml" /><Relationship Id="rId526" Type="http://schemas.openxmlformats.org/officeDocument/2006/relationships/footer" Target="footer69.xml" /><Relationship Id="rId527" Type="http://schemas.openxmlformats.org/officeDocument/2006/relationships/hyperlink" Target="https://advance.lexis.com/api/document?collection=cases-ca&amp;id=urn:contentItem:5F7T-S7C1-FCSB-S200-00000-00&amp;context=" TargetMode="External" /><Relationship Id="rId528" Type="http://schemas.openxmlformats.org/officeDocument/2006/relationships/hyperlink" Target="https://advance.lexis.com/api/document?collection=cases-ca&amp;id=urn:contentItem:5F7T-S6T1-FJTD-G1NJ-00000-00&amp;context=" TargetMode="External" /><Relationship Id="rId529" Type="http://schemas.openxmlformats.org/officeDocument/2006/relationships/header" Target="header70.xml" /><Relationship Id="rId53" Type="http://schemas.openxmlformats.org/officeDocument/2006/relationships/hyperlink" Target="https://advance.lexis.com/api/document?collection=cases-ca&amp;id=urn:contentItem:5F7T-S7D1-FFFC-B14J-00000-00&amp;context=" TargetMode="External" /><Relationship Id="rId530" Type="http://schemas.openxmlformats.org/officeDocument/2006/relationships/header" Target="header71.xml" /><Relationship Id="rId531" Type="http://schemas.openxmlformats.org/officeDocument/2006/relationships/footer" Target="footer70.xml" /><Relationship Id="rId532" Type="http://schemas.openxmlformats.org/officeDocument/2006/relationships/footer" Target="footer71.xml" /><Relationship Id="rId533" Type="http://schemas.openxmlformats.org/officeDocument/2006/relationships/header" Target="header72.xml" /><Relationship Id="rId534" Type="http://schemas.openxmlformats.org/officeDocument/2006/relationships/footer" Target="footer72.xml" /><Relationship Id="rId535" Type="http://schemas.openxmlformats.org/officeDocument/2006/relationships/hyperlink" Target="https://advance.lexis.com/api/document?collection=cases-ca&amp;id=urn:contentItem:5F7T-S7B1-F7ND-G53S-00000-00&amp;context=" TargetMode="External" /><Relationship Id="rId536" Type="http://schemas.openxmlformats.org/officeDocument/2006/relationships/hyperlink" Target="https://advance.lexis.com/api/document?collection=cases-ca&amp;id=urn:contentItem:5F7T-S711-JB2B-S13D-00000-00&amp;context=" TargetMode="External" /><Relationship Id="rId537" Type="http://schemas.openxmlformats.org/officeDocument/2006/relationships/hyperlink" Target="https://advance.lexis.com/api/document?collection=cases-ca&amp;id=urn:contentItem:5F7T-S751-JNS1-M1Y0-00000-00&amp;context=" TargetMode="External" /><Relationship Id="rId538" Type="http://schemas.openxmlformats.org/officeDocument/2006/relationships/hyperlink" Target="https://advance.lexis.com/api/document?collection=cases-ca&amp;id=urn:contentItem:5F7T-S771-FG68-G0Y1-00000-00&amp;context=" TargetMode="External" /><Relationship Id="rId539" Type="http://schemas.openxmlformats.org/officeDocument/2006/relationships/hyperlink" Target="https://advance.lexis.com/api/document?collection=cases-ca&amp;id=urn:contentItem:5F7T-S771-F2TK-22WY-00000-00&amp;context=" TargetMode="External" /><Relationship Id="rId54" Type="http://schemas.openxmlformats.org/officeDocument/2006/relationships/hyperlink" Target="https://advance.lexis.com/api/document?collection=cases-ca&amp;id=urn:contentItem:5F7T-S7N1-JJ1H-X2NR-00000-00&amp;context=" TargetMode="External" /><Relationship Id="rId540" Type="http://schemas.openxmlformats.org/officeDocument/2006/relationships/header" Target="header73.xml" /><Relationship Id="rId541" Type="http://schemas.openxmlformats.org/officeDocument/2006/relationships/header" Target="header74.xml" /><Relationship Id="rId542" Type="http://schemas.openxmlformats.org/officeDocument/2006/relationships/footer" Target="footer73.xml" /><Relationship Id="rId543" Type="http://schemas.openxmlformats.org/officeDocument/2006/relationships/footer" Target="footer74.xml" /><Relationship Id="rId544" Type="http://schemas.openxmlformats.org/officeDocument/2006/relationships/header" Target="header75.xml" /><Relationship Id="rId545" Type="http://schemas.openxmlformats.org/officeDocument/2006/relationships/footer" Target="footer75.xml" /><Relationship Id="rId546" Type="http://schemas.openxmlformats.org/officeDocument/2006/relationships/hyperlink" Target="https://advance.lexis.com/api/document?collection=cases-ca&amp;id=urn:contentItem:5F7T-S7D1-F7ND-G0BP-00000-00&amp;context=" TargetMode="External" /><Relationship Id="rId547" Type="http://schemas.openxmlformats.org/officeDocument/2006/relationships/hyperlink" Target="https://advance.lexis.com/api/document?collection=cases-ca&amp;id=urn:contentItem:5F7T-S781-FH4C-X2KN-00000-00&amp;context=" TargetMode="External" /><Relationship Id="rId548" Type="http://schemas.openxmlformats.org/officeDocument/2006/relationships/hyperlink" Target="https://advance.lexis.com/api/document?collection=cases-ca&amp;id=urn:contentItem:5F7T-S7B1-F7ND-G4W0-00000-00&amp;context=" TargetMode="External" /><Relationship Id="rId549" Type="http://schemas.openxmlformats.org/officeDocument/2006/relationships/hyperlink" Target="https://advance.lexis.com/api/document?collection=cases-ca&amp;id=urn:contentItem:5F7T-S7D1-FCSB-S2W3-00000-00&amp;context=" TargetMode="External" /><Relationship Id="rId55" Type="http://schemas.openxmlformats.org/officeDocument/2006/relationships/hyperlink" Target="https://advance.lexis.com/api/document?collection=cases-ca&amp;id=urn:contentItem:5F7T-S7J1-JGBH-B2D3-00000-00&amp;context=" TargetMode="External" /><Relationship Id="rId550" Type="http://schemas.openxmlformats.org/officeDocument/2006/relationships/hyperlink" Target="https://advance.lexis.com/api/document?collection=cases-ca&amp;id=urn:contentItem:5F7T-S7C1-JCJ5-20CF-00000-00&amp;context=" TargetMode="External" /><Relationship Id="rId551" Type="http://schemas.openxmlformats.org/officeDocument/2006/relationships/header" Target="header76.xml" /><Relationship Id="rId552" Type="http://schemas.openxmlformats.org/officeDocument/2006/relationships/header" Target="header77.xml" /><Relationship Id="rId553" Type="http://schemas.openxmlformats.org/officeDocument/2006/relationships/footer" Target="footer76.xml" /><Relationship Id="rId554" Type="http://schemas.openxmlformats.org/officeDocument/2006/relationships/footer" Target="footer77.xml" /><Relationship Id="rId555" Type="http://schemas.openxmlformats.org/officeDocument/2006/relationships/header" Target="header78.xml" /><Relationship Id="rId556" Type="http://schemas.openxmlformats.org/officeDocument/2006/relationships/footer" Target="footer78.xml" /><Relationship Id="rId557" Type="http://schemas.openxmlformats.org/officeDocument/2006/relationships/hyperlink" Target="https://advance.lexis.com/api/document?collection=cases-ca&amp;id=urn:contentItem:5F7T-S7H1-K054-G2J3-00000-00&amp;context=" TargetMode="External" /><Relationship Id="rId558" Type="http://schemas.openxmlformats.org/officeDocument/2006/relationships/hyperlink" Target="https://advance.lexis.com/api/document?collection=legislation-ca&amp;id=urn:contentItem:5F41-1FH1-F361-M0GM-00000-00&amp;context=" TargetMode="External" /><Relationship Id="rId559" Type="http://schemas.openxmlformats.org/officeDocument/2006/relationships/hyperlink" Target="https://advance.lexis.com/api/document?collection=cases-ca&amp;id=urn:contentItem:5F7T-S7D1-JS5Y-B207-00000-00&amp;context=" TargetMode="External" /><Relationship Id="rId56" Type="http://schemas.openxmlformats.org/officeDocument/2006/relationships/hyperlink" Target="https://advance.lexis.com/api/document?collection=cases-ca&amp;id=urn:contentItem:5GB9-DSH1-F22N-X2C5-00000-00&amp;context=" TargetMode="External" /><Relationship Id="rId560" Type="http://schemas.openxmlformats.org/officeDocument/2006/relationships/hyperlink" Target="https://advance.lexis.com/api/document?collection=cases-ca&amp;id=urn:contentItem:5F7T-S761-JX8W-M32H-00000-00&amp;context=" TargetMode="External" /><Relationship Id="rId561" Type="http://schemas.openxmlformats.org/officeDocument/2006/relationships/hyperlink" Target="https://advance.lexis.com/api/document?collection=cases-ca&amp;id=urn:contentItem:5F7T-S751-JBM1-M2K2-00000-00&amp;context=" TargetMode="External" /><Relationship Id="rId562" Type="http://schemas.openxmlformats.org/officeDocument/2006/relationships/hyperlink" Target="https://advance.lexis.com/api/document?collection=cases-ca&amp;id=urn:contentItem:5F7T-S761-F81W-2226-00000-00&amp;context=" TargetMode="External" /><Relationship Id="rId563" Type="http://schemas.openxmlformats.org/officeDocument/2006/relationships/hyperlink" Target="https://advance.lexis.com/api/document?collection=cases-ca&amp;id=urn:contentItem:5F7T-S7G1-JNY7-X3V5-00000-00&amp;context=" TargetMode="External" /><Relationship Id="rId564" Type="http://schemas.openxmlformats.org/officeDocument/2006/relationships/hyperlink" Target="https://advance.lexis.com/api/document?collection=cases-ca&amp;id=urn:contentItem:5F7T-S7C1-F7VM-S3SY-00000-00&amp;context=" TargetMode="External" /><Relationship Id="rId565" Type="http://schemas.openxmlformats.org/officeDocument/2006/relationships/hyperlink" Target="https://advance.lexis.com/api/document?collection=cases-ca&amp;id=urn:contentItem:5F7T-S7F1-JK4W-M1CF-00000-00&amp;context=" TargetMode="External" /><Relationship Id="rId566" Type="http://schemas.openxmlformats.org/officeDocument/2006/relationships/hyperlink" Target="https://advance.lexis.com/api/document?collection=cases-ca&amp;id=urn:contentItem:5F7T-S7C1-JCJ5-20G9-00000-00&amp;context=" TargetMode="External" /><Relationship Id="rId567" Type="http://schemas.openxmlformats.org/officeDocument/2006/relationships/hyperlink" Target="https://advance.lexis.com/api/document?collection=cases-ca&amp;id=urn:contentItem:5F7T-S7G1-F5KY-B1B1-00000-00&amp;context=" TargetMode="External" /><Relationship Id="rId568" Type="http://schemas.openxmlformats.org/officeDocument/2006/relationships/hyperlink" Target="https://advance.lexis.com/api/document?collection=cases-ca&amp;id=urn:contentItem:5F7T-S781-F7G6-63KV-00000-00&amp;context=" TargetMode="External" /><Relationship Id="rId569" Type="http://schemas.openxmlformats.org/officeDocument/2006/relationships/hyperlink" Target="https://advance.lexis.com/api/document?collection=cases-ca&amp;id=urn:contentItem:5F7T-S771-JJD0-G13S-00000-00&amp;context=" TargetMode="External" /><Relationship Id="rId57" Type="http://schemas.openxmlformats.org/officeDocument/2006/relationships/hyperlink" Target="https://advance.lexis.com/api/document?collection=cases-ca&amp;id=urn:contentItem:5F7T-S7F1-JBT7-X2PW-00000-00&amp;context=" TargetMode="External" /><Relationship Id="rId570" Type="http://schemas.openxmlformats.org/officeDocument/2006/relationships/header" Target="header79.xml" /><Relationship Id="rId571" Type="http://schemas.openxmlformats.org/officeDocument/2006/relationships/header" Target="header80.xml" /><Relationship Id="rId572" Type="http://schemas.openxmlformats.org/officeDocument/2006/relationships/footer" Target="footer79.xml" /><Relationship Id="rId573" Type="http://schemas.openxmlformats.org/officeDocument/2006/relationships/footer" Target="footer80.xml" /><Relationship Id="rId574" Type="http://schemas.openxmlformats.org/officeDocument/2006/relationships/header" Target="header81.xml" /><Relationship Id="rId575" Type="http://schemas.openxmlformats.org/officeDocument/2006/relationships/footer" Target="footer81.xml" /><Relationship Id="rId576" Type="http://schemas.openxmlformats.org/officeDocument/2006/relationships/hyperlink" Target="https://advance.lexis.com/api/document?collection=cases-ca&amp;id=urn:contentItem:5F7T-S7D1-F7ND-G0DC-00000-00&amp;context=" TargetMode="External" /><Relationship Id="rId577" Type="http://schemas.openxmlformats.org/officeDocument/2006/relationships/hyperlink" Target="https://advance.lexis.com/api/document?collection=cases-ca&amp;id=urn:contentItem:5K6X-WKH1-K0HK-233H-00000-00&amp;context=" TargetMode="External" /><Relationship Id="rId578" Type="http://schemas.openxmlformats.org/officeDocument/2006/relationships/hyperlink" Target="https://advance.lexis.com/api/document?collection=cases-ca&amp;id=urn:contentItem:5F7T-S781-JC5P-G1HV-00000-00&amp;context=" TargetMode="External" /><Relationship Id="rId579" Type="http://schemas.openxmlformats.org/officeDocument/2006/relationships/hyperlink" Target="https://advance.lexis.com/api/document?collection=cases-ca&amp;id=urn:contentItem:5F7T-S7C1-JSRM-611P-00000-00&amp;context=" TargetMode="External" /><Relationship Id="rId58" Type="http://schemas.openxmlformats.org/officeDocument/2006/relationships/hyperlink" Target="https://advance.lexis.com/api/document?collection=cases-ca&amp;id=urn:contentItem:5F7T-S7N1-JJ1H-X2XW-00000-00&amp;context=" TargetMode="External" /><Relationship Id="rId580" Type="http://schemas.openxmlformats.org/officeDocument/2006/relationships/hyperlink" Target="https://advance.lexis.com/api/document?collection=cases-ca&amp;id=urn:contentItem:5F81-WC31-F5KY-B4VM-00000-00&amp;context=" TargetMode="External" /><Relationship Id="rId581" Type="http://schemas.openxmlformats.org/officeDocument/2006/relationships/hyperlink" Target="https://advance.lexis.com/api/document?collection=cases-ca&amp;id=urn:contentItem:5F7T-S7G1-JBT7-X444-00000-00&amp;context=" TargetMode="External" /><Relationship Id="rId582" Type="http://schemas.openxmlformats.org/officeDocument/2006/relationships/hyperlink" Target="https://advance.lexis.com/api/document?collection=cases-ca&amp;id=urn:contentItem:5F7T-S6X1-F1H1-2179-00000-00&amp;context=" TargetMode="External" /><Relationship Id="rId583" Type="http://schemas.openxmlformats.org/officeDocument/2006/relationships/hyperlink" Target="https://advance.lexis.com/api/document?collection=cases-ca&amp;id=urn:contentItem:5F7T-S6S1-JTNR-M1PN-00000-00&amp;context=" TargetMode="External" /><Relationship Id="rId584" Type="http://schemas.openxmlformats.org/officeDocument/2006/relationships/hyperlink" Target="https://advance.lexis.com/api/document?collection=cases-ca&amp;id=urn:contentItem:5F7T-S7H1-K054-G2B5-00000-00&amp;context=" TargetMode="External" /><Relationship Id="rId585" Type="http://schemas.openxmlformats.org/officeDocument/2006/relationships/hyperlink" Target="https://advance.lexis.com/api/document?collection=cases-ca&amp;id=urn:contentItem:5F7T-S6T1-JT99-20W0-00000-00&amp;context=" TargetMode="External" /><Relationship Id="rId586" Type="http://schemas.openxmlformats.org/officeDocument/2006/relationships/hyperlink" Target="https://advance.lexis.com/api/document?collection=cases-ca&amp;id=urn:contentItem:5F7T-S6T1-FJTD-G1JB-00000-00&amp;context=" TargetMode="External" /><Relationship Id="rId587" Type="http://schemas.openxmlformats.org/officeDocument/2006/relationships/hyperlink" Target="https://advance.lexis.com/api/document?collection=cases-ca&amp;id=urn:contentItem:5F7T-S6W1-F7ND-G2VD-00000-00&amp;context=" TargetMode="External" /><Relationship Id="rId588" Type="http://schemas.openxmlformats.org/officeDocument/2006/relationships/hyperlink" Target="https://advance.lexis.com/api/document?collection=cases-ca&amp;id=urn:contentItem:5F7T-S6W1-FBFS-S19B-00000-00&amp;context=" TargetMode="External" /><Relationship Id="rId589" Type="http://schemas.openxmlformats.org/officeDocument/2006/relationships/hyperlink" Target="https://advance.lexis.com/api/document?collection=cases-ca&amp;id=urn:contentItem:5F7T-S721-F5T5-M2CS-00000-00&amp;context=" TargetMode="External" /><Relationship Id="rId59" Type="http://schemas.openxmlformats.org/officeDocument/2006/relationships/hyperlink" Target="https://advance.lexis.com/api/document?collection=cases-ca&amp;id=urn:contentItem:5F7T-S7P1-F2TK-23GW-00000-00&amp;context=" TargetMode="External" /><Relationship Id="rId590" Type="http://schemas.openxmlformats.org/officeDocument/2006/relationships/hyperlink" Target="https://advance.lexis.com/api/document?collection=cases-ca&amp;id=urn:contentItem:5F7T-S751-JX3N-B167-00000-00&amp;context=" TargetMode="External" /><Relationship Id="rId591" Type="http://schemas.openxmlformats.org/officeDocument/2006/relationships/hyperlink" Target="https://advance.lexis.com/api/document?collection=cases-ca&amp;id=urn:contentItem:5F8W-WNC1-JTGH-B34R-00000-00&amp;context=" TargetMode="External" /><Relationship Id="rId592" Type="http://schemas.openxmlformats.org/officeDocument/2006/relationships/hyperlink" Target="https://advance.lexis.com/api/document?collection=cases-ca&amp;id=urn:contentItem:5F8W-WNC1-JWJ0-G4P4-00000-00&amp;context=" TargetMode="External" /><Relationship Id="rId593" Type="http://schemas.openxmlformats.org/officeDocument/2006/relationships/hyperlink" Target="https://advance.lexis.com/api/document?collection=cases-ca&amp;id=urn:contentItem:5F81-VJX1-FFTT-X1PN-00000-00&amp;context=" TargetMode="External" /><Relationship Id="rId594" Type="http://schemas.openxmlformats.org/officeDocument/2006/relationships/hyperlink" Target="https://advance.lexis.com/api/document?collection=cases-ca&amp;id=urn:contentItem:5F8P-SGB1-JBT7-X364-00000-00&amp;context=" TargetMode="External" /><Relationship Id="rId595" Type="http://schemas.openxmlformats.org/officeDocument/2006/relationships/hyperlink" Target="https://advance.lexis.com/api/document?collection=cases-ca&amp;id=urn:contentItem:5F7T-S761-FGJR-22GM-00000-00&amp;context=" TargetMode="External" /><Relationship Id="rId596" Type="http://schemas.openxmlformats.org/officeDocument/2006/relationships/hyperlink" Target="https://advance.lexis.com/api/document?collection=cases-ca&amp;id=urn:contentItem:5F8T-N3V1-FC1F-M4BB-00000-00&amp;context=" TargetMode="External" /><Relationship Id="rId597" Type="http://schemas.openxmlformats.org/officeDocument/2006/relationships/hyperlink" Target="https://advance.lexis.com/api/document?collection=cases-ca&amp;id=urn:contentItem:5F81-YGM1-F5KY-B4YT-00000-00&amp;context=" TargetMode="External" /><Relationship Id="rId598" Type="http://schemas.openxmlformats.org/officeDocument/2006/relationships/hyperlink" Target="https://advance.lexis.com/api/document?collection=cases-ca&amp;id=urn:contentItem:5F7T-S7C1-F4NT-X3P9-00000-00&amp;context=" TargetMode="External" /><Relationship Id="rId599" Type="http://schemas.openxmlformats.org/officeDocument/2006/relationships/hyperlink" Target="https://advance.lexis.com/api/document?collection=cases-ca&amp;id=urn:contentItem:5F7T-S7C1-FCSB-S2FK-00000-00&amp;context=" TargetMode="External" /><Relationship Id="rId6" Type="http://schemas.openxmlformats.org/officeDocument/2006/relationships/footer" Target="footer1.xml" /><Relationship Id="rId60" Type="http://schemas.openxmlformats.org/officeDocument/2006/relationships/hyperlink" Target="https://advance.lexis.com/api/document?collection=cases-ca&amp;id=urn:contentItem:5F7T-S771-F81W-22B3-00000-00&amp;context=" TargetMode="External" /><Relationship Id="rId600" Type="http://schemas.openxmlformats.org/officeDocument/2006/relationships/hyperlink" Target="https://advance.lexis.com/api/document?collection=cases-ca&amp;id=urn:contentItem:5F8T-N3V1-JTGH-B114-00000-00&amp;context=" TargetMode="External" /><Relationship Id="rId601" Type="http://schemas.openxmlformats.org/officeDocument/2006/relationships/header" Target="header82.xml" /><Relationship Id="rId602" Type="http://schemas.openxmlformats.org/officeDocument/2006/relationships/header" Target="header83.xml" /><Relationship Id="rId603" Type="http://schemas.openxmlformats.org/officeDocument/2006/relationships/footer" Target="footer82.xml" /><Relationship Id="rId604" Type="http://schemas.openxmlformats.org/officeDocument/2006/relationships/footer" Target="footer83.xml" /><Relationship Id="rId605" Type="http://schemas.openxmlformats.org/officeDocument/2006/relationships/header" Target="header84.xml" /><Relationship Id="rId606" Type="http://schemas.openxmlformats.org/officeDocument/2006/relationships/footer" Target="footer84.xml" /><Relationship Id="rId607" Type="http://schemas.openxmlformats.org/officeDocument/2006/relationships/hyperlink" Target="https://advance.lexis.com/api/document?collection=cases-ca&amp;id=urn:contentItem:5F7T-S7D1-JN6B-S10F-00000-00&amp;context=" TargetMode="External" /><Relationship Id="rId608" Type="http://schemas.openxmlformats.org/officeDocument/2006/relationships/hyperlink" Target="https://advance.lexis.com/api/document?collection=cases-ca&amp;id=urn:contentItem:5F7T-S711-F4GK-M2B5-00000-00&amp;context=" TargetMode="External" /><Relationship Id="rId609" Type="http://schemas.openxmlformats.org/officeDocument/2006/relationships/hyperlink" Target="https://advance.lexis.com/api/document?collection=cases-ca&amp;id=urn:contentItem:5F7T-S711-JG02-S1XK-00000-00&amp;context=" TargetMode="External" /><Relationship Id="rId61" Type="http://schemas.openxmlformats.org/officeDocument/2006/relationships/hyperlink" Target="https://advance.lexis.com/api/document?collection=cases-ca&amp;id=urn:contentItem:5F7T-S6V1-F956-S05H-00000-00&amp;context=" TargetMode="External" /><Relationship Id="rId610" Type="http://schemas.openxmlformats.org/officeDocument/2006/relationships/hyperlink" Target="https://advance.lexis.com/api/document?collection=cases-ca&amp;id=urn:contentItem:5F7T-S6V1-FJTD-G29R-00000-00&amp;context=" TargetMode="External" /><Relationship Id="rId611" Type="http://schemas.openxmlformats.org/officeDocument/2006/relationships/hyperlink" Target="https://advance.lexis.com/api/document?collection=cases-ca&amp;id=urn:contentItem:5F7T-S771-JWBS-61CT-00000-00&amp;context=" TargetMode="External" /><Relationship Id="rId612" Type="http://schemas.openxmlformats.org/officeDocument/2006/relationships/hyperlink" Target="https://advance.lexis.com/api/document?collection=cases-ca&amp;id=urn:contentItem:5F7T-S6T1-JJ1H-X20X-00000-00&amp;context=" TargetMode="External" /><Relationship Id="rId613" Type="http://schemas.openxmlformats.org/officeDocument/2006/relationships/hyperlink" Target="https://advance.lexis.com/api/document?collection=cases-ca&amp;id=urn:contentItem:5F7T-S701-JJ6S-61CF-00000-00&amp;context=" TargetMode="External" /><Relationship Id="rId614" Type="http://schemas.openxmlformats.org/officeDocument/2006/relationships/hyperlink" Target="https://advance.lexis.com/api/document?collection=cases-ca&amp;id=urn:contentItem:5F8P-SCS1-F8SS-627W-00000-00&amp;context=" TargetMode="External" /><Relationship Id="rId615" Type="http://schemas.openxmlformats.org/officeDocument/2006/relationships/hyperlink" Target="https://advance.lexis.com/api/document?collection=cases-ca&amp;id=urn:contentItem:5F7T-S6V1-JTNR-M3D8-00000-00&amp;context=" TargetMode="External" /><Relationship Id="rId616" Type="http://schemas.openxmlformats.org/officeDocument/2006/relationships/hyperlink" Target="https://advance.lexis.com/api/document?collection=cases-ca&amp;id=urn:contentItem:5F7T-S7B1-F7ND-G53V-00000-00&amp;context=" TargetMode="External" /><Relationship Id="rId617" Type="http://schemas.openxmlformats.org/officeDocument/2006/relationships/hyperlink" Target="https://advance.lexis.com/api/document?collection=cases-ca&amp;id=urn:contentItem:5F7T-S6X1-JXNB-6314-00000-00&amp;context=" TargetMode="External" /><Relationship Id="rId618" Type="http://schemas.openxmlformats.org/officeDocument/2006/relationships/header" Target="header85.xml" /><Relationship Id="rId619" Type="http://schemas.openxmlformats.org/officeDocument/2006/relationships/header" Target="header86.xml" /><Relationship Id="rId62" Type="http://schemas.openxmlformats.org/officeDocument/2006/relationships/hyperlink" Target="https://advance.lexis.com/api/document?collection=cases-ca&amp;id=urn:contentItem:5F7T-S7K1-JNY7-X49B-00000-00&amp;context=" TargetMode="External" /><Relationship Id="rId620" Type="http://schemas.openxmlformats.org/officeDocument/2006/relationships/footer" Target="footer85.xml" /><Relationship Id="rId621" Type="http://schemas.openxmlformats.org/officeDocument/2006/relationships/footer" Target="footer86.xml" /><Relationship Id="rId622" Type="http://schemas.openxmlformats.org/officeDocument/2006/relationships/header" Target="header87.xml" /><Relationship Id="rId623" Type="http://schemas.openxmlformats.org/officeDocument/2006/relationships/footer" Target="footer87.xml" /><Relationship Id="rId624" Type="http://schemas.openxmlformats.org/officeDocument/2006/relationships/hyperlink" Target="https://advance.lexis.com/api/document?collection=cases-ca&amp;id=urn:contentItem:5F7T-S7C1-JXG3-X0KH-00000-00&amp;context=" TargetMode="External" /><Relationship Id="rId625" Type="http://schemas.openxmlformats.org/officeDocument/2006/relationships/hyperlink" Target="https://advance.lexis.com/api/document?collection=cases-ca&amp;id=urn:contentItem:5F8N-K6Y1-FBN1-21TN-00000-00&amp;context=" TargetMode="External" /><Relationship Id="rId626" Type="http://schemas.openxmlformats.org/officeDocument/2006/relationships/hyperlink" Target="https://advance.lexis.com/api/document?collection=cases-ca&amp;id=urn:contentItem:5F7T-S741-F528-G2J7-00000-00&amp;context=" TargetMode="External" /><Relationship Id="rId627" Type="http://schemas.openxmlformats.org/officeDocument/2006/relationships/hyperlink" Target="https://advance.lexis.com/api/document?collection=cases-ca&amp;id=urn:contentItem:5F7T-S7C1-JCJ5-20KK-00000-00&amp;context=" TargetMode="External" /><Relationship Id="rId628" Type="http://schemas.openxmlformats.org/officeDocument/2006/relationships/hyperlink" Target="https://advance.lexis.com/api/document?collection=cases-ca&amp;id=urn:contentItem:5F7T-S781-F27X-61BF-00000-00&amp;context=" TargetMode="External" /><Relationship Id="rId629" Type="http://schemas.openxmlformats.org/officeDocument/2006/relationships/hyperlink" Target="https://advance.lexis.com/api/document?collection=cases-ca&amp;id=urn:contentItem:5F7T-S781-FH4C-X32Y-00000-00&amp;context=" TargetMode="External" /><Relationship Id="rId63" Type="http://schemas.openxmlformats.org/officeDocument/2006/relationships/hyperlink" Target="https://advance.lexis.com/api/document?collection=cases-ca&amp;id=urn:contentItem:5F7T-S6T1-FJTD-G1PC-00000-00&amp;context=" TargetMode="External" /><Relationship Id="rId630" Type="http://schemas.openxmlformats.org/officeDocument/2006/relationships/hyperlink" Target="https://advance.lexis.com/api/document?collection=cases-ca&amp;id=urn:contentItem:5F82-1SF1-JXG3-X282-00000-00&amp;context=" TargetMode="External" /><Relationship Id="rId631" Type="http://schemas.openxmlformats.org/officeDocument/2006/relationships/hyperlink" Target="https://advance.lexis.com/api/document?collection=cases-ca&amp;id=urn:contentItem:5F81-VJX1-JJYN-B53M-00000-00&amp;context=" TargetMode="External" /><Relationship Id="rId632" Type="http://schemas.openxmlformats.org/officeDocument/2006/relationships/hyperlink" Target="https://advance.lexis.com/api/document?collection=cases-ca&amp;id=urn:contentItem:5F8T-N3V1-JTGH-B0YX-00000-00&amp;context=" TargetMode="External" /><Relationship Id="rId633" Type="http://schemas.openxmlformats.org/officeDocument/2006/relationships/hyperlink" Target="https://advance.lexis.com/api/document?collection=cases-ca&amp;id=urn:contentItem:5F7T-S7C1-JS0R-22CK-00000-00&amp;context=" TargetMode="External" /><Relationship Id="rId634" Type="http://schemas.openxmlformats.org/officeDocument/2006/relationships/hyperlink" Target="https://advance.lexis.com/api/document?collection=cases-ca&amp;id=urn:contentItem:5F81-VJX1-FGY5-M3FK-00000-00&amp;context=" TargetMode="External" /><Relationship Id="rId635" Type="http://schemas.openxmlformats.org/officeDocument/2006/relationships/hyperlink" Target="https://advance.lexis.com/api/document?collection=cases-ca&amp;id=urn:contentItem:5F82-1SF1-JKPJ-G2F1-00000-00&amp;context=" TargetMode="External" /><Relationship Id="rId636" Type="http://schemas.openxmlformats.org/officeDocument/2006/relationships/hyperlink" Target="https://advance.lexis.com/api/document?collection=cases-ca&amp;id=urn:contentItem:5F8T-N3T1-JFKM-651D-00000-00&amp;context=" TargetMode="External" /><Relationship Id="rId637" Type="http://schemas.openxmlformats.org/officeDocument/2006/relationships/hyperlink" Target="https://advance.lexis.com/api/document?collection=cases-ca&amp;id=urn:contentItem:5F8T-N3V1-FC1F-M495-00000-00&amp;context=" TargetMode="External" /><Relationship Id="rId638" Type="http://schemas.openxmlformats.org/officeDocument/2006/relationships/hyperlink" Target="https://advance.lexis.com/api/document?collection=cases-ca&amp;id=urn:contentItem:5F7T-S771-JW5H-X1TN-00000-00&amp;context=" TargetMode="External" /><Relationship Id="rId639" Type="http://schemas.openxmlformats.org/officeDocument/2006/relationships/hyperlink" Target="https://advance.lexis.com/api/document?collection=cases-ca&amp;id=urn:contentItem:5F7T-S711-JNS1-M0R9-00000-00&amp;context=" TargetMode="External" /><Relationship Id="rId64" Type="http://schemas.openxmlformats.org/officeDocument/2006/relationships/header" Target="header10.xml" /><Relationship Id="rId640" Type="http://schemas.openxmlformats.org/officeDocument/2006/relationships/hyperlink" Target="https://advance.lexis.com/api/document?collection=cases-ca&amp;id=urn:contentItem:5F7T-S721-F4NT-X2W2-00000-00&amp;context=" TargetMode="External" /><Relationship Id="rId641" Type="http://schemas.openxmlformats.org/officeDocument/2006/relationships/hyperlink" Target="https://advance.lexis.com/api/document?collection=cases-ca&amp;id=urn:contentItem:5F7T-S6W1-JB7K-21HB-00000-00&amp;context=" TargetMode="External" /><Relationship Id="rId642" Type="http://schemas.openxmlformats.org/officeDocument/2006/relationships/hyperlink" Target="https://advance.lexis.com/api/document?collection=cases-ca&amp;id=urn:contentItem:5F7T-S751-F361-M12N-00000-00&amp;context=" TargetMode="External" /><Relationship Id="rId643" Type="http://schemas.openxmlformats.org/officeDocument/2006/relationships/hyperlink" Target="https://advance.lexis.com/api/document?collection=cases-ca&amp;id=urn:contentItem:5F7T-S6Y1-JPP5-213G-00000-00&amp;context=" TargetMode="External" /><Relationship Id="rId644" Type="http://schemas.openxmlformats.org/officeDocument/2006/relationships/header" Target="header88.xml" /><Relationship Id="rId645" Type="http://schemas.openxmlformats.org/officeDocument/2006/relationships/header" Target="header89.xml" /><Relationship Id="rId646" Type="http://schemas.openxmlformats.org/officeDocument/2006/relationships/footer" Target="footer88.xml" /><Relationship Id="rId647" Type="http://schemas.openxmlformats.org/officeDocument/2006/relationships/footer" Target="footer89.xml" /><Relationship Id="rId648" Type="http://schemas.openxmlformats.org/officeDocument/2006/relationships/header" Target="header90.xml" /><Relationship Id="rId649" Type="http://schemas.openxmlformats.org/officeDocument/2006/relationships/footer" Target="footer90.xml" /><Relationship Id="rId65" Type="http://schemas.openxmlformats.org/officeDocument/2006/relationships/header" Target="header11.xml" /><Relationship Id="rId650" Type="http://schemas.openxmlformats.org/officeDocument/2006/relationships/hyperlink" Target="https://advance.lexis.com/api/document?collection=cases-ca&amp;id=urn:contentItem:5F7T-S7M1-JNCK-22T2-00000-00&amp;context=" TargetMode="External" /><Relationship Id="rId651" Type="http://schemas.openxmlformats.org/officeDocument/2006/relationships/hyperlink" Target="https://advance.lexis.com/api/document?collection=cases-ca&amp;id=urn:contentItem:5K6Y-81N1-JN14-G1MR-00000-00&amp;context=" TargetMode="External" /><Relationship Id="rId652" Type="http://schemas.openxmlformats.org/officeDocument/2006/relationships/hyperlink" Target="https://advance.lexis.com/api/document?collection=cases-ca&amp;id=urn:contentItem:5F7T-S7K1-DY33-B1B2-00000-00&amp;context=" TargetMode="External" /><Relationship Id="rId653" Type="http://schemas.openxmlformats.org/officeDocument/2006/relationships/hyperlink" Target="https://advance.lexis.com/api/document?collection=cases-ca&amp;id=urn:contentItem:5F7T-S6W1-JYYX-61KD-00000-00&amp;context=" TargetMode="External" /><Relationship Id="rId654" Type="http://schemas.openxmlformats.org/officeDocument/2006/relationships/hyperlink" Target="https://advance.lexis.com/api/document?collection=cases-ca&amp;id=urn:contentItem:5F7T-S7B1-F7ND-G51J-00000-00&amp;context=" TargetMode="External" /><Relationship Id="rId655" Type="http://schemas.openxmlformats.org/officeDocument/2006/relationships/hyperlink" Target="https://advance.lexis.com/api/document?collection=cases-ca&amp;id=urn:contentItem:5F7T-S7C1-JSRM-60VC-00000-00&amp;context=" TargetMode="External" /><Relationship Id="rId656" Type="http://schemas.openxmlformats.org/officeDocument/2006/relationships/hyperlink" Target="https://advance.lexis.com/api/document?collection=cases-ca&amp;id=urn:contentItem:5F7T-S7G1-JWR6-S1KB-00000-00&amp;context=" TargetMode="External" /><Relationship Id="rId657" Type="http://schemas.openxmlformats.org/officeDocument/2006/relationships/hyperlink" Target="https://advance.lexis.com/api/document?collection=cases-ca&amp;id=urn:contentItem:5F7T-S7K1-F528-G2RD-00000-00&amp;context=" TargetMode="External" /><Relationship Id="rId658" Type="http://schemas.openxmlformats.org/officeDocument/2006/relationships/hyperlink" Target="https://advance.lexis.com/api/document?collection=cases-ca&amp;id=urn:contentItem:5F7T-S731-F1WF-M2C0-00000-00&amp;context=" TargetMode="External" /><Relationship Id="rId659" Type="http://schemas.openxmlformats.org/officeDocument/2006/relationships/hyperlink" Target="https://advance.lexis.com/api/document?collection=cases-ca&amp;id=urn:contentItem:5F7T-S7K1-DY33-B1BY-00000-00&amp;context=" TargetMode="External" /><Relationship Id="rId66" Type="http://schemas.openxmlformats.org/officeDocument/2006/relationships/footer" Target="footer10.xml" /><Relationship Id="rId660" Type="http://schemas.openxmlformats.org/officeDocument/2006/relationships/hyperlink" Target="https://advance.lexis.com/api/document?collection=cases-ca&amp;id=urn:contentItem:5F7T-S781-F27X-616N-00000-00&amp;context=" TargetMode="External" /><Relationship Id="rId661" Type="http://schemas.openxmlformats.org/officeDocument/2006/relationships/hyperlink" Target="https://advance.lexis.com/api/document?collection=cases-ca&amp;id=urn:contentItem:5F7T-S7B1-JCJ5-2016-00000-00&amp;context=" TargetMode="External" /><Relationship Id="rId662" Type="http://schemas.openxmlformats.org/officeDocument/2006/relationships/hyperlink" Target="https://advance.lexis.com/api/document?collection=cases-ca&amp;id=urn:contentItem:5F7T-S7D1-F7ND-G0MP-00000-00&amp;context=" TargetMode="External" /><Relationship Id="rId663" Type="http://schemas.openxmlformats.org/officeDocument/2006/relationships/hyperlink" Target="https://advance.lexis.com/api/document?collection=cases-ca&amp;id=urn:contentItem:5F7T-S7G1-FCYK-208R-00000-00&amp;context=" TargetMode="External" /><Relationship Id="rId664" Type="http://schemas.openxmlformats.org/officeDocument/2006/relationships/hyperlink" Target="https://advance.lexis.com/api/document?collection=cases-ca&amp;id=urn:contentItem:5F7T-S761-FGJR-22C3-00000-00&amp;context=" TargetMode="External" /><Relationship Id="rId665" Type="http://schemas.openxmlformats.org/officeDocument/2006/relationships/hyperlink" Target="https://advance.lexis.com/api/document?collection=cases-ca&amp;id=urn:contentItem:5F7T-S7C1-F4NT-X3NK-00000-00&amp;context=" TargetMode="External" /><Relationship Id="rId666" Type="http://schemas.openxmlformats.org/officeDocument/2006/relationships/hyperlink" Target="https://advance.lexis.com/api/document?collection=cases-ca&amp;id=urn:contentItem:5F7T-S751-JCJ5-2494-00000-00&amp;context=" TargetMode="External" /><Relationship Id="rId667" Type="http://schemas.openxmlformats.org/officeDocument/2006/relationships/hyperlink" Target="https://advance.lexis.com/api/document?collection=cases-ca&amp;id=urn:contentItem:5F7T-S761-FFMK-M16Y-00000-00&amp;context=" TargetMode="External" /><Relationship Id="rId668" Type="http://schemas.openxmlformats.org/officeDocument/2006/relationships/hyperlink" Target="https://advance.lexis.com/api/document?collection=cases-ca&amp;id=urn:contentItem:5F7T-S771-F2TK-22J1-00000-00&amp;context=" TargetMode="External" /><Relationship Id="rId669" Type="http://schemas.openxmlformats.org/officeDocument/2006/relationships/hyperlink" Target="https://advance.lexis.com/api/document?collection=cases-ca&amp;id=urn:contentItem:5F7T-S7K1-F528-G32W-00000-00&amp;context=" TargetMode="External" /><Relationship Id="rId67" Type="http://schemas.openxmlformats.org/officeDocument/2006/relationships/footer" Target="footer11.xml" /><Relationship Id="rId670" Type="http://schemas.openxmlformats.org/officeDocument/2006/relationships/hyperlink" Target="https://advance.lexis.com/api/document?collection=cases-ca&amp;id=urn:contentItem:5F7T-S7K1-F528-G2TW-00000-00&amp;context=" TargetMode="External" /><Relationship Id="rId671" Type="http://schemas.openxmlformats.org/officeDocument/2006/relationships/hyperlink" Target="https://advance.lexis.com/api/document?collection=cases-ca&amp;id=urn:contentItem:5F7T-S7K1-F528-G2RW-00000-00&amp;context=" TargetMode="External" /><Relationship Id="rId672" Type="http://schemas.openxmlformats.org/officeDocument/2006/relationships/hyperlink" Target="https://advance.lexis.com/api/document?collection=cases-ca&amp;id=urn:contentItem:5F7T-S7C1-JSRM-60V6-00000-00&amp;context=" TargetMode="External" /><Relationship Id="rId673" Type="http://schemas.openxmlformats.org/officeDocument/2006/relationships/hyperlink" Target="https://advance.lexis.com/api/document?collection=cases-ca&amp;id=urn:contentItem:5F7T-S7F1-JFKM-61M4-00000-00&amp;context=" TargetMode="External" /><Relationship Id="rId674" Type="http://schemas.openxmlformats.org/officeDocument/2006/relationships/header" Target="header91.xml" /><Relationship Id="rId675" Type="http://schemas.openxmlformats.org/officeDocument/2006/relationships/header" Target="header92.xml" /><Relationship Id="rId676" Type="http://schemas.openxmlformats.org/officeDocument/2006/relationships/footer" Target="footer91.xml" /><Relationship Id="rId677" Type="http://schemas.openxmlformats.org/officeDocument/2006/relationships/footer" Target="footer92.xml" /><Relationship Id="rId678" Type="http://schemas.openxmlformats.org/officeDocument/2006/relationships/header" Target="header93.xml" /><Relationship Id="rId679" Type="http://schemas.openxmlformats.org/officeDocument/2006/relationships/footer" Target="footer93.xml" /><Relationship Id="rId68" Type="http://schemas.openxmlformats.org/officeDocument/2006/relationships/header" Target="header12.xml" /><Relationship Id="rId680" Type="http://schemas.openxmlformats.org/officeDocument/2006/relationships/hyperlink" Target="https://advance.lexis.com/api/document?collection=cases-ca&amp;id=urn:contentItem:5F7T-S7D1-JS5Y-B27Y-00000-00&amp;context=" TargetMode="External" /><Relationship Id="rId681" Type="http://schemas.openxmlformats.org/officeDocument/2006/relationships/hyperlink" Target="https://advance.lexis.com/api/document?collection=cases-ca&amp;id=urn:contentItem:5F7T-S721-F06F-230Y-00000-00&amp;context=" TargetMode="External" /><Relationship Id="rId682" Type="http://schemas.openxmlformats.org/officeDocument/2006/relationships/header" Target="header94.xml" /><Relationship Id="rId683" Type="http://schemas.openxmlformats.org/officeDocument/2006/relationships/header" Target="header95.xml" /><Relationship Id="rId684" Type="http://schemas.openxmlformats.org/officeDocument/2006/relationships/footer" Target="footer94.xml" /><Relationship Id="rId685" Type="http://schemas.openxmlformats.org/officeDocument/2006/relationships/footer" Target="footer95.xml" /><Relationship Id="rId686" Type="http://schemas.openxmlformats.org/officeDocument/2006/relationships/header" Target="header96.xml" /><Relationship Id="rId687" Type="http://schemas.openxmlformats.org/officeDocument/2006/relationships/footer" Target="footer96.xml" /><Relationship Id="rId688" Type="http://schemas.openxmlformats.org/officeDocument/2006/relationships/hyperlink" Target="https://advance.lexis.com/api/document?collection=cases-ca&amp;id=urn:contentItem:5F7T-S7C1-FGRY-B0HR-00000-00&amp;context=" TargetMode="External" /><Relationship Id="rId689" Type="http://schemas.openxmlformats.org/officeDocument/2006/relationships/header" Target="header97.xml" /><Relationship Id="rId69" Type="http://schemas.openxmlformats.org/officeDocument/2006/relationships/footer" Target="footer12.xml" /><Relationship Id="rId690" Type="http://schemas.openxmlformats.org/officeDocument/2006/relationships/header" Target="header98.xml" /><Relationship Id="rId691" Type="http://schemas.openxmlformats.org/officeDocument/2006/relationships/footer" Target="footer97.xml" /><Relationship Id="rId692" Type="http://schemas.openxmlformats.org/officeDocument/2006/relationships/footer" Target="footer98.xml" /><Relationship Id="rId693" Type="http://schemas.openxmlformats.org/officeDocument/2006/relationships/header" Target="header99.xml" /><Relationship Id="rId694" Type="http://schemas.openxmlformats.org/officeDocument/2006/relationships/footer" Target="footer99.xml" /><Relationship Id="rId695" Type="http://schemas.openxmlformats.org/officeDocument/2006/relationships/hyperlink" Target="https://advance.lexis.com/api/document?collection=cases-ca&amp;id=urn:contentItem:5F7T-S7F1-JFKM-61H0-00000-00&amp;context=" TargetMode="External" /><Relationship Id="rId696" Type="http://schemas.openxmlformats.org/officeDocument/2006/relationships/hyperlink" Target="https://advance.lexis.com/api/document?collection=cases-ca&amp;id=urn:contentItem:5F8T-N3V1-JFKM-60BG-00000-00&amp;context=" TargetMode="External" /><Relationship Id="rId697" Type="http://schemas.openxmlformats.org/officeDocument/2006/relationships/hyperlink" Target="https://advance.lexis.com/api/document?collection=cases-ca&amp;id=urn:contentItem:5F7T-S7C1-F7VM-S3K5-00000-00&amp;context=" TargetMode="External" /><Relationship Id="rId698" Type="http://schemas.openxmlformats.org/officeDocument/2006/relationships/hyperlink" Target="https://advance.lexis.com/api/document?collection=cases-ca&amp;id=urn:contentItem:5F8P-SDJ1-JW5H-X3JD-00000-00&amp;context=" TargetMode="External" /><Relationship Id="rId699" Type="http://schemas.openxmlformats.org/officeDocument/2006/relationships/hyperlink" Target="https://advance.lexis.com/api/document?collection=cases-ca&amp;id=urn:contentItem:5F8P-SD31-JGHR-M4RR-00000-00&amp;context=" TargetMode="External" /><Relationship Id="rId7" Type="http://schemas.openxmlformats.org/officeDocument/2006/relationships/footer" Target="footer2.xml" /><Relationship Id="rId70" Type="http://schemas.openxmlformats.org/officeDocument/2006/relationships/hyperlink" Target="https://advance.lexis.com/api/document?collection=cases-ca&amp;id=urn:contentItem:5F7T-S7H1-JCRC-B11P-00000-00&amp;context=" TargetMode="External" /><Relationship Id="rId700" Type="http://schemas.openxmlformats.org/officeDocument/2006/relationships/hyperlink" Target="https://advance.lexis.com/api/document?collection=cases-ca&amp;id=urn:contentItem:5F7T-S731-JC0G-63P5-00000-00&amp;context=" TargetMode="External" /><Relationship Id="rId701" Type="http://schemas.openxmlformats.org/officeDocument/2006/relationships/hyperlink" Target="https://advance.lexis.com/api/document?collection=cases-ca&amp;id=urn:contentItem:5F7T-S741-F57G-S1H0-00000-00&amp;context=" TargetMode="External" /><Relationship Id="rId702" Type="http://schemas.openxmlformats.org/officeDocument/2006/relationships/hyperlink" Target="https://advance.lexis.com/api/document?collection=cases-ca&amp;id=urn:contentItem:5F7T-S7F1-FFFC-B251-00000-00&amp;context=" TargetMode="External" /><Relationship Id="rId703" Type="http://schemas.openxmlformats.org/officeDocument/2006/relationships/header" Target="header100.xml" /><Relationship Id="rId704" Type="http://schemas.openxmlformats.org/officeDocument/2006/relationships/header" Target="header101.xml" /><Relationship Id="rId705" Type="http://schemas.openxmlformats.org/officeDocument/2006/relationships/footer" Target="footer100.xml" /><Relationship Id="rId706" Type="http://schemas.openxmlformats.org/officeDocument/2006/relationships/footer" Target="footer101.xml" /><Relationship Id="rId707" Type="http://schemas.openxmlformats.org/officeDocument/2006/relationships/header" Target="header102.xml" /><Relationship Id="rId708" Type="http://schemas.openxmlformats.org/officeDocument/2006/relationships/footer" Target="footer102.xml" /><Relationship Id="rId709" Type="http://schemas.openxmlformats.org/officeDocument/2006/relationships/hyperlink" Target="https://advance.lexis.com/api/document?collection=cases-ca&amp;id=urn:contentItem:5F7T-S7H1-JFSV-G366-00000-00&amp;context=" TargetMode="External" /><Relationship Id="rId71" Type="http://schemas.openxmlformats.org/officeDocument/2006/relationships/hyperlink" Target="https://advance.lexis.com/api/document?collection=cases-ca&amp;id=urn:contentItem:5F7T-S6T1-DY89-M32P-00000-00&amp;context=" TargetMode="External" /><Relationship Id="rId710" Type="http://schemas.openxmlformats.org/officeDocument/2006/relationships/hyperlink" Target="https://advance.lexis.com/api/document?collection=legislation-ca&amp;id=urn:contentItem:5SF6-01Y1-K0HK-203W-00000-00&amp;context=" TargetMode="External" /><Relationship Id="rId711" Type="http://schemas.openxmlformats.org/officeDocument/2006/relationships/hyperlink" Target="https://advance.lexis.com/api/document?collection=cases-ca&amp;id=urn:contentItem:5F7T-S7G1-JX3N-B2FS-00000-00&amp;context=" TargetMode="External" /><Relationship Id="rId712" Type="http://schemas.openxmlformats.org/officeDocument/2006/relationships/hyperlink" Target="https://advance.lexis.com/api/document?collection=cases-ca&amp;id=urn:contentItem:5F7T-S7G1-JN6B-S1G9-00000-00&amp;context=" TargetMode="External" /><Relationship Id="rId713" Type="http://schemas.openxmlformats.org/officeDocument/2006/relationships/hyperlink" Target="https://advance.lexis.com/api/document?collection=cases-ca&amp;id=urn:contentItem:5F7T-S7G1-JNY7-X3KR-00000-00&amp;context=" TargetMode="External" /><Relationship Id="rId714" Type="http://schemas.openxmlformats.org/officeDocument/2006/relationships/hyperlink" Target="https://advance.lexis.com/api/document?collection=cases-ca&amp;id=urn:contentItem:5F7T-S7D1-F7ND-G0RR-00000-00&amp;context=" TargetMode="External" /><Relationship Id="rId715" Type="http://schemas.openxmlformats.org/officeDocument/2006/relationships/hyperlink" Target="https://advance.lexis.com/api/document?collection=cases-ca&amp;id=urn:contentItem:5F7T-S7F1-JBT7-X2N5-00000-00&amp;context=" TargetMode="External" /><Relationship Id="rId716" Type="http://schemas.openxmlformats.org/officeDocument/2006/relationships/hyperlink" Target="https://advance.lexis.com/api/document?collection=cases-ca&amp;id=urn:contentItem:5F7T-S751-JNS1-M1X2-00000-00&amp;context=" TargetMode="External" /><Relationship Id="rId717" Type="http://schemas.openxmlformats.org/officeDocument/2006/relationships/header" Target="header103.xml" /><Relationship Id="rId718" Type="http://schemas.openxmlformats.org/officeDocument/2006/relationships/header" Target="header104.xml" /><Relationship Id="rId719" Type="http://schemas.openxmlformats.org/officeDocument/2006/relationships/footer" Target="footer103.xml" /><Relationship Id="rId72" Type="http://schemas.openxmlformats.org/officeDocument/2006/relationships/hyperlink" Target="https://advance.lexis.com/api/document?collection=cases-ca&amp;id=urn:contentItem:5F7T-S6V1-JC0G-62GW-00000-00&amp;context=" TargetMode="External" /><Relationship Id="rId720" Type="http://schemas.openxmlformats.org/officeDocument/2006/relationships/footer" Target="footer104.xml" /><Relationship Id="rId721" Type="http://schemas.openxmlformats.org/officeDocument/2006/relationships/header" Target="header105.xml" /><Relationship Id="rId722" Type="http://schemas.openxmlformats.org/officeDocument/2006/relationships/footer" Target="footer105.xml" /><Relationship Id="rId723" Type="http://schemas.openxmlformats.org/officeDocument/2006/relationships/hyperlink" Target="https://advance.lexis.com/api/document?collection=cases-ca&amp;id=urn:contentItem:5RJ2-3F61-JWXF-23G3-00000-00&amp;context=" TargetMode="External" /><Relationship Id="rId724" Type="http://schemas.openxmlformats.org/officeDocument/2006/relationships/hyperlink" Target="https://advance.lexis.com/api/document?collection=legislation-ca&amp;id=urn:contentItem:5W2C-X5K1-JPGX-S3S0-00000-00&amp;context=" TargetMode="External" /><Relationship Id="rId725" Type="http://schemas.openxmlformats.org/officeDocument/2006/relationships/image" Target="media/image2.jpeg" /><Relationship Id="rId726" Type="http://schemas.openxmlformats.org/officeDocument/2006/relationships/image" Target="media/image3.jpeg" /><Relationship Id="rId727" Type="http://schemas.openxmlformats.org/officeDocument/2006/relationships/hyperlink" Target="https://advance.lexis.com/api/document?collection=cases-ca&amp;id=urn:contentItem:5F8T-N3V1-FH4C-X1X0-00000-00&amp;context=" TargetMode="External" /><Relationship Id="rId728" Type="http://schemas.openxmlformats.org/officeDocument/2006/relationships/hyperlink" Target="https://advance.lexis.com/api/document?collection=cases-ca&amp;id=urn:contentItem:5F7T-S7F1-JFKM-61MK-00000-00&amp;context=" TargetMode="External" /><Relationship Id="rId729" Type="http://schemas.openxmlformats.org/officeDocument/2006/relationships/hyperlink" Target="https://advance.lexis.com/api/document?collection=cases-ca&amp;id=urn:contentItem:5F7T-S7P1-JCRC-B29J-00000-00&amp;context=" TargetMode="External" /><Relationship Id="rId73" Type="http://schemas.openxmlformats.org/officeDocument/2006/relationships/hyperlink" Target="https://advance.lexis.com/api/document?collection=cases-ca&amp;id=urn:contentItem:5F7T-S721-FD4T-B172-00000-00&amp;context=" TargetMode="External" /><Relationship Id="rId730" Type="http://schemas.openxmlformats.org/officeDocument/2006/relationships/hyperlink" Target="https://advance.lexis.com/api/document?collection=cases-ca&amp;id=urn:contentItem:5F8T-N3V1-JF75-M3D0-00000-00&amp;context=" TargetMode="External" /><Relationship Id="rId731" Type="http://schemas.openxmlformats.org/officeDocument/2006/relationships/hyperlink" Target="https://advance.lexis.com/api/document?collection=cases-ca&amp;id=urn:contentItem:5F81-VJY1-FBN1-22S0-00000-00&amp;context=" TargetMode="External" /><Relationship Id="rId732" Type="http://schemas.openxmlformats.org/officeDocument/2006/relationships/hyperlink" Target="https://advance.lexis.com/api/document?collection=legislation-ca&amp;id=urn:contentItem:5F41-1FG1-JJYN-B0DY-00000-00&amp;context=" TargetMode="External" /><Relationship Id="rId733" Type="http://schemas.openxmlformats.org/officeDocument/2006/relationships/hyperlink" Target="https://advance.lexis.com/api/document?collection=cases-ca&amp;id=urn:contentItem:5KD1-W4V1-JC5P-G3DY-00000-00&amp;context=" TargetMode="External" /><Relationship Id="rId734" Type="http://schemas.openxmlformats.org/officeDocument/2006/relationships/hyperlink" Target="https://advance.lexis.com/api/document?collection=cases-ca&amp;id=urn:contentItem:5F8T-N3V1-FC1F-M4CN-00000-00&amp;context=" TargetMode="External" /><Relationship Id="rId735" Type="http://schemas.openxmlformats.org/officeDocument/2006/relationships/hyperlink" Target="https://advance.lexis.com/api/document?collection=legislation-ca&amp;id=urn:contentItem:5VYK-W9T1-JGBH-B3CT-00000-00&amp;context=" TargetMode="External" /><Relationship Id="rId736" Type="http://schemas.openxmlformats.org/officeDocument/2006/relationships/hyperlink" Target="https://advance.lexis.com/api/document?collection=cases-ca&amp;id=urn:contentItem:5F8T-N3V1-FC1F-M48T-00000-00&amp;context=" TargetMode="External" /><Relationship Id="rId737" Type="http://schemas.openxmlformats.org/officeDocument/2006/relationships/hyperlink" Target="https://advance.lexis.com/api/document?collection=cases-ca&amp;id=urn:contentItem:5F7T-S7P1-JNJT-B2T8-00000-00&amp;context=" TargetMode="External" /><Relationship Id="rId738" Type="http://schemas.openxmlformats.org/officeDocument/2006/relationships/hyperlink" Target="https://advance.lexis.com/api/document?collection=cases-ca&amp;id=urn:contentItem:5F8T-N3V1-FH4C-X236-00000-00&amp;context=" TargetMode="External" /><Relationship Id="rId739" Type="http://schemas.openxmlformats.org/officeDocument/2006/relationships/hyperlink" Target="https://advance.lexis.com/api/document?collection=cases-ca&amp;id=urn:contentItem:5F8T-N3V1-JTGH-B19G-00000-00&amp;context=" TargetMode="External" /><Relationship Id="rId74" Type="http://schemas.openxmlformats.org/officeDocument/2006/relationships/hyperlink" Target="https://advance.lexis.com/api/document?collection=cases-ca&amp;id=urn:contentItem:5F7T-S7F1-FFFC-B22B-00000-00&amp;context=" TargetMode="External" /><Relationship Id="rId740" Type="http://schemas.openxmlformats.org/officeDocument/2006/relationships/hyperlink" Target="https://advance.lexis.com/api/document?collection=cases-ca&amp;id=urn:contentItem:5F8T-N3V1-FH4C-X24G-00000-00&amp;context=" TargetMode="External" /><Relationship Id="rId741" Type="http://schemas.openxmlformats.org/officeDocument/2006/relationships/hyperlink" Target="https://advance.lexis.com/api/document?collection=cases-ca&amp;id=urn:contentItem:5F8T-N3V1-FH4C-X1WM-00000-00&amp;context=" TargetMode="External" /><Relationship Id="rId742" Type="http://schemas.openxmlformats.org/officeDocument/2006/relationships/hyperlink" Target="https://advance.lexis.com/api/document?collection=cases-ca&amp;id=urn:contentItem:5F7T-S6T1-JTNR-M2G3-00000-00&amp;context=" TargetMode="External" /><Relationship Id="rId743" Type="http://schemas.openxmlformats.org/officeDocument/2006/relationships/hyperlink" Target="https://advance.lexis.com/api/document?collection=cases-ca&amp;id=urn:contentItem:5F7T-S7C1-JSRM-610G-00000-00&amp;context=" TargetMode="External" /><Relationship Id="rId744" Type="http://schemas.openxmlformats.org/officeDocument/2006/relationships/header" Target="header106.xml" /><Relationship Id="rId745" Type="http://schemas.openxmlformats.org/officeDocument/2006/relationships/header" Target="header107.xml" /><Relationship Id="rId746" Type="http://schemas.openxmlformats.org/officeDocument/2006/relationships/footer" Target="footer106.xml" /><Relationship Id="rId747" Type="http://schemas.openxmlformats.org/officeDocument/2006/relationships/footer" Target="footer107.xml" /><Relationship Id="rId748" Type="http://schemas.openxmlformats.org/officeDocument/2006/relationships/header" Target="header108.xml" /><Relationship Id="rId749" Type="http://schemas.openxmlformats.org/officeDocument/2006/relationships/footer" Target="footer108.xml" /><Relationship Id="rId75" Type="http://schemas.openxmlformats.org/officeDocument/2006/relationships/header" Target="header13.xml" /><Relationship Id="rId750" Type="http://schemas.openxmlformats.org/officeDocument/2006/relationships/hyperlink" Target="https://advance.lexis.com/api/document?collection=cases-ca&amp;id=urn:contentItem:5F7T-S7N1-JW09-M0Y3-00000-00&amp;context=" TargetMode="External" /><Relationship Id="rId751" Type="http://schemas.openxmlformats.org/officeDocument/2006/relationships/hyperlink" Target="https://advance.lexis.com/api/document?collection=cases-ca&amp;id=urn:contentItem:5K6Y-81N1-JFDC-X1D5-00000-00&amp;context=" TargetMode="External" /><Relationship Id="rId752" Type="http://schemas.openxmlformats.org/officeDocument/2006/relationships/hyperlink" Target="https://advance.lexis.com/api/document?collection=cases-ca&amp;id=urn:contentItem:5F7T-S7N1-F06F-24PC-00000-00&amp;context=" TargetMode="External" /><Relationship Id="rId753" Type="http://schemas.openxmlformats.org/officeDocument/2006/relationships/hyperlink" Target="https://advance.lexis.com/api/document?collection=cases-ca&amp;id=urn:contentItem:5F7T-S741-F2F4-G2B8-00000-00&amp;context=" TargetMode="External" /><Relationship Id="rId754" Type="http://schemas.openxmlformats.org/officeDocument/2006/relationships/hyperlink" Target="https://advance.lexis.com/api/document?collection=cases-ca&amp;id=urn:contentItem:5F7T-S731-JC0G-63HG-00000-00&amp;context=" TargetMode="External" /><Relationship Id="rId755" Type="http://schemas.openxmlformats.org/officeDocument/2006/relationships/hyperlink" Target="https://advance.lexis.com/api/document?collection=cases-ca&amp;id=urn:contentItem:5F7T-S7G1-JPP5-21VM-00000-00&amp;context=" TargetMode="External" /><Relationship Id="rId756" Type="http://schemas.openxmlformats.org/officeDocument/2006/relationships/hyperlink" Target="https://advance.lexis.com/api/document?collection=cases-ca&amp;id=urn:contentItem:5F7T-S7F1-JBT7-X2P0-00000-00&amp;context=" TargetMode="External" /><Relationship Id="rId757" Type="http://schemas.openxmlformats.org/officeDocument/2006/relationships/hyperlink" Target="https://advance.lexis.com/api/document?collection=cases-ca&amp;id=urn:contentItem:5F8T-N3V1-JTGH-B10F-00000-00&amp;context=" TargetMode="External" /><Relationship Id="rId758" Type="http://schemas.openxmlformats.org/officeDocument/2006/relationships/hyperlink" Target="https://advance.lexis.com/api/document?collection=cases-ca&amp;id=urn:contentItem:5F7T-S6Y1-JNY7-X2BH-00000-00&amp;context=" TargetMode="External" /><Relationship Id="rId759" Type="http://schemas.openxmlformats.org/officeDocument/2006/relationships/hyperlink" Target="https://advance.lexis.com/api/document?collection=cases-ca&amp;id=urn:contentItem:5F7T-S7D1-FC6N-X0TR-00000-00&amp;context=" TargetMode="External" /><Relationship Id="rId76" Type="http://schemas.openxmlformats.org/officeDocument/2006/relationships/header" Target="header14.xml" /><Relationship Id="rId760" Type="http://schemas.openxmlformats.org/officeDocument/2006/relationships/hyperlink" Target="https://advance.lexis.com/api/document?collection=cases-ca&amp;id=urn:contentItem:5F7T-S741-F57G-S21M-00000-00&amp;context=" TargetMode="External" /><Relationship Id="rId761" Type="http://schemas.openxmlformats.org/officeDocument/2006/relationships/hyperlink" Target="https://advance.lexis.com/api/document?collection=cases-ca&amp;id=urn:contentItem:5F7T-S7M1-JPP5-22SN-00000-00&amp;context=" TargetMode="External" /><Relationship Id="rId762" Type="http://schemas.openxmlformats.org/officeDocument/2006/relationships/hyperlink" Target="https://advance.lexis.com/api/document?collection=cases-ca&amp;id=urn:contentItem:5F7T-S7K1-F528-G2V7-00000-00&amp;context=" TargetMode="External" /><Relationship Id="rId763" Type="http://schemas.openxmlformats.org/officeDocument/2006/relationships/hyperlink" Target="https://advance.lexis.com/api/document?collection=cases-ca&amp;id=urn:contentItem:5F7T-S7M1-JNCK-22F5-00000-00&amp;context=" TargetMode="External" /><Relationship Id="rId764" Type="http://schemas.openxmlformats.org/officeDocument/2006/relationships/hyperlink" Target="https://advance.lexis.com/api/document?collection=cases-ca&amp;id=urn:contentItem:5F8T-N3V1-JF75-M3W8-00000-00&amp;context=" TargetMode="External" /><Relationship Id="rId765" Type="http://schemas.openxmlformats.org/officeDocument/2006/relationships/hyperlink" Target="https://advance.lexis.com/api/document?collection=cases-ca&amp;id=urn:contentItem:5F81-VJW1-K0HK-2233-00000-00&amp;context=" TargetMode="External" /><Relationship Id="rId766" Type="http://schemas.openxmlformats.org/officeDocument/2006/relationships/hyperlink" Target="https://advance.lexis.com/api/document?collection=cases-ca&amp;id=urn:contentItem:5F8T-N3T1-JJSF-23P9-00000-00&amp;context=" TargetMode="External" /><Relationship Id="rId767" Type="http://schemas.openxmlformats.org/officeDocument/2006/relationships/hyperlink" Target="https://advance.lexis.com/api/document?collection=legislation-ca&amp;id=urn:contentItem:5F9J-MWS1-DXPM-S3JR-00000-00&amp;context=" TargetMode="External" /><Relationship Id="rId768" Type="http://schemas.openxmlformats.org/officeDocument/2006/relationships/hyperlink" Target="https://advance.lexis.com/api/document?collection=cases-ca&amp;id=urn:contentItem:5F8T-N3T1-JJSF-23PC-00000-00&amp;context=" TargetMode="External" /><Relationship Id="rId769" Type="http://schemas.openxmlformats.org/officeDocument/2006/relationships/hyperlink" Target="https://advance.lexis.com/api/document?collection=cases-ca&amp;id=urn:contentItem:5F8T-N3V1-FC1F-M4CP-00000-00&amp;context=" TargetMode="External" /><Relationship Id="rId77" Type="http://schemas.openxmlformats.org/officeDocument/2006/relationships/footer" Target="footer13.xml" /><Relationship Id="rId770" Type="http://schemas.openxmlformats.org/officeDocument/2006/relationships/hyperlink" Target="https://advance.lexis.com/api/document?collection=cases-ca&amp;id=urn:contentItem:5F81-VJX1-JYYX-60KF-00000-00&amp;context=" TargetMode="External" /><Relationship Id="rId771" Type="http://schemas.openxmlformats.org/officeDocument/2006/relationships/hyperlink" Target="https://advance.lexis.com/api/document?collection=cases-ca&amp;id=urn:contentItem:5F8P-SCX1-FCSB-S20J-00000-00&amp;context=" TargetMode="External" /><Relationship Id="rId772" Type="http://schemas.openxmlformats.org/officeDocument/2006/relationships/hyperlink" Target="https://advance.lexis.com/api/document?collection=cases-ca&amp;id=urn:contentItem:5F7T-S7B1-JSRM-60J3-00000-00&amp;context=" TargetMode="External" /><Relationship Id="rId773" Type="http://schemas.openxmlformats.org/officeDocument/2006/relationships/hyperlink" Target="https://advance.lexis.com/api/document?collection=cases-ca&amp;id=urn:contentItem:5F7T-S7F1-FBN1-21K5-00000-00&amp;context=" TargetMode="External" /><Relationship Id="rId774" Type="http://schemas.openxmlformats.org/officeDocument/2006/relationships/hyperlink" Target="https://advance.lexis.com/api/document?collection=cases-ca&amp;id=urn:contentItem:5F7T-S7M1-JJK6-S1WR-00000-00&amp;context=" TargetMode="External" /><Relationship Id="rId775" Type="http://schemas.openxmlformats.org/officeDocument/2006/relationships/hyperlink" Target="https://advance.lexis.com/api/document?collection=cases-ca&amp;id=urn:contentItem:5F7T-S7M1-JCRC-B1W8-00000-00&amp;context=" TargetMode="External" /><Relationship Id="rId776" Type="http://schemas.openxmlformats.org/officeDocument/2006/relationships/hyperlink" Target="https://advance.lexis.com/api/document?collection=cases-ca&amp;id=urn:contentItem:5F7T-S781-FH4C-X2R3-00000-00&amp;context=" TargetMode="External" /><Relationship Id="rId777" Type="http://schemas.openxmlformats.org/officeDocument/2006/relationships/header" Target="header109.xml" /><Relationship Id="rId778" Type="http://schemas.openxmlformats.org/officeDocument/2006/relationships/header" Target="header110.xml" /><Relationship Id="rId779" Type="http://schemas.openxmlformats.org/officeDocument/2006/relationships/footer" Target="footer109.xml" /><Relationship Id="rId78" Type="http://schemas.openxmlformats.org/officeDocument/2006/relationships/footer" Target="footer14.xml" /><Relationship Id="rId780" Type="http://schemas.openxmlformats.org/officeDocument/2006/relationships/footer" Target="footer110.xml" /><Relationship Id="rId781" Type="http://schemas.openxmlformats.org/officeDocument/2006/relationships/header" Target="header111.xml" /><Relationship Id="rId782" Type="http://schemas.openxmlformats.org/officeDocument/2006/relationships/footer" Target="footer111.xml" /><Relationship Id="rId783" Type="http://schemas.openxmlformats.org/officeDocument/2006/relationships/hyperlink" Target="https://advance.lexis.com/api/document?collection=cases-ca&amp;id=urn:contentItem:5V50-77F1-JCRC-B39P-00000-00&amp;context=" TargetMode="External" /><Relationship Id="rId784" Type="http://schemas.openxmlformats.org/officeDocument/2006/relationships/hyperlink" Target="https://advance.lexis.com/api/document?collection=cases-ca&amp;id=urn:contentItem:5F7T-S761-JS5Y-B1DS-00000-00&amp;context=" TargetMode="External" /><Relationship Id="rId785" Type="http://schemas.openxmlformats.org/officeDocument/2006/relationships/hyperlink" Target="https://advance.lexis.com/api/document?collection=cases-ca&amp;id=urn:contentItem:5F7T-S7J1-DXWW-2531-00000-00&amp;context=" TargetMode="External" /><Relationship Id="rId786" Type="http://schemas.openxmlformats.org/officeDocument/2006/relationships/hyperlink" Target="https://advance.lexis.com/api/document?collection=cases-ca&amp;id=urn:contentItem:5F7T-S7K1-JNY7-X4MJ-00000-00&amp;context=" TargetMode="External" /><Relationship Id="rId787" Type="http://schemas.openxmlformats.org/officeDocument/2006/relationships/hyperlink" Target="https://advance.lexis.com/api/document?collection=cases-ca&amp;id=urn:contentItem:5F7T-S731-FFFC-B0KN-00000-00&amp;context=" TargetMode="External" /><Relationship Id="rId788" Type="http://schemas.openxmlformats.org/officeDocument/2006/relationships/hyperlink" Target="https://advance.lexis.com/api/document?collection=cases-ca&amp;id=urn:contentItem:5F7T-S701-JJYN-B2NP-00000-00&amp;context=" TargetMode="External" /><Relationship Id="rId789" Type="http://schemas.openxmlformats.org/officeDocument/2006/relationships/hyperlink" Target="https://advance.lexis.com/api/document?collection=cases-ca&amp;id=urn:contentItem:5F7T-S7F1-FFFC-B22N-00000-00&amp;context=" TargetMode="External" /><Relationship Id="rId79" Type="http://schemas.openxmlformats.org/officeDocument/2006/relationships/header" Target="header15.xml" /><Relationship Id="rId790" Type="http://schemas.openxmlformats.org/officeDocument/2006/relationships/hyperlink" Target="https://advance.lexis.com/api/document?collection=cases-ca&amp;id=urn:contentItem:5F8P-SFC1-FG12-6118-00000-00&amp;context=" TargetMode="External" /><Relationship Id="rId791" Type="http://schemas.openxmlformats.org/officeDocument/2006/relationships/hyperlink" Target="https://advance.lexis.com/api/document?collection=cases-ca&amp;id=urn:contentItem:5K2F-CNC1-JKPJ-G2X3-00000-00&amp;context=" TargetMode="External" /><Relationship Id="rId792" Type="http://schemas.openxmlformats.org/officeDocument/2006/relationships/hyperlink" Target="https://advance.lexis.com/api/document?collection=cases-ca&amp;id=urn:contentItem:5F8P-SFY1-JT42-S4MK-00000-00&amp;context=" TargetMode="External" /><Relationship Id="rId793" Type="http://schemas.openxmlformats.org/officeDocument/2006/relationships/hyperlink" Target="https://advance.lexis.com/api/document?collection=cases-ca&amp;id=urn:contentItem:5N1G-DV31-DXWW-224X-00000-00&amp;context=" TargetMode="External" /><Relationship Id="rId794" Type="http://schemas.openxmlformats.org/officeDocument/2006/relationships/hyperlink" Target="https://advance.lexis.com/api/document?collection=cases-ca&amp;id=urn:contentItem:5F8T-N3V1-FC1F-M49J-00000-00&amp;context=" TargetMode="External" /><Relationship Id="rId795" Type="http://schemas.openxmlformats.org/officeDocument/2006/relationships/hyperlink" Target="https://advance.lexis.com/api/document?collection=cases-ca&amp;id=urn:contentItem:5F8T-N3V1-JTGH-B1C7-00000-00&amp;context=" TargetMode="External" /><Relationship Id="rId796" Type="http://schemas.openxmlformats.org/officeDocument/2006/relationships/hyperlink" Target="https://advance.lexis.com/api/document?collection=cases-ca&amp;id=urn:contentItem:5F8T-N3V1-JF75-M3VR-00000-00&amp;context=" TargetMode="External" /><Relationship Id="rId797" Type="http://schemas.openxmlformats.org/officeDocument/2006/relationships/hyperlink" Target="https://advance.lexis.com/api/document?collection=cases-ca&amp;id=urn:contentItem:5NX0-DV61-FBV7-B0YS-00000-00&amp;context=" TargetMode="External" /><Relationship Id="rId798" Type="http://schemas.openxmlformats.org/officeDocument/2006/relationships/header" Target="header112.xml" /><Relationship Id="rId799" Type="http://schemas.openxmlformats.org/officeDocument/2006/relationships/header" Target="header113.xml" /><Relationship Id="rId8" Type="http://schemas.openxmlformats.org/officeDocument/2006/relationships/header" Target="header3.xml" /><Relationship Id="rId80" Type="http://schemas.openxmlformats.org/officeDocument/2006/relationships/footer" Target="footer15.xml" /><Relationship Id="rId800" Type="http://schemas.openxmlformats.org/officeDocument/2006/relationships/footer" Target="footer112.xml" /><Relationship Id="rId801" Type="http://schemas.openxmlformats.org/officeDocument/2006/relationships/footer" Target="footer113.xml" /><Relationship Id="rId802" Type="http://schemas.openxmlformats.org/officeDocument/2006/relationships/header" Target="header114.xml" /><Relationship Id="rId803" Type="http://schemas.openxmlformats.org/officeDocument/2006/relationships/footer" Target="footer114.xml" /><Relationship Id="rId804" Type="http://schemas.openxmlformats.org/officeDocument/2006/relationships/hyperlink" Target="https://advance.lexis.com/api/document?collection=cases-ca&amp;id=urn:contentItem:5Y93-9961-JX3N-B321-00000-00&amp;context=" TargetMode="External" /><Relationship Id="rId805" Type="http://schemas.openxmlformats.org/officeDocument/2006/relationships/hyperlink" Target="https://advance.lexis.com/api/document?collection=cases-ca&amp;id=urn:contentItem:5F7T-S7G1-JPP5-2210-00000-00&amp;context=" TargetMode="External" /><Relationship Id="rId806" Type="http://schemas.openxmlformats.org/officeDocument/2006/relationships/hyperlink" Target="https://advance.lexis.com/api/document?collection=cases-ca&amp;id=urn:contentItem:5F7T-S7N1-F57G-S294-00000-00&amp;context=" TargetMode="External" /><Relationship Id="rId807" Type="http://schemas.openxmlformats.org/officeDocument/2006/relationships/hyperlink" Target="https://advance.lexis.com/api/document?collection=cases-ca&amp;id=urn:contentItem:5J3K-3591-F956-S3CM-00000-00&amp;context=" TargetMode="External" /><Relationship Id="rId808" Type="http://schemas.openxmlformats.org/officeDocument/2006/relationships/hyperlink" Target="https://advance.lexis.com/api/document?collection=cases-ca&amp;id=urn:contentItem:5RTY-1871-JCBX-S0TB-00000-00&amp;context=" TargetMode="External" /><Relationship Id="rId809" Type="http://schemas.openxmlformats.org/officeDocument/2006/relationships/hyperlink" Target="https://advance.lexis.com/api/document?collection=cases-ca&amp;id=urn:contentItem:5WKX-G2H1-JPGX-S2RB-00000-00&amp;context=" TargetMode="External" /><Relationship Id="rId81" Type="http://schemas.openxmlformats.org/officeDocument/2006/relationships/hyperlink" Target="https://advance.lexis.com/api/document?collection=cases-ca&amp;id=urn:contentItem:5F7T-S7M1-F4W2-6273-00000-00&amp;context=" TargetMode="External" /><Relationship Id="rId810" Type="http://schemas.openxmlformats.org/officeDocument/2006/relationships/hyperlink" Target="https://advance.lexis.com/api/document?collection=cases-ca&amp;id=urn:contentItem:5WN6-3YJ1-JKPJ-G3F8-00000-00&amp;context=" TargetMode="External" /><Relationship Id="rId811" Type="http://schemas.openxmlformats.org/officeDocument/2006/relationships/hyperlink" Target="https://advance.lexis.com/api/document?collection=cases-ca&amp;id=urn:contentItem:5VSW-6T41-F956-S1DY-00000-00&amp;context=" TargetMode="External" /><Relationship Id="rId812" Type="http://schemas.openxmlformats.org/officeDocument/2006/relationships/hyperlink" Target="https://advance.lexis.com/api/document?collection=cases-ca&amp;id=urn:contentItem:5SVY-0NW1-JSC5-M1GK-00000-00&amp;context=" TargetMode="External" /><Relationship Id="rId813" Type="http://schemas.openxmlformats.org/officeDocument/2006/relationships/hyperlink" Target="https://advance.lexis.com/api/document?collection=cases-ca&amp;id=urn:contentItem:5W25-5841-F27X-602J-00000-00&amp;context=" TargetMode="External" /><Relationship Id="rId814" Type="http://schemas.openxmlformats.org/officeDocument/2006/relationships/hyperlink" Target="https://advance.lexis.com/api/document?collection=cases-ca&amp;id=urn:contentItem:5T64-7581-F65M-613N-00000-00&amp;context=" TargetMode="External" /><Relationship Id="rId815" Type="http://schemas.openxmlformats.org/officeDocument/2006/relationships/hyperlink" Target="https://advance.lexis.com/api/document?collection=cases-ca&amp;id=urn:contentItem:5XKD-SYJ1-FFTT-X1D1-00000-00&amp;context=" TargetMode="External" /><Relationship Id="rId816" Type="http://schemas.openxmlformats.org/officeDocument/2006/relationships/hyperlink" Target="https://advance.lexis.com/api/document?collection=cases-ca&amp;id=urn:contentItem:5TG0-RY01-F81W-22R8-00000-00&amp;context=" TargetMode="External" /><Relationship Id="rId817" Type="http://schemas.openxmlformats.org/officeDocument/2006/relationships/hyperlink" Target="https://advance.lexis.com/api/document?collection=cases-ca&amp;id=urn:contentItem:5F7T-S7D1-F7ND-G0MH-00000-00&amp;context=" TargetMode="External" /><Relationship Id="rId818" Type="http://schemas.openxmlformats.org/officeDocument/2006/relationships/hyperlink" Target="https://advance.lexis.com/api/document?collection=cases-ca&amp;id=urn:contentItem:5F7T-S7P1-JBDT-B17M-00000-00&amp;context=" TargetMode="External" /><Relationship Id="rId819" Type="http://schemas.openxmlformats.org/officeDocument/2006/relationships/hyperlink" Target="https://advance.lexis.com/api/document?collection=cases-ca&amp;id=urn:contentItem:5J0C-MF51-JSXV-G2N2-00000-00&amp;context=" TargetMode="External" /><Relationship Id="rId82" Type="http://schemas.openxmlformats.org/officeDocument/2006/relationships/hyperlink" Target="https://advance.lexis.com/api/document?collection=cases-ca&amp;id=urn:contentItem:5F8T-N3V1-FC1F-M4C6-00000-00&amp;context=" TargetMode="External" /><Relationship Id="rId820" Type="http://schemas.openxmlformats.org/officeDocument/2006/relationships/hyperlink" Target="https://advance.lexis.com/api/document?collection=cases-ca&amp;id=urn:contentItem:5F82-1SH1-F8KH-X1YH-00000-00&amp;context=" TargetMode="External" /><Relationship Id="rId821" Type="http://schemas.openxmlformats.org/officeDocument/2006/relationships/hyperlink" Target="https://advance.lexis.com/api/document?collection=cases-ca&amp;id=urn:contentItem:5PF4-4KK1-JJ6S-64SR-00000-00&amp;context=" TargetMode="External" /><Relationship Id="rId822" Type="http://schemas.openxmlformats.org/officeDocument/2006/relationships/header" Target="header115.xml" /><Relationship Id="rId823" Type="http://schemas.openxmlformats.org/officeDocument/2006/relationships/header" Target="header116.xml" /><Relationship Id="rId824" Type="http://schemas.openxmlformats.org/officeDocument/2006/relationships/footer" Target="footer115.xml" /><Relationship Id="rId825" Type="http://schemas.openxmlformats.org/officeDocument/2006/relationships/footer" Target="footer116.xml" /><Relationship Id="rId826" Type="http://schemas.openxmlformats.org/officeDocument/2006/relationships/header" Target="header117.xml" /><Relationship Id="rId827" Type="http://schemas.openxmlformats.org/officeDocument/2006/relationships/footer" Target="footer117.xml" /><Relationship Id="rId828" Type="http://schemas.openxmlformats.org/officeDocument/2006/relationships/hyperlink" Target="https://advance.lexis.com/api/document?collection=cases-ca&amp;id=urn:contentItem:5MKR-T2S1-F27X-60WF-00000-00&amp;context=" TargetMode="External" /><Relationship Id="rId829" Type="http://schemas.openxmlformats.org/officeDocument/2006/relationships/hyperlink" Target="https://advance.lexis.com/api/document?collection=cases-ca&amp;id=urn:contentItem:5F7T-S7P1-JSJC-X1VJ-00000-00&amp;context=" TargetMode="External" /><Relationship Id="rId83" Type="http://schemas.openxmlformats.org/officeDocument/2006/relationships/hyperlink" Target="https://advance.lexis.com/api/document?collection=cases-ca&amp;id=urn:contentItem:5F8T-N3V1-JTGH-B1C4-00000-00&amp;context=" TargetMode="External" /><Relationship Id="rId830" Type="http://schemas.openxmlformats.org/officeDocument/2006/relationships/hyperlink" Target="https://advance.lexis.com/api/document?collection=cases-ca&amp;id=urn:contentItem:5HXW-S171-JX8W-M07X-00000-00&amp;context=" TargetMode="External" /><Relationship Id="rId831" Type="http://schemas.openxmlformats.org/officeDocument/2006/relationships/hyperlink" Target="https://advance.lexis.com/api/document?collection=cases-ca&amp;id=urn:contentItem:5F7T-S7M1-DYMS-62B6-00000-00&amp;context=" TargetMode="External" /><Relationship Id="rId832" Type="http://schemas.openxmlformats.org/officeDocument/2006/relationships/hyperlink" Target="https://advance.lexis.com/api/document?collection=cases-ca&amp;id=urn:contentItem:5K56-XS31-FC6N-X37J-00000-00&amp;context=" TargetMode="External" /><Relationship Id="rId833" Type="http://schemas.openxmlformats.org/officeDocument/2006/relationships/hyperlink" Target="https://advance.lexis.com/api/document?collection=cases-ca&amp;id=urn:contentItem:5F7T-S7N1-JGHR-M361-00000-00&amp;context=" TargetMode="External" /><Relationship Id="rId834" Type="http://schemas.openxmlformats.org/officeDocument/2006/relationships/hyperlink" Target="https://advance.lexis.com/api/document?collection=cases-ca&amp;id=urn:contentItem:5F7T-S7M1-JJK6-S1T1-00000-00&amp;context=" TargetMode="External" /><Relationship Id="rId835" Type="http://schemas.openxmlformats.org/officeDocument/2006/relationships/hyperlink" Target="https://advance.lexis.com/api/document?collection=cases-ca&amp;id=urn:contentItem:5GCC-XVB1-JSXV-G04R-00000-00&amp;context=" TargetMode="External" /><Relationship Id="rId836" Type="http://schemas.openxmlformats.org/officeDocument/2006/relationships/hyperlink" Target="https://advance.lexis.com/api/document?collection=cases-ca&amp;id=urn:contentItem:5F7T-S7F1-DXWW-23RN-00000-00&amp;context=" TargetMode="External" /><Relationship Id="rId837" Type="http://schemas.openxmlformats.org/officeDocument/2006/relationships/hyperlink" Target="https://advance.lexis.com/api/document?collection=cases-ca&amp;id=urn:contentItem:5F7T-S7H1-JFSV-G35Y-00000-00&amp;context=" TargetMode="External" /><Relationship Id="rId838" Type="http://schemas.openxmlformats.org/officeDocument/2006/relationships/header" Target="header118.xml" /><Relationship Id="rId839" Type="http://schemas.openxmlformats.org/officeDocument/2006/relationships/header" Target="header119.xml" /><Relationship Id="rId84" Type="http://schemas.openxmlformats.org/officeDocument/2006/relationships/hyperlink" Target="https://advance.lexis.com/api/document?collection=cases-ca&amp;id=urn:contentItem:5F8T-N3V1-JTGH-B1D3-00000-00&amp;context=" TargetMode="External" /><Relationship Id="rId840" Type="http://schemas.openxmlformats.org/officeDocument/2006/relationships/footer" Target="footer118.xml" /><Relationship Id="rId841" Type="http://schemas.openxmlformats.org/officeDocument/2006/relationships/footer" Target="footer119.xml" /><Relationship Id="rId842" Type="http://schemas.openxmlformats.org/officeDocument/2006/relationships/header" Target="header120.xml" /><Relationship Id="rId843" Type="http://schemas.openxmlformats.org/officeDocument/2006/relationships/footer" Target="footer120.xml" /><Relationship Id="rId844" Type="http://schemas.openxmlformats.org/officeDocument/2006/relationships/hyperlink" Target="https://advance.lexis.com/api/document?collection=cases-ca&amp;id=urn:contentItem:5F7T-S7F1-JX3N-B1JJ-00000-00&amp;context=" TargetMode="External" /><Relationship Id="rId845" Type="http://schemas.openxmlformats.org/officeDocument/2006/relationships/hyperlink" Target="https://advance.lexis.com/api/document?collection=cases-ca&amp;id=urn:contentItem:5F7T-S7D1-JN6B-S12B-00000-00&amp;context=" TargetMode="External" /><Relationship Id="rId846" Type="http://schemas.openxmlformats.org/officeDocument/2006/relationships/hyperlink" Target="https://advance.lexis.com/api/document?collection=cases-ca&amp;id=urn:contentItem:5F8T-N3V1-JF75-M3KJ-00000-00&amp;context=" TargetMode="External" /><Relationship Id="rId847" Type="http://schemas.openxmlformats.org/officeDocument/2006/relationships/header" Target="header121.xml" /><Relationship Id="rId848" Type="http://schemas.openxmlformats.org/officeDocument/2006/relationships/header" Target="header122.xml" /><Relationship Id="rId849" Type="http://schemas.openxmlformats.org/officeDocument/2006/relationships/footer" Target="footer121.xml" /><Relationship Id="rId85" Type="http://schemas.openxmlformats.org/officeDocument/2006/relationships/hyperlink" Target="https://advance.lexis.com/api/document?collection=cases-ca&amp;id=urn:contentItem:5F8T-N3V1-JTGH-B1D4-00000-00&amp;context=" TargetMode="External" /><Relationship Id="rId850" Type="http://schemas.openxmlformats.org/officeDocument/2006/relationships/footer" Target="footer122.xml" /><Relationship Id="rId851" Type="http://schemas.openxmlformats.org/officeDocument/2006/relationships/header" Target="header123.xml" /><Relationship Id="rId852" Type="http://schemas.openxmlformats.org/officeDocument/2006/relationships/footer" Target="footer123.xml" /><Relationship Id="rId853" Type="http://schemas.openxmlformats.org/officeDocument/2006/relationships/hyperlink" Target="https://advance.lexis.com/api/document?collection=cases-ca&amp;id=urn:contentItem:5F7T-S7N1-F57G-S2B0-00000-00&amp;context=" TargetMode="External" /><Relationship Id="rId854" Type="http://schemas.openxmlformats.org/officeDocument/2006/relationships/hyperlink" Target="https://advance.lexis.com/api/document?collection=cases-ca&amp;id=urn:contentItem:5F7T-S7G1-JPP5-21V6-00000-00&amp;context=" TargetMode="External" /><Relationship Id="rId855" Type="http://schemas.openxmlformats.org/officeDocument/2006/relationships/hyperlink" Target="https://advance.lexis.com/api/document?collection=cases-ca&amp;id=urn:contentItem:5F7T-S7H1-F4GK-M31R-00000-00&amp;context=" TargetMode="External" /><Relationship Id="rId856" Type="http://schemas.openxmlformats.org/officeDocument/2006/relationships/header" Target="header124.xml" /><Relationship Id="rId857" Type="http://schemas.openxmlformats.org/officeDocument/2006/relationships/header" Target="header125.xml" /><Relationship Id="rId858" Type="http://schemas.openxmlformats.org/officeDocument/2006/relationships/footer" Target="footer124.xml" /><Relationship Id="rId859" Type="http://schemas.openxmlformats.org/officeDocument/2006/relationships/footer" Target="footer125.xml" /><Relationship Id="rId86" Type="http://schemas.openxmlformats.org/officeDocument/2006/relationships/hyperlink" Target="https://advance.lexis.com/api/document?collection=cases-ca&amp;id=urn:contentItem:5F7T-S7C1-F30T-B2F4-00000-00&amp;context=" TargetMode="External" /><Relationship Id="rId860" Type="http://schemas.openxmlformats.org/officeDocument/2006/relationships/header" Target="header126.xml" /><Relationship Id="rId861" Type="http://schemas.openxmlformats.org/officeDocument/2006/relationships/footer" Target="footer126.xml" /><Relationship Id="rId862" Type="http://schemas.openxmlformats.org/officeDocument/2006/relationships/hyperlink" Target="https://advance.lexis.com/api/document?collection=cases-ca&amp;id=urn:contentItem:5F7T-S7C1-F7VM-S38W-00000-00&amp;context=" TargetMode="External" /><Relationship Id="rId863" Type="http://schemas.openxmlformats.org/officeDocument/2006/relationships/hyperlink" Target="https://advance.lexis.com/api/document?collection=cases-ca&amp;id=urn:contentItem:5F8N-K701-F528-G23X-00000-00&amp;context=" TargetMode="External" /><Relationship Id="rId864" Type="http://schemas.openxmlformats.org/officeDocument/2006/relationships/hyperlink" Target="https://advance.lexis.com/api/document?collection=cases-ca&amp;id=urn:contentItem:5F8N-K6W1-FBN1-20TR-00000-00&amp;context=" TargetMode="External" /><Relationship Id="rId865" Type="http://schemas.openxmlformats.org/officeDocument/2006/relationships/hyperlink" Target="https://advance.lexis.com/api/document?collection=cases-ca&amp;id=urn:contentItem:5F81-VJV1-F60C-X3FY-00000-00&amp;context=" TargetMode="External" /><Relationship Id="rId866" Type="http://schemas.openxmlformats.org/officeDocument/2006/relationships/hyperlink" Target="https://advance.lexis.com/api/document?collection=cases-ca&amp;id=urn:contentItem:5F7T-S741-FJM6-61TS-00000-00&amp;context=" TargetMode="External" /><Relationship Id="rId867" Type="http://schemas.openxmlformats.org/officeDocument/2006/relationships/hyperlink" Target="https://advance.lexis.com/api/document?collection=cases-ca&amp;id=urn:contentItem:5F8T-N3T1-JJSF-23BN-00000-00&amp;context=" TargetMode="External" /><Relationship Id="rId868" Type="http://schemas.openxmlformats.org/officeDocument/2006/relationships/hyperlink" Target="https://advance.lexis.com/api/document?collection=cases-ca&amp;id=urn:contentItem:5F16-9321-JJK6-S24M-00000-00&amp;context=" TargetMode="External" /><Relationship Id="rId869" Type="http://schemas.openxmlformats.org/officeDocument/2006/relationships/hyperlink" Target="https://advance.lexis.com/api/document?collection=cases-ca&amp;id=urn:contentItem:5F81-VJV1-F60C-X32R-00000-00&amp;context=" TargetMode="External" /><Relationship Id="rId87" Type="http://schemas.openxmlformats.org/officeDocument/2006/relationships/hyperlink" Target="https://advance.lexis.com/api/document?collection=cases-ca&amp;id=urn:contentItem:5F7T-S7G1-JNY7-X3S9-00000-00&amp;context=" TargetMode="External" /><Relationship Id="rId870" Type="http://schemas.openxmlformats.org/officeDocument/2006/relationships/header" Target="header127.xml" /><Relationship Id="rId871" Type="http://schemas.openxmlformats.org/officeDocument/2006/relationships/header" Target="header128.xml" /><Relationship Id="rId872" Type="http://schemas.openxmlformats.org/officeDocument/2006/relationships/footer" Target="footer127.xml" /><Relationship Id="rId873" Type="http://schemas.openxmlformats.org/officeDocument/2006/relationships/footer" Target="footer128.xml" /><Relationship Id="rId874" Type="http://schemas.openxmlformats.org/officeDocument/2006/relationships/header" Target="header129.xml" /><Relationship Id="rId875" Type="http://schemas.openxmlformats.org/officeDocument/2006/relationships/footer" Target="footer129.xml" /><Relationship Id="rId876" Type="http://schemas.openxmlformats.org/officeDocument/2006/relationships/hyperlink" Target="https://advance.lexis.com/api/document?collection=cases-ca&amp;id=urn:contentItem:5WP2-4FN1-K0HK-23DP-00000-00&amp;context=" TargetMode="External" /><Relationship Id="rId877" Type="http://schemas.openxmlformats.org/officeDocument/2006/relationships/hyperlink" Target="https://advance.lexis.com/api/document?collection=cases-ca&amp;id=urn:contentItem:5KR0-P3T1-FBN1-240N-00000-00&amp;context=" TargetMode="External" /><Relationship Id="rId878" Type="http://schemas.openxmlformats.org/officeDocument/2006/relationships/hyperlink" Target="https://advance.lexis.com/api/document?collection=cases-ca&amp;id=urn:contentItem:5F7T-S7J1-JYYX-625F-00000-00&amp;context=" TargetMode="External" /><Relationship Id="rId879" Type="http://schemas.openxmlformats.org/officeDocument/2006/relationships/hyperlink" Target="https://advance.lexis.com/api/document?collection=cases-ca&amp;id=urn:contentItem:5F82-1SJ1-JWXF-21HW-00000-00&amp;context=" TargetMode="External" /><Relationship Id="rId88" Type="http://schemas.openxmlformats.org/officeDocument/2006/relationships/hyperlink" Target="https://advance.lexis.com/api/document?collection=cases-ca&amp;id=urn:contentItem:5F7T-S7C1-F7VM-S3J8-00000-00&amp;context=" TargetMode="External" /><Relationship Id="rId880" Type="http://schemas.openxmlformats.org/officeDocument/2006/relationships/hyperlink" Target="https://advance.lexis.com/api/document?collection=cases-ca&amp;id=urn:contentItem:5F82-1SJ1-DYMS-63D0-00000-00&amp;context=" TargetMode="External" /><Relationship Id="rId881" Type="http://schemas.openxmlformats.org/officeDocument/2006/relationships/hyperlink" Target="https://advance.lexis.com/api/document?collection=cases-ca&amp;id=urn:contentItem:5F7T-S7M1-JPP5-22J2-00000-00&amp;context=" TargetMode="External" /><Relationship Id="rId882" Type="http://schemas.openxmlformats.org/officeDocument/2006/relationships/hyperlink" Target="https://advance.lexis.com/api/document?collection=cases-ca&amp;id=urn:contentItem:5SJD-51G1-F016-S1Y7-00000-00&amp;context=" TargetMode="External" /><Relationship Id="rId883" Type="http://schemas.openxmlformats.org/officeDocument/2006/relationships/hyperlink" Target="https://advance.lexis.com/api/document?collection=cases-ca&amp;id=urn:contentItem:5K86-HW41-JC0G-642R-00000-00&amp;context=" TargetMode="External" /><Relationship Id="rId884" Type="http://schemas.openxmlformats.org/officeDocument/2006/relationships/hyperlink" Target="https://advance.lexis.com/api/document?collection=cases-ca&amp;id=urn:contentItem:5F7T-S7N1-DXWW-206B-00000-00&amp;context=" TargetMode="External" /><Relationship Id="rId885" Type="http://schemas.openxmlformats.org/officeDocument/2006/relationships/hyperlink" Target="https://advance.lexis.com/api/document?collection=cases-ca&amp;id=urn:contentItem:5F7T-S7N1-JGHR-M3GS-00000-00&amp;context=" TargetMode="External" /><Relationship Id="rId886" Type="http://schemas.openxmlformats.org/officeDocument/2006/relationships/hyperlink" Target="https://advance.lexis.com/api/document?collection=cases-ca&amp;id=urn:contentItem:5F7T-S7N1-JWR6-S2C6-00000-00&amp;context=" TargetMode="External" /><Relationship Id="rId887" Type="http://schemas.openxmlformats.org/officeDocument/2006/relationships/hyperlink" Target="https://advance.lexis.com/api/document?collection=cases-ca&amp;id=urn:contentItem:5F7T-S7K1-JKHB-62J8-00000-00&amp;context=" TargetMode="External" /><Relationship Id="rId888" Type="http://schemas.openxmlformats.org/officeDocument/2006/relationships/hyperlink" Target="https://advance.lexis.com/api/document?collection=cases-ca&amp;id=urn:contentItem:5F7T-S731-JNJT-B1SM-00000-00&amp;context=" TargetMode="External" /><Relationship Id="rId889" Type="http://schemas.openxmlformats.org/officeDocument/2006/relationships/hyperlink" Target="https://advance.lexis.com/api/document?collection=cases-ca&amp;id=urn:contentItem:5F7T-S741-F528-G29P-00000-00&amp;context=" TargetMode="External" /><Relationship Id="rId89" Type="http://schemas.openxmlformats.org/officeDocument/2006/relationships/hyperlink" Target="https://advance.lexis.com/api/document?collection=cases-ca&amp;id=urn:contentItem:5F8T-N3T1-JGHR-M278-00000-00&amp;context=" TargetMode="External" /><Relationship Id="rId890" Type="http://schemas.openxmlformats.org/officeDocument/2006/relationships/hyperlink" Target="https://advance.lexis.com/api/document?collection=cases-ca&amp;id=urn:contentItem:5VMN-8DP1-JSXV-G1F6-00000-00&amp;context=" TargetMode="External" /><Relationship Id="rId891" Type="http://schemas.openxmlformats.org/officeDocument/2006/relationships/hyperlink" Target="https://advance.lexis.com/api/document?collection=cases-ca&amp;id=urn:contentItem:5P1T-XTV1-JX8W-M3PH-00000-00&amp;context=" TargetMode="External" /><Relationship Id="rId892" Type="http://schemas.openxmlformats.org/officeDocument/2006/relationships/hyperlink" Target="https://advance.lexis.com/api/document?collection=cases-ca&amp;id=urn:contentItem:5W6N-2JC1-JS0R-246N-00000-00&amp;context=" TargetMode="External" /><Relationship Id="rId893" Type="http://schemas.openxmlformats.org/officeDocument/2006/relationships/hyperlink" Target="https://advance.lexis.com/api/document?collection=cases-ca&amp;id=urn:contentItem:5TGV-PHG1-JB7K-22KY-00000-00&amp;context=" TargetMode="External" /><Relationship Id="rId894" Type="http://schemas.openxmlformats.org/officeDocument/2006/relationships/hyperlink" Target="https://advance.lexis.com/api/document?collection=cases-ca&amp;id=urn:contentItem:5SSK-D2K1-JNS1-M1KD-00000-00&amp;context=" TargetMode="External" /><Relationship Id="rId895" Type="http://schemas.openxmlformats.org/officeDocument/2006/relationships/hyperlink" Target="https://advance.lexis.com/api/document?collection=cases-ca&amp;id=urn:contentItem:5SSK-D2K1-JNS1-M1KH-00000-00&amp;context=" TargetMode="External" /><Relationship Id="rId896" Type="http://schemas.openxmlformats.org/officeDocument/2006/relationships/hyperlink" Target="https://advance.lexis.com/api/document?collection=cases-ca&amp;id=urn:contentItem:5F7T-S7N1-F57G-S2PF-00000-00&amp;context=" TargetMode="External" /><Relationship Id="rId897" Type="http://schemas.openxmlformats.org/officeDocument/2006/relationships/hyperlink" Target="https://advance.lexis.com/api/document?collection=cases-ca&amp;id=urn:contentItem:5PTJ-X351-FD4T-B2T1-00000-00&amp;context=" TargetMode="External" /><Relationship Id="rId898" Type="http://schemas.openxmlformats.org/officeDocument/2006/relationships/hyperlink" Target="https://advance.lexis.com/api/document?collection=cases-ca&amp;id=urn:contentItem:5W0M-V0B1-K054-G2TG-00000-00&amp;context=" TargetMode="External" /><Relationship Id="rId899" Type="http://schemas.openxmlformats.org/officeDocument/2006/relationships/hyperlink" Target="https://advance.lexis.com/api/document?collection=cases-ca&amp;id=urn:contentItem:5F7T-S7M1-F4W2-622K-00000-00&amp;context=" TargetMode="External" /><Relationship Id="rId9" Type="http://schemas.openxmlformats.org/officeDocument/2006/relationships/footer" Target="footer3.xml" /><Relationship Id="rId90" Type="http://schemas.openxmlformats.org/officeDocument/2006/relationships/hyperlink" Target="https://advance.lexis.com/api/document?collection=cases-ca&amp;id=urn:contentItem:5F7T-S761-JS5Y-B1N5-00000-00&amp;context=" TargetMode="External" /><Relationship Id="rId900" Type="http://schemas.openxmlformats.org/officeDocument/2006/relationships/hyperlink" Target="https://advance.lexis.com/api/document?collection=cases-ca&amp;id=urn:contentItem:5F8P-SCY1-JC5P-G13Y-00000-00&amp;context=" TargetMode="External" /><Relationship Id="rId901" Type="http://schemas.openxmlformats.org/officeDocument/2006/relationships/header" Target="header130.xml" /><Relationship Id="rId902" Type="http://schemas.openxmlformats.org/officeDocument/2006/relationships/header" Target="header131.xml" /><Relationship Id="rId903" Type="http://schemas.openxmlformats.org/officeDocument/2006/relationships/footer" Target="footer130.xml" /><Relationship Id="rId904" Type="http://schemas.openxmlformats.org/officeDocument/2006/relationships/footer" Target="footer131.xml" /><Relationship Id="rId905" Type="http://schemas.openxmlformats.org/officeDocument/2006/relationships/header" Target="header132.xml" /><Relationship Id="rId906" Type="http://schemas.openxmlformats.org/officeDocument/2006/relationships/footer" Target="footer132.xml" /><Relationship Id="rId907" Type="http://schemas.openxmlformats.org/officeDocument/2006/relationships/hyperlink" Target="https://advance.lexis.com/api/document?collection=cases-ca&amp;id=urn:contentItem:5XM3-CN81-DYMS-61RR-00000-00&amp;context=" TargetMode="External" /><Relationship Id="rId908" Type="http://schemas.openxmlformats.org/officeDocument/2006/relationships/hyperlink" Target="https://advance.lexis.com/api/document?collection=legislation-ca&amp;id=urn:contentItem:5F41-1FJ1-JKPJ-G0P5-00000-00&amp;context=" TargetMode="External" /><Relationship Id="rId909" Type="http://schemas.openxmlformats.org/officeDocument/2006/relationships/hyperlink" Target="https://advance.lexis.com/api/document?collection=cases-ca&amp;id=urn:contentItem:5F7T-S7M1-F4W2-624C-00000-00&amp;context=" TargetMode="External" /><Relationship Id="rId91" Type="http://schemas.openxmlformats.org/officeDocument/2006/relationships/hyperlink" Target="https://advance.lexis.com/api/document?collection=cases-ca&amp;id=urn:contentItem:5F7T-S7K1-JKHB-62VT-00000-00&amp;context=" TargetMode="External" /><Relationship Id="rId910" Type="http://schemas.openxmlformats.org/officeDocument/2006/relationships/hyperlink" Target="https://advance.lexis.com/api/document?collection=cases-ca&amp;id=urn:contentItem:5F7T-S771-F81W-22HR-00000-00&amp;context=" TargetMode="External" /><Relationship Id="rId911" Type="http://schemas.openxmlformats.org/officeDocument/2006/relationships/hyperlink" Target="https://advance.lexis.com/api/document?collection=cases-ca&amp;id=urn:contentItem:5F7T-S771-JJD0-G134-00000-00&amp;context=" TargetMode="External" /><Relationship Id="rId912" Type="http://schemas.openxmlformats.org/officeDocument/2006/relationships/hyperlink" Target="https://advance.lexis.com/api/document?collection=cases-ca&amp;id=urn:contentItem:5F81-VJX1-JJYN-B4XG-00000-00&amp;context=" TargetMode="External" /><Relationship Id="rId913" Type="http://schemas.openxmlformats.org/officeDocument/2006/relationships/hyperlink" Target="https://advance.lexis.com/api/document?collection=cases-ca&amp;id=urn:contentItem:5F7T-S7K1-DY33-B1PS-00000-00&amp;context=" TargetMode="External" /><Relationship Id="rId914" Type="http://schemas.openxmlformats.org/officeDocument/2006/relationships/hyperlink" Target="https://advance.lexis.com/api/document?collection=cases-ca&amp;id=urn:contentItem:5F7T-S6T1-JT99-20XJ-00000-00&amp;context=" TargetMode="External" /><Relationship Id="rId915" Type="http://schemas.openxmlformats.org/officeDocument/2006/relationships/hyperlink" Target="https://advance.lexis.com/api/document?collection=cases-ca&amp;id=urn:contentItem:5F7T-S7J1-JGBH-B2DR-00000-00&amp;context=" TargetMode="External" /><Relationship Id="rId916" Type="http://schemas.openxmlformats.org/officeDocument/2006/relationships/hyperlink" Target="https://advance.lexis.com/api/document?collection=cases-ca&amp;id=urn:contentItem:5F7T-S6Y1-FJDY-X23K-00000-00&amp;context=" TargetMode="External" /><Relationship Id="rId917" Type="http://schemas.openxmlformats.org/officeDocument/2006/relationships/hyperlink" Target="https://advance.lexis.com/api/document?collection=cases-ca&amp;id=urn:contentItem:5F7T-S7N1-JGHR-M38N-00000-00&amp;context=" TargetMode="External" /><Relationship Id="rId918" Type="http://schemas.openxmlformats.org/officeDocument/2006/relationships/hyperlink" Target="https://advance.lexis.com/api/document?collection=cases-ca&amp;id=urn:contentItem:5F7T-S711-F5KY-B14K-00000-00&amp;context=" TargetMode="External" /><Relationship Id="rId919" Type="http://schemas.openxmlformats.org/officeDocument/2006/relationships/hyperlink" Target="https://advance.lexis.com/api/document?collection=cases-ca&amp;id=urn:contentItem:5F8T-N3V1-JTGH-B16R-00000-00&amp;context=" TargetMode="External" /><Relationship Id="rId92" Type="http://schemas.openxmlformats.org/officeDocument/2006/relationships/hyperlink" Target="https://advance.lexis.com/api/document?collection=cases-ca&amp;id=urn:contentItem:5F7T-S7F1-FBN1-21PV-00000-00&amp;context=" TargetMode="External" /><Relationship Id="rId920" Type="http://schemas.openxmlformats.org/officeDocument/2006/relationships/hyperlink" Target="https://advance.lexis.com/api/document?collection=cases-ca&amp;id=urn:contentItem:5F7T-S7F1-JFKM-622N-00000-00&amp;context=" TargetMode="External" /><Relationship Id="rId921" Type="http://schemas.openxmlformats.org/officeDocument/2006/relationships/hyperlink" Target="https://advance.lexis.com/api/document?collection=cases-ca&amp;id=urn:contentItem:5F16-9361-JW5H-X4M1-00000-00&amp;context=" TargetMode="External" /><Relationship Id="rId922" Type="http://schemas.openxmlformats.org/officeDocument/2006/relationships/hyperlink" Target="https://advance.lexis.com/api/document?collection=cases-ca&amp;id=urn:contentItem:5F16-9361-JTGH-B3JY-00000-00&amp;context=" TargetMode="External" /><Relationship Id="rId923" Type="http://schemas.openxmlformats.org/officeDocument/2006/relationships/hyperlink" Target="https://advance.lexis.com/api/document?collection=cases-ca&amp;id=urn:contentItem:5F7T-S7P1-JSJC-X1BH-00000-00&amp;context=" TargetMode="External" /><Relationship Id="rId924" Type="http://schemas.openxmlformats.org/officeDocument/2006/relationships/hyperlink" Target="https://advance.lexis.com/api/document?collection=cases-ca&amp;id=urn:contentItem:5F7T-S7H1-JCRC-B0WC-00000-00&amp;context=" TargetMode="External" /><Relationship Id="rId925" Type="http://schemas.openxmlformats.org/officeDocument/2006/relationships/hyperlink" Target="https://advance.lexis.com/api/document?collection=cases-ca&amp;id=urn:contentItem:5F8T-N3V1-FC1F-M41J-00000-00&amp;context=" TargetMode="External" /><Relationship Id="rId926" Type="http://schemas.openxmlformats.org/officeDocument/2006/relationships/hyperlink" Target="https://advance.lexis.com/api/document?collection=cases-ca&amp;id=urn:contentItem:5F7T-S7N1-DXWW-20H6-00000-00&amp;context=" TargetMode="External" /><Relationship Id="rId927" Type="http://schemas.openxmlformats.org/officeDocument/2006/relationships/hyperlink" Target="https://advance.lexis.com/api/document?collection=cases-ca&amp;id=urn:contentItem:5V9V-RDJ1-F5T5-M1Y7-00000-00&amp;context=" TargetMode="External" /><Relationship Id="rId928" Type="http://schemas.openxmlformats.org/officeDocument/2006/relationships/header" Target="header133.xml" /><Relationship Id="rId929" Type="http://schemas.openxmlformats.org/officeDocument/2006/relationships/header" Target="header134.xml" /><Relationship Id="rId93" Type="http://schemas.openxmlformats.org/officeDocument/2006/relationships/hyperlink" Target="https://advance.lexis.com/api/document?collection=cases-ca&amp;id=urn:contentItem:5F7T-S7H1-K054-G2G5-00000-00&amp;context=" TargetMode="External" /><Relationship Id="rId930" Type="http://schemas.openxmlformats.org/officeDocument/2006/relationships/footer" Target="footer133.xml" /><Relationship Id="rId931" Type="http://schemas.openxmlformats.org/officeDocument/2006/relationships/footer" Target="footer134.xml" /><Relationship Id="rId932" Type="http://schemas.openxmlformats.org/officeDocument/2006/relationships/header" Target="header135.xml" /><Relationship Id="rId933" Type="http://schemas.openxmlformats.org/officeDocument/2006/relationships/footer" Target="footer135.xml" /><Relationship Id="rId934" Type="http://schemas.openxmlformats.org/officeDocument/2006/relationships/hyperlink" Target="https://advance.lexis.com/api/document?collection=cases-ca&amp;id=urn:contentItem:5F7T-S7F1-F7VM-S3VD-00000-00&amp;context=" TargetMode="External" /><Relationship Id="rId935" Type="http://schemas.openxmlformats.org/officeDocument/2006/relationships/hyperlink" Target="https://advance.lexis.com/api/document?collection=cases-ca&amp;id=urn:contentItem:5F7T-S711-F27X-60SS-00000-00&amp;context=" TargetMode="External" /><Relationship Id="rId936" Type="http://schemas.openxmlformats.org/officeDocument/2006/relationships/hyperlink" Target="https://advance.lexis.com/api/document?collection=cases-ca&amp;id=urn:contentItem:5F7T-S711-JB2B-S15V-00000-00&amp;context=" TargetMode="External" /><Relationship Id="rId937" Type="http://schemas.openxmlformats.org/officeDocument/2006/relationships/hyperlink" Target="https://advance.lexis.com/api/document?collection=cases-ca&amp;id=urn:contentItem:5F7T-S711-JG02-S1C1-00000-00&amp;context=" TargetMode="External" /><Relationship Id="rId938" Type="http://schemas.openxmlformats.org/officeDocument/2006/relationships/hyperlink" Target="https://advance.lexis.com/api/document?collection=cases-ca&amp;id=urn:contentItem:5F7T-S6R1-DXWW-234C-00000-00&amp;context=" TargetMode="External" /><Relationship Id="rId939" Type="http://schemas.openxmlformats.org/officeDocument/2006/relationships/hyperlink" Target="https://advance.lexis.com/api/document?collection=cases-ca&amp;id=urn:contentItem:5F7T-S7C1-F4NT-X3SB-00000-00&amp;context=" TargetMode="External" /><Relationship Id="rId94" Type="http://schemas.openxmlformats.org/officeDocument/2006/relationships/header" Target="header16.xml" /><Relationship Id="rId940" Type="http://schemas.openxmlformats.org/officeDocument/2006/relationships/hyperlink" Target="https://advance.lexis.com/api/document?collection=cases-ca&amp;id=urn:contentItem:5F7T-S7D1-F7ND-G09S-00000-00&amp;context=" TargetMode="External" /><Relationship Id="rId941" Type="http://schemas.openxmlformats.org/officeDocument/2006/relationships/hyperlink" Target="https://advance.lexis.com/api/document?collection=cases-ca&amp;id=urn:contentItem:5F7T-S791-FJTD-G2P4-00000-00&amp;context=" TargetMode="External" /><Relationship Id="rId942" Type="http://schemas.openxmlformats.org/officeDocument/2006/relationships/hyperlink" Target="https://advance.lexis.com/api/document?collection=cases-ca&amp;id=urn:contentItem:5F7T-S721-FG12-61KX-00000-00&amp;context=" TargetMode="External" /><Relationship Id="rId943" Type="http://schemas.openxmlformats.org/officeDocument/2006/relationships/hyperlink" Target="https://advance.lexis.com/api/document?collection=cases-ca&amp;id=urn:contentItem:5F7T-S7C1-FCSB-S2GC-00000-00&amp;context=" TargetMode="External" /><Relationship Id="rId944" Type="http://schemas.openxmlformats.org/officeDocument/2006/relationships/hyperlink" Target="https://advance.lexis.com/api/document?collection=cases-ca&amp;id=urn:contentItem:5F7T-S7C1-JCJ5-20C5-00000-00&amp;context=" TargetMode="External" /><Relationship Id="rId945" Type="http://schemas.openxmlformats.org/officeDocument/2006/relationships/hyperlink" Target="https://advance.lexis.com/api/document?collection=cases-ca&amp;id=urn:contentItem:5F7T-S771-JW5H-X23S-00000-00&amp;context=" TargetMode="External" /><Relationship Id="rId946" Type="http://schemas.openxmlformats.org/officeDocument/2006/relationships/hyperlink" Target="https://advance.lexis.com/api/document?collection=cases-ca&amp;id=urn:contentItem:5F7T-S751-JNS1-M1B5-00000-00&amp;context=" TargetMode="External" /><Relationship Id="rId947" Type="http://schemas.openxmlformats.org/officeDocument/2006/relationships/hyperlink" Target="https://advance.lexis.com/api/document?collection=cases-ca&amp;id=urn:contentItem:5F7T-S751-JNS1-M1V7-00000-00&amp;context=" TargetMode="External" /><Relationship Id="rId948" Type="http://schemas.openxmlformats.org/officeDocument/2006/relationships/hyperlink" Target="https://advance.lexis.com/api/document?collection=cases-ca&amp;id=urn:contentItem:5F7T-S701-JF75-M4N2-00000-00&amp;context=" TargetMode="External" /><Relationship Id="rId949" Type="http://schemas.openxmlformats.org/officeDocument/2006/relationships/hyperlink" Target="https://advance.lexis.com/api/document?collection=cases-ca&amp;id=urn:contentItem:5F8T-N3T1-JJSF-2361-00000-00&amp;context=" TargetMode="External" /><Relationship Id="rId95" Type="http://schemas.openxmlformats.org/officeDocument/2006/relationships/header" Target="header17.xml" /><Relationship Id="rId950" Type="http://schemas.openxmlformats.org/officeDocument/2006/relationships/hyperlink" Target="https://advance.lexis.com/api/document?collection=cases-ca&amp;id=urn:contentItem:5F81-VJV1-F8D9-M0SJ-00000-00&amp;context=" TargetMode="External" /><Relationship Id="rId951" Type="http://schemas.openxmlformats.org/officeDocument/2006/relationships/hyperlink" Target="https://advance.lexis.com/api/document?collection=cases-ca&amp;id=urn:contentItem:5F81-VJX1-F5T5-M3YH-00000-00&amp;context=" TargetMode="External" /><Relationship Id="rId952" Type="http://schemas.openxmlformats.org/officeDocument/2006/relationships/hyperlink" Target="https://advance.lexis.com/api/document?collection=cases-ca&amp;id=urn:contentItem:5F7T-S711-JNY7-X30K-00000-00&amp;context=" TargetMode="External" /><Relationship Id="rId953" Type="http://schemas.openxmlformats.org/officeDocument/2006/relationships/hyperlink" Target="https://advance.lexis.com/api/document?collection=cases-ca&amp;id=urn:contentItem:5F7T-S7G1-JBT7-X48T-00000-00&amp;context=" TargetMode="External" /><Relationship Id="rId954" Type="http://schemas.openxmlformats.org/officeDocument/2006/relationships/hyperlink" Target="https://advance.lexis.com/api/document?collection=cases-ca&amp;id=urn:contentItem:5F7T-S701-JBT7-X23F-00000-00&amp;context=" TargetMode="External" /><Relationship Id="rId955" Type="http://schemas.openxmlformats.org/officeDocument/2006/relationships/hyperlink" Target="https://advance.lexis.com/api/document?collection=cases-ca&amp;id=urn:contentItem:5F7T-S711-FJDY-X382-00000-00&amp;context=" TargetMode="External" /><Relationship Id="rId956" Type="http://schemas.openxmlformats.org/officeDocument/2006/relationships/hyperlink" Target="https://advance.lexis.com/api/document?collection=cases-ca&amp;id=urn:contentItem:5F7T-S731-DY33-B0YN-00000-00&amp;context=" TargetMode="External" /><Relationship Id="rId957" Type="http://schemas.openxmlformats.org/officeDocument/2006/relationships/hyperlink" Target="https://advance.lexis.com/api/document?collection=cases-ca&amp;id=urn:contentItem:5F7T-S721-F8D9-M16S-00000-00&amp;context=" TargetMode="External" /><Relationship Id="rId958" Type="http://schemas.openxmlformats.org/officeDocument/2006/relationships/hyperlink" Target="https://advance.lexis.com/api/document?collection=cases-ca&amp;id=urn:contentItem:5F7T-S751-JP4G-612P-00000-00&amp;context=" TargetMode="External" /><Relationship Id="rId959" Type="http://schemas.openxmlformats.org/officeDocument/2006/relationships/hyperlink" Target="https://advance.lexis.com/api/document?collection=cases-ca&amp;id=urn:contentItem:5F7T-S741-DY89-M3P5-00000-00&amp;context=" TargetMode="External" /><Relationship Id="rId96" Type="http://schemas.openxmlformats.org/officeDocument/2006/relationships/footer" Target="footer16.xml" /><Relationship Id="rId960" Type="http://schemas.openxmlformats.org/officeDocument/2006/relationships/hyperlink" Target="https://advance.lexis.com/api/document?collection=cases-ca&amp;id=urn:contentItem:5F7T-S731-F1WF-M2HD-00000-00&amp;context=" TargetMode="External" /><Relationship Id="rId961" Type="http://schemas.openxmlformats.org/officeDocument/2006/relationships/hyperlink" Target="https://advance.lexis.com/api/document?collection=cases-ca&amp;id=urn:contentItem:5F7T-S701-JF75-M4DT-00000-00&amp;context=" TargetMode="External" /><Relationship Id="rId962" Type="http://schemas.openxmlformats.org/officeDocument/2006/relationships/hyperlink" Target="https://advance.lexis.com/api/document?collection=cases-ca&amp;id=urn:contentItem:5F7T-S721-FD4T-B0S5-00000-00&amp;context=" TargetMode="External" /><Relationship Id="rId963" Type="http://schemas.openxmlformats.org/officeDocument/2006/relationships/hyperlink" Target="https://advance.lexis.com/api/document?collection=cases-ca&amp;id=urn:contentItem:5F7T-S751-JX3N-B16B-00000-00&amp;context=" TargetMode="External" /><Relationship Id="rId964" Type="http://schemas.openxmlformats.org/officeDocument/2006/relationships/hyperlink" Target="https://advance.lexis.com/api/document?collection=cases-ca&amp;id=urn:contentItem:5F7T-S751-F361-M0WM-00000-00&amp;context=" TargetMode="External" /><Relationship Id="rId965" Type="http://schemas.openxmlformats.org/officeDocument/2006/relationships/hyperlink" Target="https://advance.lexis.com/api/document?collection=cases-ca&amp;id=urn:contentItem:5F7T-S781-JSC5-M49W-00000-00&amp;context=" TargetMode="External" /><Relationship Id="rId966" Type="http://schemas.openxmlformats.org/officeDocument/2006/relationships/hyperlink" Target="https://advance.lexis.com/api/document?collection=cases-ca&amp;id=urn:contentItem:5F7T-S781-JSC5-M4GD-00000-00&amp;context=" TargetMode="External" /><Relationship Id="rId967" Type="http://schemas.openxmlformats.org/officeDocument/2006/relationships/hyperlink" Target="https://advance.lexis.com/api/document?collection=cases-ca&amp;id=urn:contentItem:5F7T-S7C1-F7VM-S3NW-00000-00&amp;context=" TargetMode="External" /><Relationship Id="rId968" Type="http://schemas.openxmlformats.org/officeDocument/2006/relationships/hyperlink" Target="https://advance.lexis.com/api/document?collection=cases-ca&amp;id=urn:contentItem:5F7T-S711-F4W2-61X9-00000-00&amp;context=" TargetMode="External" /><Relationship Id="rId969" Type="http://schemas.openxmlformats.org/officeDocument/2006/relationships/hyperlink" Target="https://advance.lexis.com/api/document?collection=cases-ca&amp;id=urn:contentItem:5F7T-S6Y1-JPP5-218X-00000-00&amp;context=" TargetMode="External" /><Relationship Id="rId97" Type="http://schemas.openxmlformats.org/officeDocument/2006/relationships/footer" Target="footer17.xml" /><Relationship Id="rId970" Type="http://schemas.openxmlformats.org/officeDocument/2006/relationships/hyperlink" Target="https://advance.lexis.com/api/document?collection=cases-ca&amp;id=urn:contentItem:5F7T-S6Y1-JPP5-2189-00000-00&amp;context=" TargetMode="External" /><Relationship Id="rId971" Type="http://schemas.openxmlformats.org/officeDocument/2006/relationships/hyperlink" Target="https://advance.lexis.com/api/document?collection=cases-ca&amp;id=urn:contentItem:5F7T-S741-FJM6-618T-00000-00&amp;context=" TargetMode="External" /><Relationship Id="rId972" Type="http://schemas.openxmlformats.org/officeDocument/2006/relationships/hyperlink" Target="https://advance.lexis.com/api/document?collection=cases-ca&amp;id=urn:contentItem:5F7T-S731-F60C-X11W-00000-00&amp;context=" TargetMode="External" /><Relationship Id="rId973" Type="http://schemas.openxmlformats.org/officeDocument/2006/relationships/hyperlink" Target="https://advance.lexis.com/api/document?collection=cases-ca&amp;id=urn:contentItem:5F7T-S771-F2TK-22P5-00000-00&amp;context=" TargetMode="External" /><Relationship Id="rId974" Type="http://schemas.openxmlformats.org/officeDocument/2006/relationships/hyperlink" Target="https://advance.lexis.com/api/document?collection=cases-ca&amp;id=urn:contentItem:5F7T-S741-F8D9-M1FF-00000-00&amp;context=" TargetMode="External" /><Relationship Id="rId975" Type="http://schemas.openxmlformats.org/officeDocument/2006/relationships/hyperlink" Target="https://advance.lexis.com/api/document?collection=cases-ca&amp;id=urn:contentItem:5F7T-S711-JG02-S1H2-00000-00&amp;context=" TargetMode="External" /><Relationship Id="rId976" Type="http://schemas.openxmlformats.org/officeDocument/2006/relationships/header" Target="header136.xml" /><Relationship Id="rId977" Type="http://schemas.openxmlformats.org/officeDocument/2006/relationships/header" Target="header137.xml" /><Relationship Id="rId978" Type="http://schemas.openxmlformats.org/officeDocument/2006/relationships/footer" Target="footer136.xml" /><Relationship Id="rId979" Type="http://schemas.openxmlformats.org/officeDocument/2006/relationships/footer" Target="footer137.xml" /><Relationship Id="rId98" Type="http://schemas.openxmlformats.org/officeDocument/2006/relationships/header" Target="header18.xml" /><Relationship Id="rId980" Type="http://schemas.openxmlformats.org/officeDocument/2006/relationships/header" Target="header138.xml" /><Relationship Id="rId981" Type="http://schemas.openxmlformats.org/officeDocument/2006/relationships/footer" Target="footer138.xml" /><Relationship Id="rId982" Type="http://schemas.openxmlformats.org/officeDocument/2006/relationships/hyperlink" Target="https://advance.lexis.com/api/document?collection=cases-ca&amp;id=urn:contentItem:5H0N-67B1-FJTD-G156-00000-00&amp;context=" TargetMode="External" /><Relationship Id="rId983" Type="http://schemas.openxmlformats.org/officeDocument/2006/relationships/hyperlink" Target="https://advance.lexis.com/api/document?collection=cases-ca&amp;id=urn:contentItem:5F8T-N3T1-JGHR-M251-00000-00&amp;context=" TargetMode="External" /><Relationship Id="rId984" Type="http://schemas.openxmlformats.org/officeDocument/2006/relationships/hyperlink" Target="https://advance.lexis.com/api/document?collection=cases-ca&amp;id=urn:contentItem:5F7T-S761-F7ND-G49M-00000-00&amp;context=" TargetMode="External" /><Relationship Id="rId985" Type="http://schemas.openxmlformats.org/officeDocument/2006/relationships/hyperlink" Target="https://advance.lexis.com/api/document?collection=cases-ca&amp;id=urn:contentItem:5F7T-S7M1-DYMS-62GJ-00000-00&amp;context=" TargetMode="External" /><Relationship Id="rId986" Type="http://schemas.openxmlformats.org/officeDocument/2006/relationships/header" Target="header139.xml" /><Relationship Id="rId987" Type="http://schemas.openxmlformats.org/officeDocument/2006/relationships/header" Target="header140.xml" /><Relationship Id="rId988" Type="http://schemas.openxmlformats.org/officeDocument/2006/relationships/footer" Target="footer139.xml" /><Relationship Id="rId989" Type="http://schemas.openxmlformats.org/officeDocument/2006/relationships/footer" Target="footer140.xml" /><Relationship Id="rId99" Type="http://schemas.openxmlformats.org/officeDocument/2006/relationships/footer" Target="footer18.xml" /><Relationship Id="rId990" Type="http://schemas.openxmlformats.org/officeDocument/2006/relationships/header" Target="header141.xml" /><Relationship Id="rId991" Type="http://schemas.openxmlformats.org/officeDocument/2006/relationships/footer" Target="footer141.xml" /><Relationship Id="rId992" Type="http://schemas.openxmlformats.org/officeDocument/2006/relationships/hyperlink" Target="https://advance.lexis.com/api/document?collection=cases-ca&amp;id=urn:contentItem:5YFR-BHM1-F7G6-6559-00000-00&amp;context=" TargetMode="External" /><Relationship Id="rId993" Type="http://schemas.openxmlformats.org/officeDocument/2006/relationships/hyperlink" Target="https://advance.lexis.com/api/document?collection=cases-ca&amp;id=urn:contentItem:5F7T-S7K1-JWXF-2115-00000-00&amp;context=" TargetMode="External" /><Relationship Id="rId994" Type="http://schemas.openxmlformats.org/officeDocument/2006/relationships/hyperlink" Target="https://advance.lexis.com/api/document?collection=cases-ca&amp;id=urn:contentItem:5F7T-S781-F7G6-63NT-00000-00&amp;context=" TargetMode="External" /><Relationship Id="rId995" Type="http://schemas.openxmlformats.org/officeDocument/2006/relationships/hyperlink" Target="https://advance.lexis.com/api/document?collection=cases-ca&amp;id=urn:contentItem:5F7T-S7B1-FH4C-X381-00000-00&amp;context=" TargetMode="External" /><Relationship Id="rId996" Type="http://schemas.openxmlformats.org/officeDocument/2006/relationships/hyperlink" Target="https://advance.lexis.com/api/document?collection=cases-ca&amp;id=urn:contentItem:5F7T-S7P1-JP4G-61XC-00000-00&amp;context=" TargetMode="External" /><Relationship Id="rId997" Type="http://schemas.openxmlformats.org/officeDocument/2006/relationships/hyperlink" Target="https://advance.lexis.com/api/document?collection=cases-ca&amp;id=urn:contentItem:5F7T-S7P1-JSJC-X1R9-00000-00&amp;context=" TargetMode="External" /><Relationship Id="rId998" Type="http://schemas.openxmlformats.org/officeDocument/2006/relationships/hyperlink" Target="https://advance.lexis.com/api/document?collection=cases-ca&amp;id=urn:contentItem:5F7T-S7M1-F4W2-6243-00000-00&amp;context=" TargetMode="External" /><Relationship Id="rId999" Type="http://schemas.openxmlformats.org/officeDocument/2006/relationships/hyperlink" Target="https://advance.lexis.com/api/document?collection=cases-ca&amp;id=urn:contentItem:5F7T-S7N1-F06F-24SM-00000-00&amp;context="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Miller v. Hall, [2020] B.C.J. No. 512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115052967</vt:lpwstr>
  </property>
  <property fmtid="{D5CDD505-2E9C-101B-9397-08002B2CF9AE}" pid="3" name="LADocCount">
    <vt:i4>50</vt:i4>
  </property>
  <property fmtid="{D5CDD505-2E9C-101B-9397-08002B2CF9AE}" pid="4" name="Language">
    <vt:lpwstr>en-CA</vt:lpwstr>
  </property>
  <property fmtid="{D5CDD505-2E9C-101B-9397-08002B2CF9AE}" pid="5" name="UserPermID">
    <vt:lpwstr>urn:user:PA187417739</vt:lpwstr>
  </property>
</Properties>
</file>