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Crown West Steel Fabricators v. Capri Insurance Services Ltd., [2001] I.L.R. para. G-1449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Insurance Law Reporter Cases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Before: Davies J.</w:t>
      </w:r>
    </w:p>
    <w:p>
      <w:pPr>
        <w:spacing w:before="120" w:line="260" w:lineRule="atLeast"/>
        <w:jc w:val="center"/>
        <w:rPr>
          <w:lang w:val="en-US" w:eastAsia="en-US" w:bidi="ar-SA"/>
        </w:rPr>
      </w:pPr>
      <w:r>
        <w:rPr>
          <w:rFonts w:ascii="arial" w:eastAsia="arial" w:hAnsi="arial" w:cs="arial"/>
          <w:color w:val="000000"/>
          <w:sz w:val="20"/>
          <w:lang w:val="en-US" w:eastAsia="en-US" w:bidi="ar-SA"/>
        </w:rPr>
        <w:t>Decision: April 2, 2001.</w:t>
      </w:r>
    </w:p>
    <w:p>
      <w:pPr>
        <w:rPr>
          <w:lang w:val="en-US" w:eastAsia="en-US" w:bidi="ar-SA"/>
        </w:rPr>
      </w:pPr>
    </w:p>
    <w:p>
      <w:pPr>
        <w:spacing w:before="120" w:after="120" w:line="280" w:lineRule="atLeast"/>
        <w:rPr>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2001</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[2001] I.L.R. para. G-1449</w:t>
      </w:r>
    </w:p>
    <w:p>
      <w:pPr>
        <w:spacing w:before="120" w:line="260" w:lineRule="atLeast"/>
        <w:rPr>
          <w:lang w:val="en-US" w:eastAsia="en-US" w:bidi="ar-SA"/>
        </w:rPr>
      </w:pPr>
      <w:r>
        <w:rPr>
          <w:rFonts w:ascii="arial" w:eastAsia="arial" w:hAnsi="arial" w:cs="arial"/>
          <w:color w:val="000000"/>
          <w:sz w:val="20"/>
          <w:lang w:val="en-US" w:eastAsia="en-US" w:bidi="ar-SA"/>
        </w:rPr>
        <w:t>Crown West Steel Fabricators v. Capri Insurance Services Ltd.</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25" style="position:absolute;z-index:251658240"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0" w:name="Keywords"/>
      <w:bookmarkEnd w:id="0"/>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Insurer — Providing adequate insurance for premises of steel manufacturer — Agent negligent in failing to inform plaintiff of effects of co-insurance on business interruption loss coverage — Limits on by-law insurance were adequate — Agent liable for gap in coverage in by-law insurance.</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 w:name="Case Summary"/>
            <w:bookmarkEnd w:id="1"/>
          </w:p>
          <w:p>
            <w:pPr>
              <w:spacing w:before="120" w:line="260" w:lineRule="atLeast"/>
              <w:ind w:left="240"/>
              <w:jc w:val="both"/>
              <w:rPr>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This was an action for damages arising from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in failing to ensure that the plaintiff had adequate insurance coverage. The plaintiff was a steel manufacturer, and its facilities were destroyed by fire at a time when it was in the midst of a major rebuilding and operations expansion. The plaintiff suffered business interruption losses, which were not sufficiently insured, and had to pay reconstruction costs for which it was underinsured because of the enforcement of zoning and building by-laws. </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The defendant C sold the plaintiff all of its insurance coverage, through the agent G, who dealt with H acting for the plaintiff. In 1994, the plaintiff purchased business interruption loss insurance with a limit of $300,000, and which included co-insurance provisions. From 1994, the plaintiff also purchased by-law insurance coverage with a limit of $40,000. The insurance was reviewed in 1999 in light of the plaintiff's planned expansion. Neither the business interruption nor the by-law insurance was reviewed or changed. </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After the fire, the plaintiff settled its business interruption claim for $72,000, but asserted that its actual loss was $700,000. The plaintiff suffered a $228,000 co-insurance penalty because of the extent to which it was underinsured for business interruption loss. </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City by-laws had a significant impact on the cost of reconstruction, although they would not have applied to the plaintiff's expansion of existing buildings. The plaintiff claimed $240,000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failing to place adequate by-law insurance. </w:t>
            </w:r>
            <w:r>
              <w:rPr>
                <w:lang w:val="en-US" w:eastAsia="en-US" w:bidi="ar-SA"/>
              </w:rPr>
              <w:cr/>
            </w:r>
          </w:p>
          <w:p>
            <w:pPr>
              <w:spacing w:before="120" w:line="260" w:lineRule="atLeast"/>
              <w:ind w:left="240"/>
              <w:jc w:val="both"/>
              <w:rPr>
                <w:lang w:val="en-US" w:eastAsia="en-US" w:bidi="ar-SA"/>
              </w:rPr>
            </w:pPr>
            <w:bookmarkStart w:id="2" w:name="Holdings of Court"/>
            <w:bookmarkEnd w:id="2"/>
            <w:r>
              <w:rPr>
                <w:rFonts w:ascii="arial" w:eastAsia="arial" w:hAnsi="arial" w:cs="arial"/>
                <w:color w:val="000000"/>
                <w:sz w:val="20"/>
                <w:lang w:val="en-US" w:eastAsia="en-US" w:bidi="ar-SA"/>
              </w:rPr>
              <w:t>HELD: The plaintiff was successful.</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An insurance agent has a duty to provide information about available coverage, and about the forms of coverage required to meet a client's needs. G had been asked to advise on insurance needs generally. H had a general knowledge of property and liability insurance, but not of business interruption insurance. H did not rely completely on G's advice, relying in part on his own independent risk analysis. However, G had not informed him sufficiently of the consequences of the co-insurance on partial losses. H did not understand that a business interruption loss of less than a year's duration would constitute a partial loss to which the co-insurance penalties would apply. G did not review the limits of coverage after 1995. He was negligent in failing to adequately inform the plaintiff of the forms of business interruption loss insurance available, and of the impact of the co-insurance provisions. However, the Court found that given H's independent assessment of risk and his frugality with regard to insurance premiums, he would not have purchased more than $300,000 of business interruption loss coverage.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did cause the damages resulting from their co-insurance penalties. The Court found that the plaintiff was contributorily negligent in refusing to increase policy limits as recommended in 1995, and in failing to seek clarification of its coverage. It was held to be 35 per cent at fault, and was therefore awarded $148,200, 65 per cent of the $228,000 co-insurance penalties. </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The by-law insurance coverage recommended by G was an estimate. There was no evidence that it was inadequate in 1995, and there was no readily available means of determining the potential cost of by-law compliance in reconstruction. The defendants were not negligent in failing to recommend increased coverage. </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Certain demolition and clean-up costs had not been covered by the by-law insurance provided by G. The Court found that H would have purchased fuller protection if he had been made aware of the gap in coverage, and G was negligent in failing to adequately assess the risk arising from this gap in coverage. The plaintiff had not contributed to this loss, and was entitled to recover $69,852, the demolition and clean-up costs incurred. </w:t>
            </w:r>
            <w:r>
              <w:rPr>
                <w:lang w:val="en-US" w:eastAsia="en-US" w:bidi="ar-SA"/>
              </w:rPr>
              <w:cr/>
            </w:r>
          </w:p>
          <w:p>
            <w:pPr>
              <w:rPr>
                <w:lang w:val="en-US" w:eastAsia="en-US" w:bidi="ar-SA"/>
              </w:rPr>
            </w:pPr>
          </w:p>
        </w:tc>
      </w:tr>
    </w:tbl>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6" style="position:absolute;z-index:2517094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1"/>
          <w:headerReference w:type="default" r:id="rId12"/>
          <w:footerReference w:type="even" r:id="rId13"/>
          <w:footerReference w:type="default" r:id="rId14"/>
          <w:headerReference w:type="first" r:id="rId15"/>
          <w:footerReference w:type="first" r:id="rId1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7" w:history="1">
        <w:r>
          <w:rPr>
            <w:rFonts w:ascii="arial" w:eastAsia="arial" w:hAnsi="arial" w:cs="arial"/>
            <w:b/>
            <w:bCs/>
            <w:i/>
            <w:color w:val="0077CC"/>
            <w:kern w:val="32"/>
            <w:sz w:val="28"/>
            <w:szCs w:val="32"/>
            <w:u w:val="single"/>
            <w:shd w:val="clear" w:color="auto" w:fill="FFFFFF"/>
            <w:lang w:val="en-US" w:eastAsia="en-US" w:bidi="ar-SA"/>
          </w:rPr>
          <w:t>Crump v. Bonin, [2006] B.C.J. No. 3170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Singh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October 3,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Released: December 11,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S072582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3170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1797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Delcie Crump, Plaintiff, and Grant Bonin,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(36 paras.)</w:t>
      </w:r>
    </w:p>
    <w:p>
      <w:pPr>
        <w:jc w:val="both"/>
        <w:rPr>
          <w:rFonts w:ascii="arial" w:eastAsia="arial" w:hAnsi="arial" w:cs="arial"/>
          <w:sz w:val="20"/>
          <w:lang w:val="en-US" w:eastAsia="en-US" w:bidi="ar-SA"/>
        </w:rPr>
      </w:pPr>
      <w:bookmarkStart w:id="3" w:name="Counsel"/>
      <w:bookmarkEnd w:id="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27" style="position:absolute;z-index:2516592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No Appearance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R. Pearce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 w:name="Judgment"/>
      <w:bookmarkEnd w:id="4"/>
      <w:r>
        <w:pict>
          <v:line id="_x0000_s1028" style="position:absolute;z-index:25171046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 w:name="SINGH J. (orally)"/>
            <w:bookmarkEnd w:id="5"/>
            <w:r>
              <w:rPr>
                <w:rFonts w:ascii="arial" w:eastAsia="arial" w:hAnsi="arial" w:cs="arial"/>
                <w:b/>
                <w:color w:val="000000"/>
                <w:sz w:val="30"/>
                <w:lang w:val="en-US" w:eastAsia="en-US" w:bidi="ar-SA"/>
              </w:rPr>
              <w:t>SINGH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the 29th of March, 2000, the plaintiff was southbound on Boundary Road on her way home. At the intersection of Boundary and Grandview in Vancouver, her vehicle was rear-ended by the vehicle driven by the defendant. The total damages to the plaintiff's vehicle was in the sum of $1100. Liability is admitted.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Damages for pain and suffering, loss of past earnings, special expenses and loss of future earnings or future earning capacity are to be assessed. The main issue in this matter is whether particularly the neck and back symptoms experienced by the plaintiff following the collision are due, in full or in part, to the accident or, alternatively, can be attributed to the pre-existing causes.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was born on the 20th of January, 1932 in Jamaica. She is now 74 years old. She first settled in Montreal, having immigrated to Canada in 1956. She relocated to Vancouver and completed a domestic program and upgraded her cosmetology course. She then operated a hairdressing salon first at her residence and then at 445 West Broadway in Vancouver in conjunction with a restaurant business. In 1981, she was rear-ended in a motor vehicle collision and was obliged to close the salon and the restaurant.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also operated a teaching and training school in cosmetology, multiculturalism and motivational development. In November 1991, she suffered a slip and fall at the school. As a result of the injuries, she was unable to operate her school and received WCB disability payments until March 1992. She appealed the cessation of her disability payments and her appeal was dismissed in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elected a career change and, in 1993, she obtained a certificate of counselling studies and then a diploma of counselling practice from the Counsellor Training Institute in 1997. Her goal was to be a counsellor in the fields of drug addiction, sexual abuse and family disputes. She tried to gain employment for the next two years, but without any success. To achieve her lifelong dream of being a therapist, she successfully obtained a certificate from the Ministry of Advanced Education, Training and Technology in the instructor program, with a post-secondary endorsement in 2000, and thus decided to be self-employed and established her own business under the name of Eagle Rise Counselling, Training Institution. She met with two potential clients on the day of the accident, but because of the injuries, this enterprise did not materialize.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also successfully completed the Bio-cell Therapy course and obtained a certificate as a certified bio-cell therapist in April of 2002 concerning pain management and psychological cell rejuvenation. The plaintiff has continuously, to the present time, volunteered her services with non-profit organizations, including Kind, Burnaby Multicultural Society, the Caribbean Festivals, Port Moody-Coquitlam Kiwanis, Tri-Cities Community Solutions, and attended numerous courses.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She presents herself as an energetic and vibrant individual that belies her age. She is tenacious and a firm advocate for the underprivileged and the poor. However, she is fixated with her position that the Insurance Corporation of British Columbia has conspired with doctors and lawyers to undermine her interests and deny her legitimate claim. She says she has been refused services by some 14 doctors and 23 lawyers, and she ultimately discharged her lawyer in this trial whilst he was making his final submissions to the court on her behalf. Therefore, this trial has fluttered with stops and starts interspersed throughout with irrelevancies, extraneous matters and unfounded allegations of connivance, collusion and conspiracy, but none of these factors play any role in this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was involved in previous motor vehicle accidents in 1981, 1986 and 1994, and a Workers' Compensation Board workplace accident in November of 1991. In these, she suffered generally pain in the neck, shoulders and back, headaches and tension disorder, or an aggravation of these. The injuries sustained by the plaintiff in this accident were dizziness, stomach upset, pain in the neck and severe headaches which worsened as the day progressed.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the evening of the 29th of March, 2000, she attended the Emergency Department of the Burnaby General Hospital. She was diagnosed by Dr. Muller with cervical strain caused by the accident and prescribed painkillers. She later developed upper and lower back and shoulder pains, and sleep disturbances. She was then seen by Dr. Wasswa-Kintu April to May 2000, some seven visits; Dr. Sandhu, June 2000, who referred her to Dr. King who had previously treated her for over the past 20 years and in whom the plaintiff had the utmost confidence. Dr. King opined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Thank you for referring this patient. Her clinical picture is consistent with myofacial dysfunction and pelvic misalignment that could have resulted from her MVA. Her response to manual therapy was fairly good, but her symptoms and signs are likely to reoccur with her normal lifestyle and stresses. Thus, I have referred her to a pool-based exercise program (acupuncture), massage therapist and will teach her some self-treatment techniques and remedial exercises next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From January 2002 to the present time, Dr. Hii has been treating her. He too again referred her to Dr. King on the 26th of February, 2002, who reported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Thank you for referring this patient again. Although her symptoms became mild after the bio-cell therapy in November, of which she is a practitioner, her clinical signs are still present but much less severe than when I last assessed her in September 2000. I treated her neck manually, with relief of the signs. As this is likely to be temporary, I taught her specific self-treatment techniques to control her problem and strengthen the affected (sic).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Dr. Hii testified that he has treated the plaintiff from 2002 until October of 2005 for back, neck, shoulder pain and headaches, and that these symptoms are ongoing presently, although intermittently.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says that over time, her injuries from the earlier incidents had resolved and that she was in good health and symptom-free at the time the accident occurred. She testified that on the day of the accident, she had been working on plans for a new counselling business and was looking forward to furthering this career. She said that the accident caused injuries to her neck, shoulders and upper back, dizziness, headaches and sleep disturbances. She testified that while her condition has now improved, her neck pain and degree of headache pain had subsided by November of 2002. She testified that her injuries have interfered with her enjoyment of her life and impeded her business development. She says that as a result of the injuries she sustained in the accident, she was unable to promote her counselling seminars and unable to perform her duties as a counsellor. From March 29, 2000 until November 2002, she attended a number of physicians and therapists in order to recover from those injuries sustained in the accident. She was referred to a pool-based exercise program, physio and massage therapy and treated herself with bio-cell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She firmly disagrees with the suggestion that she had serious health concerns before the accident. She says this is supported by her achievement of fulfilling her lifelong goal to become a licensed therapist by obtaining a certificate from the Ministry of Advanced Education, Training and Technology in the Instructor Diploma program with a post-secondary endorsement in 2000, prior to the accident. She refers to her MSP records and by her extensive involvement in volunteer work. The plaintiff argues that non-pecuniary damages should be in the range of $35,000 to $45,000, relying on the following cases: </w:t>
      </w:r>
      <w:r>
        <w:rPr>
          <w:rFonts w:ascii="arial" w:eastAsia="arial" w:hAnsi="arial" w:cs="arial"/>
          <w:b/>
          <w:i/>
          <w:color w:val="000000"/>
          <w:sz w:val="20"/>
          <w:lang w:val="en-US" w:eastAsia="en-US" w:bidi="ar-SA"/>
        </w:rPr>
        <w:t>Williams v. Nicholson</w:t>
      </w:r>
      <w:r>
        <w:rPr>
          <w:rFonts w:ascii="arial" w:eastAsia="arial" w:hAnsi="arial" w:cs="arial"/>
          <w:color w:val="000000"/>
          <w:sz w:val="20"/>
          <w:lang w:val="en-US" w:eastAsia="en-US" w:bidi="ar-SA"/>
        </w:rPr>
        <w:t xml:space="preserve">, </w:t>
      </w:r>
      <w:hyperlink r:id="rId18" w:history="1">
        <w:r>
          <w:rPr>
            <w:rFonts w:ascii="arial" w:eastAsia="arial" w:hAnsi="arial" w:cs="arial"/>
            <w:i/>
            <w:color w:val="0077CC"/>
            <w:sz w:val="20"/>
            <w:u w:val="single"/>
            <w:shd w:val="clear" w:color="auto" w:fill="FFFFFF"/>
            <w:lang w:val="en-US" w:eastAsia="en-US" w:bidi="ar-SA"/>
          </w:rPr>
          <w:t>[2005] B.C.J. No. 1401</w:t>
        </w:r>
      </w:hyperlink>
      <w:r>
        <w:rPr>
          <w:rFonts w:ascii="arial" w:eastAsia="arial" w:hAnsi="arial" w:cs="arial"/>
          <w:color w:val="000000"/>
          <w:sz w:val="20"/>
          <w:lang w:val="en-US" w:eastAsia="en-US" w:bidi="ar-SA"/>
        </w:rPr>
        <w:t xml:space="preserve">, </w:t>
      </w:r>
      <w:hyperlink r:id="rId18" w:history="1">
        <w:r>
          <w:rPr>
            <w:rFonts w:ascii="arial" w:eastAsia="arial" w:hAnsi="arial" w:cs="arial"/>
            <w:i/>
            <w:color w:val="0077CC"/>
            <w:sz w:val="20"/>
            <w:u w:val="single"/>
            <w:shd w:val="clear" w:color="auto" w:fill="FFFFFF"/>
            <w:lang w:val="en-US" w:eastAsia="en-US" w:bidi="ar-SA"/>
          </w:rPr>
          <w:t>2005 BCSC 910</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Helgason v. Lepard</w:t>
      </w:r>
      <w:r>
        <w:rPr>
          <w:rFonts w:ascii="arial" w:eastAsia="arial" w:hAnsi="arial" w:cs="arial"/>
          <w:color w:val="000000"/>
          <w:sz w:val="20"/>
          <w:lang w:val="en-US" w:eastAsia="en-US" w:bidi="ar-SA"/>
        </w:rPr>
        <w:t xml:space="preserve">, </w:t>
      </w:r>
      <w:hyperlink r:id="rId19" w:history="1">
        <w:r>
          <w:rPr>
            <w:rFonts w:ascii="arial" w:eastAsia="arial" w:hAnsi="arial" w:cs="arial"/>
            <w:i/>
            <w:color w:val="0077CC"/>
            <w:sz w:val="20"/>
            <w:u w:val="single"/>
            <w:shd w:val="clear" w:color="auto" w:fill="FFFFFF"/>
            <w:lang w:val="en-US" w:eastAsia="en-US" w:bidi="ar-SA"/>
          </w:rPr>
          <w:t>[1997] B.C.J. No. 1312</w:t>
        </w:r>
      </w:hyperlink>
      <w:r>
        <w:rPr>
          <w:rFonts w:ascii="arial" w:eastAsia="arial" w:hAnsi="arial" w:cs="arial"/>
          <w:color w:val="000000"/>
          <w:sz w:val="20"/>
          <w:lang w:val="en-US" w:eastAsia="en-US" w:bidi="ar-SA"/>
        </w:rPr>
        <w:t xml:space="preserve"> (S.C.); </w:t>
      </w:r>
      <w:r>
        <w:rPr>
          <w:rFonts w:ascii="arial" w:eastAsia="arial" w:hAnsi="arial" w:cs="arial"/>
          <w:b/>
          <w:i/>
          <w:color w:val="000000"/>
          <w:sz w:val="20"/>
          <w:lang w:val="en-US" w:eastAsia="en-US" w:bidi="ar-SA"/>
        </w:rPr>
        <w:t>Rakhra v. Brandt</w:t>
      </w:r>
      <w:r>
        <w:rPr>
          <w:rFonts w:ascii="arial" w:eastAsia="arial" w:hAnsi="arial" w:cs="arial"/>
          <w:color w:val="000000"/>
          <w:sz w:val="20"/>
          <w:lang w:val="en-US" w:eastAsia="en-US" w:bidi="ar-SA"/>
        </w:rPr>
        <w:t xml:space="preserve">, </w:t>
      </w:r>
      <w:hyperlink r:id="rId20" w:history="1">
        <w:r>
          <w:rPr>
            <w:rFonts w:ascii="arial" w:eastAsia="arial" w:hAnsi="arial" w:cs="arial"/>
            <w:i/>
            <w:color w:val="0077CC"/>
            <w:sz w:val="20"/>
            <w:u w:val="single"/>
            <w:shd w:val="clear" w:color="auto" w:fill="FFFFFF"/>
            <w:lang w:val="en-US" w:eastAsia="en-US" w:bidi="ar-SA"/>
          </w:rPr>
          <w:t>[2000] B.C.J. No. 445</w:t>
        </w:r>
      </w:hyperlink>
      <w:r>
        <w:rPr>
          <w:rFonts w:ascii="arial" w:eastAsia="arial" w:hAnsi="arial" w:cs="arial"/>
          <w:color w:val="000000"/>
          <w:sz w:val="20"/>
          <w:lang w:val="en-US" w:eastAsia="en-US" w:bidi="ar-SA"/>
        </w:rPr>
        <w:t xml:space="preserve">, </w:t>
      </w:r>
      <w:hyperlink r:id="rId20" w:history="1">
        <w:r>
          <w:rPr>
            <w:rFonts w:ascii="arial" w:eastAsia="arial" w:hAnsi="arial" w:cs="arial"/>
            <w:i/>
            <w:color w:val="0077CC"/>
            <w:sz w:val="20"/>
            <w:u w:val="single"/>
            <w:shd w:val="clear" w:color="auto" w:fill="FFFFFF"/>
            <w:lang w:val="en-US" w:eastAsia="en-US" w:bidi="ar-SA"/>
          </w:rPr>
          <w:t>2000 BCSC 394</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Semmens v. Stewart et al</w:t>
      </w:r>
      <w:r>
        <w:rPr>
          <w:rFonts w:ascii="arial" w:eastAsia="arial" w:hAnsi="arial" w:cs="arial"/>
          <w:color w:val="000000"/>
          <w:sz w:val="20"/>
          <w:lang w:val="en-US" w:eastAsia="en-US" w:bidi="ar-SA"/>
        </w:rPr>
        <w:t xml:space="preserve">, </w:t>
      </w:r>
      <w:hyperlink r:id="rId21" w:history="1">
        <w:r>
          <w:rPr>
            <w:rFonts w:ascii="arial" w:eastAsia="arial" w:hAnsi="arial" w:cs="arial"/>
            <w:i/>
            <w:color w:val="0077CC"/>
            <w:sz w:val="20"/>
            <w:u w:val="single"/>
            <w:shd w:val="clear" w:color="auto" w:fill="FFFFFF"/>
            <w:lang w:val="en-US" w:eastAsia="en-US" w:bidi="ar-SA"/>
          </w:rPr>
          <w:t>[2001] B.C.J. No. 2731</w:t>
        </w:r>
      </w:hyperlink>
      <w:r>
        <w:rPr>
          <w:rFonts w:ascii="arial" w:eastAsia="arial" w:hAnsi="arial" w:cs="arial"/>
          <w:color w:val="000000"/>
          <w:sz w:val="20"/>
          <w:lang w:val="en-US" w:eastAsia="en-US" w:bidi="ar-SA"/>
        </w:rPr>
        <w:t xml:space="preserve">, </w:t>
      </w:r>
      <w:hyperlink r:id="rId21" w:history="1">
        <w:r>
          <w:rPr>
            <w:rFonts w:ascii="arial" w:eastAsia="arial" w:hAnsi="arial" w:cs="arial"/>
            <w:i/>
            <w:color w:val="0077CC"/>
            <w:sz w:val="20"/>
            <w:u w:val="single"/>
            <w:shd w:val="clear" w:color="auto" w:fill="FFFFFF"/>
            <w:lang w:val="en-US" w:eastAsia="en-US" w:bidi="ar-SA"/>
          </w:rPr>
          <w:t>2001 BCSC 1816</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Timmins v. Dean and Dean</w:t>
      </w:r>
      <w:r>
        <w:rPr>
          <w:rFonts w:ascii="arial" w:eastAsia="arial" w:hAnsi="arial" w:cs="arial"/>
          <w:color w:val="000000"/>
          <w:sz w:val="20"/>
          <w:lang w:val="en-US" w:eastAsia="en-US" w:bidi="ar-SA"/>
        </w:rPr>
        <w:t xml:space="preserve">, </w:t>
      </w:r>
      <w:hyperlink r:id="rId22" w:history="1">
        <w:r>
          <w:rPr>
            <w:rFonts w:ascii="arial" w:eastAsia="arial" w:hAnsi="arial" w:cs="arial"/>
            <w:i/>
            <w:color w:val="0077CC"/>
            <w:sz w:val="20"/>
            <w:u w:val="single"/>
            <w:shd w:val="clear" w:color="auto" w:fill="FFFFFF"/>
            <w:lang w:val="en-US" w:eastAsia="en-US" w:bidi="ar-SA"/>
          </w:rPr>
          <w:t>[1997] B.C.J. No. 1500</w:t>
        </w:r>
      </w:hyperlink>
      <w:r>
        <w:rPr>
          <w:rFonts w:ascii="arial" w:eastAsia="arial" w:hAnsi="arial" w:cs="arial"/>
          <w:color w:val="000000"/>
          <w:sz w:val="20"/>
          <w:lang w:val="en-US" w:eastAsia="en-US" w:bidi="ar-SA"/>
        </w:rPr>
        <w:t xml:space="preserve"> (S.C.); </w:t>
      </w:r>
      <w:r>
        <w:rPr>
          <w:rFonts w:ascii="arial" w:eastAsia="arial" w:hAnsi="arial" w:cs="arial"/>
          <w:b/>
          <w:i/>
          <w:color w:val="000000"/>
          <w:sz w:val="20"/>
          <w:lang w:val="en-US" w:eastAsia="en-US" w:bidi="ar-SA"/>
        </w:rPr>
        <w:t>Wall v. Phan</w:t>
      </w:r>
      <w:r>
        <w:rPr>
          <w:rFonts w:ascii="arial" w:eastAsia="arial" w:hAnsi="arial" w:cs="arial"/>
          <w:color w:val="000000"/>
          <w:sz w:val="20"/>
          <w:lang w:val="en-US" w:eastAsia="en-US" w:bidi="ar-SA"/>
        </w:rPr>
        <w:t xml:space="preserve">, </w:t>
      </w:r>
      <w:hyperlink r:id="rId23" w:history="1">
        <w:r>
          <w:rPr>
            <w:rFonts w:ascii="arial" w:eastAsia="arial" w:hAnsi="arial" w:cs="arial"/>
            <w:i/>
            <w:color w:val="0077CC"/>
            <w:sz w:val="20"/>
            <w:u w:val="single"/>
            <w:shd w:val="clear" w:color="auto" w:fill="FFFFFF"/>
            <w:lang w:val="en-US" w:eastAsia="en-US" w:bidi="ar-SA"/>
          </w:rPr>
          <w:t>(1996), 29 C.C.L.T. (2d) 31</w:t>
        </w:r>
      </w:hyperlink>
      <w:r>
        <w:rPr>
          <w:rFonts w:ascii="arial" w:eastAsia="arial" w:hAnsi="arial" w:cs="arial"/>
          <w:color w:val="000000"/>
          <w:sz w:val="20"/>
          <w:lang w:val="en-US" w:eastAsia="en-US" w:bidi="ar-SA"/>
        </w:rPr>
        <w:t xml:space="preserve">, </w:t>
      </w:r>
      <w:hyperlink r:id="rId23" w:history="1">
        <w:r>
          <w:rPr>
            <w:rFonts w:ascii="arial" w:eastAsia="arial" w:hAnsi="arial" w:cs="arial"/>
            <w:i/>
            <w:color w:val="0077CC"/>
            <w:sz w:val="20"/>
            <w:u w:val="single"/>
            <w:shd w:val="clear" w:color="auto" w:fill="FFFFFF"/>
            <w:lang w:val="en-US" w:eastAsia="en-US" w:bidi="ar-SA"/>
          </w:rPr>
          <w:t>[1996] B.C.J. No. 1094</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submits that she was in the process of starting her own business when the accident occurred and she then tendered an income projection statement for the year 2000, as well as a reproduction promotional flyer of an event proposed for this period. She says that the injuries significantly impacted her business development and ability to take on clients in the period following the accident until 2004. She says that the residual symptoms continued to impact her earning capacity and have diminished her employment potential.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 of the Defendant's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defendant says that the plaintiff, Ms. Crump, has had a pre-existing degenerative cervical, dorsal and lumbar spine condition, fibromyalgia and a diagnosed tension disorder for decades and was symptomatic at the time of the accident. She had a long history of attending physicians and therapists for associated neck and back pain, and in fact, she had attended an emergency visit with Dr. Sam Saunders (phonetic) on January 11th, 2000. As evidence of this pre-existing symptomatic condition, the defendant tendered the expert evidence of three X-ray reports dated January 29th, 1992, October 4th, 1994 and March 29, 2000, and relied on the two consultation reports from Dr. 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defendant submits that Ms. Crump has downplayed her previous condition. She did not remember some details of visits with medical professionals that she had seen before this accident. The defendant therefore submits that any injuries arising from this accident were short in duration and can be characterized as a minor aggravation of her pre-existing symptomatic neck condition. The defendant says that this pre-existing condition must be taken into account in determining a proper non-pecuniary award and that a reduction in the non-pecuniary award be made to reflect the plaintiff's degenerative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defendant argues that, in these circumstances, the case law suggests that the damages should be in the range of $6,500 and $15,000, with the plaintiff's award in the lower end of the range. The defendant relies on the decisions of </w:t>
      </w:r>
      <w:r>
        <w:rPr>
          <w:rFonts w:ascii="arial" w:eastAsia="arial" w:hAnsi="arial" w:cs="arial"/>
          <w:b/>
          <w:i/>
          <w:color w:val="000000"/>
          <w:sz w:val="20"/>
          <w:lang w:val="en-US" w:eastAsia="en-US" w:bidi="ar-SA"/>
        </w:rPr>
        <w:t>Nicholson v. Armstrong</w:t>
      </w:r>
      <w:r>
        <w:rPr>
          <w:rFonts w:ascii="arial" w:eastAsia="arial" w:hAnsi="arial" w:cs="arial"/>
          <w:color w:val="000000"/>
          <w:sz w:val="20"/>
          <w:lang w:val="en-US" w:eastAsia="en-US" w:bidi="ar-SA"/>
        </w:rPr>
        <w:t xml:space="preserve">, </w:t>
      </w:r>
      <w:hyperlink r:id="rId24" w:history="1">
        <w:r>
          <w:rPr>
            <w:rFonts w:ascii="arial" w:eastAsia="arial" w:hAnsi="arial" w:cs="arial"/>
            <w:i/>
            <w:color w:val="0077CC"/>
            <w:sz w:val="20"/>
            <w:u w:val="single"/>
            <w:shd w:val="clear" w:color="auto" w:fill="FFFFFF"/>
            <w:lang w:val="en-US" w:eastAsia="en-US" w:bidi="ar-SA"/>
          </w:rPr>
          <w:t>[2003] B.C.J. No. 3065</w:t>
        </w:r>
      </w:hyperlink>
      <w:r>
        <w:rPr>
          <w:rFonts w:ascii="arial" w:eastAsia="arial" w:hAnsi="arial" w:cs="arial"/>
          <w:color w:val="000000"/>
          <w:sz w:val="20"/>
          <w:lang w:val="en-US" w:eastAsia="en-US" w:bidi="ar-SA"/>
        </w:rPr>
        <w:t xml:space="preserve">, </w:t>
      </w:r>
      <w:hyperlink r:id="rId24" w:history="1">
        <w:r>
          <w:rPr>
            <w:rFonts w:ascii="arial" w:eastAsia="arial" w:hAnsi="arial" w:cs="arial"/>
            <w:i/>
            <w:color w:val="0077CC"/>
            <w:sz w:val="20"/>
            <w:u w:val="single"/>
            <w:shd w:val="clear" w:color="auto" w:fill="FFFFFF"/>
            <w:lang w:val="en-US" w:eastAsia="en-US" w:bidi="ar-SA"/>
          </w:rPr>
          <w:t>2003 BCSC 1988</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Booth v. Hedderick</w:t>
      </w:r>
      <w:r>
        <w:rPr>
          <w:rFonts w:ascii="arial" w:eastAsia="arial" w:hAnsi="arial" w:cs="arial"/>
          <w:color w:val="000000"/>
          <w:sz w:val="20"/>
          <w:lang w:val="en-US" w:eastAsia="en-US" w:bidi="ar-SA"/>
        </w:rPr>
        <w:t xml:space="preserve">, </w:t>
      </w:r>
      <w:hyperlink r:id="rId25" w:history="1">
        <w:r>
          <w:rPr>
            <w:rFonts w:ascii="arial" w:eastAsia="arial" w:hAnsi="arial" w:cs="arial"/>
            <w:i/>
            <w:color w:val="0077CC"/>
            <w:sz w:val="20"/>
            <w:u w:val="single"/>
            <w:shd w:val="clear" w:color="auto" w:fill="FFFFFF"/>
            <w:lang w:val="en-US" w:eastAsia="en-US" w:bidi="ar-SA"/>
          </w:rPr>
          <w:t>[2004] B.C.J. No. 170</w:t>
        </w:r>
      </w:hyperlink>
      <w:r>
        <w:rPr>
          <w:rFonts w:ascii="arial" w:eastAsia="arial" w:hAnsi="arial" w:cs="arial"/>
          <w:color w:val="000000"/>
          <w:sz w:val="20"/>
          <w:lang w:val="en-US" w:eastAsia="en-US" w:bidi="ar-SA"/>
        </w:rPr>
        <w:t xml:space="preserve">, </w:t>
      </w:r>
      <w:hyperlink r:id="rId25" w:history="1">
        <w:r>
          <w:rPr>
            <w:rFonts w:ascii="arial" w:eastAsia="arial" w:hAnsi="arial" w:cs="arial"/>
            <w:i/>
            <w:color w:val="0077CC"/>
            <w:sz w:val="20"/>
            <w:u w:val="single"/>
            <w:shd w:val="clear" w:color="auto" w:fill="FFFFFF"/>
            <w:lang w:val="en-US" w:eastAsia="en-US" w:bidi="ar-SA"/>
          </w:rPr>
          <w:t>2004 BCSC 132</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Kaur v. Jones</w:t>
      </w:r>
      <w:r>
        <w:rPr>
          <w:rFonts w:ascii="arial" w:eastAsia="arial" w:hAnsi="arial" w:cs="arial"/>
          <w:color w:val="000000"/>
          <w:sz w:val="20"/>
          <w:lang w:val="en-US" w:eastAsia="en-US" w:bidi="ar-SA"/>
        </w:rPr>
        <w:t xml:space="preserve">, </w:t>
      </w:r>
      <w:hyperlink r:id="rId26" w:history="1">
        <w:r>
          <w:rPr>
            <w:rFonts w:ascii="arial" w:eastAsia="arial" w:hAnsi="arial" w:cs="arial"/>
            <w:i/>
            <w:color w:val="0077CC"/>
            <w:sz w:val="20"/>
            <w:u w:val="single"/>
            <w:shd w:val="clear" w:color="auto" w:fill="FFFFFF"/>
            <w:lang w:val="en-US" w:eastAsia="en-US" w:bidi="ar-SA"/>
          </w:rPr>
          <w:t>[1998] B.C.J. No. 2583</w:t>
        </w:r>
      </w:hyperlink>
      <w:r>
        <w:rPr>
          <w:rFonts w:ascii="arial" w:eastAsia="arial" w:hAnsi="arial" w:cs="arial"/>
          <w:color w:val="000000"/>
          <w:sz w:val="20"/>
          <w:lang w:val="en-US" w:eastAsia="en-US" w:bidi="ar-SA"/>
        </w:rPr>
        <w:t xml:space="preserve"> (S.C.); </w:t>
      </w:r>
      <w:r>
        <w:rPr>
          <w:rFonts w:ascii="arial" w:eastAsia="arial" w:hAnsi="arial" w:cs="arial"/>
          <w:b/>
          <w:i/>
          <w:color w:val="000000"/>
          <w:sz w:val="20"/>
          <w:lang w:val="en-US" w:eastAsia="en-US" w:bidi="ar-SA"/>
        </w:rPr>
        <w:t>Galbraith v. Marin</w:t>
      </w:r>
      <w:r>
        <w:rPr>
          <w:rFonts w:ascii="arial" w:eastAsia="arial" w:hAnsi="arial" w:cs="arial"/>
          <w:color w:val="000000"/>
          <w:sz w:val="20"/>
          <w:lang w:val="en-US" w:eastAsia="en-US" w:bidi="ar-SA"/>
        </w:rPr>
        <w:t xml:space="preserve">, </w:t>
      </w:r>
      <w:hyperlink r:id="rId27" w:history="1">
        <w:r>
          <w:rPr>
            <w:rFonts w:ascii="arial" w:eastAsia="arial" w:hAnsi="arial" w:cs="arial"/>
            <w:i/>
            <w:color w:val="0077CC"/>
            <w:sz w:val="20"/>
            <w:u w:val="single"/>
            <w:shd w:val="clear" w:color="auto" w:fill="FFFFFF"/>
            <w:lang w:val="en-US" w:eastAsia="en-US" w:bidi="ar-SA"/>
          </w:rPr>
          <w:t>[2004] B.C.J. No. 1012</w:t>
        </w:r>
      </w:hyperlink>
      <w:r>
        <w:rPr>
          <w:rFonts w:ascii="arial" w:eastAsia="arial" w:hAnsi="arial" w:cs="arial"/>
          <w:color w:val="000000"/>
          <w:sz w:val="20"/>
          <w:lang w:val="en-US" w:eastAsia="en-US" w:bidi="ar-SA"/>
        </w:rPr>
        <w:t xml:space="preserve">, </w:t>
      </w:r>
      <w:hyperlink r:id="rId27" w:history="1">
        <w:r>
          <w:rPr>
            <w:rFonts w:ascii="arial" w:eastAsia="arial" w:hAnsi="arial" w:cs="arial"/>
            <w:i/>
            <w:color w:val="0077CC"/>
            <w:sz w:val="20"/>
            <w:u w:val="single"/>
            <w:shd w:val="clear" w:color="auto" w:fill="FFFFFF"/>
            <w:lang w:val="en-US" w:eastAsia="en-US" w:bidi="ar-SA"/>
          </w:rPr>
          <w:t>2004 BCSC 671</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Wiest v. Angus</w:t>
      </w:r>
      <w:r>
        <w:rPr>
          <w:rFonts w:ascii="arial" w:eastAsia="arial" w:hAnsi="arial" w:cs="arial"/>
          <w:color w:val="000000"/>
          <w:sz w:val="20"/>
          <w:lang w:val="en-US" w:eastAsia="en-US" w:bidi="ar-SA"/>
        </w:rPr>
        <w:t xml:space="preserve">, </w:t>
      </w:r>
      <w:hyperlink r:id="rId28" w:history="1">
        <w:r>
          <w:rPr>
            <w:rFonts w:ascii="arial" w:eastAsia="arial" w:hAnsi="arial" w:cs="arial"/>
            <w:i/>
            <w:color w:val="0077CC"/>
            <w:sz w:val="20"/>
            <w:u w:val="single"/>
            <w:shd w:val="clear" w:color="auto" w:fill="FFFFFF"/>
            <w:lang w:val="en-US" w:eastAsia="en-US" w:bidi="ar-SA"/>
          </w:rPr>
          <w:t>[2001] B.C.J. No. 105</w:t>
        </w:r>
      </w:hyperlink>
      <w:r>
        <w:rPr>
          <w:rFonts w:ascii="arial" w:eastAsia="arial" w:hAnsi="arial" w:cs="arial"/>
          <w:color w:val="000000"/>
          <w:sz w:val="20"/>
          <w:lang w:val="en-US" w:eastAsia="en-US" w:bidi="ar-SA"/>
        </w:rPr>
        <w:t xml:space="preserve">, </w:t>
      </w:r>
      <w:hyperlink r:id="rId28" w:history="1">
        <w:r>
          <w:rPr>
            <w:rFonts w:ascii="arial" w:eastAsia="arial" w:hAnsi="arial" w:cs="arial"/>
            <w:i/>
            <w:color w:val="0077CC"/>
            <w:sz w:val="20"/>
            <w:u w:val="single"/>
            <w:shd w:val="clear" w:color="auto" w:fill="FFFFFF"/>
            <w:lang w:val="en-US" w:eastAsia="en-US" w:bidi="ar-SA"/>
          </w:rPr>
          <w:t>2001 BCSC 98</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Barkley v. Buckley</w:t>
      </w:r>
      <w:r>
        <w:rPr>
          <w:rFonts w:ascii="arial" w:eastAsia="arial" w:hAnsi="arial" w:cs="arial"/>
          <w:color w:val="000000"/>
          <w:sz w:val="20"/>
          <w:lang w:val="en-US" w:eastAsia="en-US" w:bidi="ar-SA"/>
        </w:rPr>
        <w:t xml:space="preserve">, </w:t>
      </w:r>
      <w:hyperlink r:id="rId29" w:history="1">
        <w:r>
          <w:rPr>
            <w:rFonts w:ascii="arial" w:eastAsia="arial" w:hAnsi="arial" w:cs="arial"/>
            <w:i/>
            <w:color w:val="0077CC"/>
            <w:sz w:val="20"/>
            <w:u w:val="single"/>
            <w:shd w:val="clear" w:color="auto" w:fill="FFFFFF"/>
            <w:lang w:val="en-US" w:eastAsia="en-US" w:bidi="ar-SA"/>
          </w:rPr>
          <w:t>[2005] B.C.J. No. 2116</w:t>
        </w:r>
      </w:hyperlink>
      <w:r>
        <w:rPr>
          <w:rFonts w:ascii="arial" w:eastAsia="arial" w:hAnsi="arial" w:cs="arial"/>
          <w:color w:val="000000"/>
          <w:sz w:val="20"/>
          <w:lang w:val="en-US" w:eastAsia="en-US" w:bidi="ar-SA"/>
        </w:rPr>
        <w:t xml:space="preserve">, </w:t>
      </w:r>
      <w:hyperlink r:id="rId29" w:history="1">
        <w:r>
          <w:rPr>
            <w:rFonts w:ascii="arial" w:eastAsia="arial" w:hAnsi="arial" w:cs="arial"/>
            <w:i/>
            <w:color w:val="0077CC"/>
            <w:sz w:val="20"/>
            <w:u w:val="single"/>
            <w:shd w:val="clear" w:color="auto" w:fill="FFFFFF"/>
            <w:lang w:val="en-US" w:eastAsia="en-US" w:bidi="ar-SA"/>
          </w:rPr>
          <w:t>2005 BCSC 1374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defendant submits that there should be no award for past wage loss because the plaintiff has not suffered any. The defendant says that her post-accident pattern of not earning income in the years 2000 to 2003 is consistent with her not earning income in the years 1991 to 2000. In addition, the defendant says that the plaintiff's post-accident volunteer and active education achievements took the place of income-earning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have considered the evidence relating to the plaintiff's claim for past wage loss as a result of the accident. I find that the claim for past wage loss has not been established by the evidence and, as such, I make no award to the plaintiff for any past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essential purpose of tort law is that the plaintiff be placed in the position she would have been absent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However, the plaintiff must not be placed in a position better than her original position. In this case, as I have said, liability is admitted. The issue, therefore, becomes one of causation in relation to the injuries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leading case in determining causation is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30"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t>
      </w:r>
      <w:hyperlink r:id="rId30" w:history="1">
        <w:r>
          <w:rPr>
            <w:rFonts w:ascii="arial" w:eastAsia="arial" w:hAnsi="arial" w:cs="arial"/>
            <w:i/>
            <w:color w:val="0077CC"/>
            <w:sz w:val="20"/>
            <w:u w:val="single"/>
            <w:shd w:val="clear" w:color="auto" w:fill="FFFFFF"/>
            <w:lang w:val="en-US" w:eastAsia="en-US" w:bidi="ar-SA"/>
          </w:rPr>
          <w:t>140 D.L.R. (4th) 235</w:t>
        </w:r>
      </w:hyperlink>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Athey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the Supreme Court of Canada set out the principles to be followed in determining causation at paragraphs 13 to 15:</w:t>
      </w:r>
      <w:r>
        <w:rPr>
          <w:rFonts w:ascii="arial" w:eastAsia="arial" w:hAnsi="arial" w:cs="arial"/>
          <w:sz w:val="20"/>
          <w:lang w:val="en-US" w:eastAsia="en-US" w:bidi="ar-SA"/>
        </w:rPr>
        <w:cr/>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Causation is established where the plaintiff proves to the civil standard on a balance of probabilities that the defendant caused or contributed to the injury ...</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general, but not conclusive, test for causation is the "but for" test, which requires the plaintiff to show that the injury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"but for" test is unworkable in some circumstances, so the courts have recognized that causation is established where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"materially contributed" to the occurrence of the injury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court continued at paragraph 34 to 35 to discuss what have become regarded as the "thin skull rule" and the "crumbling skull rule". The thin skull rule establishes that a pre-existing predisposition to injury will not be sufficient to diminish liability, even if the plaintiff's injuries prove unexpectedly severe owing to this predisposition. Whereas, in </w:t>
      </w:r>
      <w:r>
        <w:rPr>
          <w:rFonts w:ascii="arial" w:eastAsia="arial" w:hAnsi="arial" w:cs="arial"/>
          <w:b/>
          <w:i/>
          <w:color w:val="000000"/>
          <w:sz w:val="20"/>
          <w:lang w:val="en-US" w:eastAsia="en-US" w:bidi="ar-SA"/>
        </w:rPr>
        <w:t>Athey</w:t>
      </w:r>
      <w:r>
        <w:rPr>
          <w:rFonts w:ascii="arial" w:eastAsia="arial" w:hAnsi="arial" w:cs="arial"/>
          <w:color w:val="000000"/>
          <w:sz w:val="20"/>
          <w:lang w:val="en-US" w:eastAsia="en-US" w:bidi="ar-SA"/>
        </w:rPr>
        <w:t>, the crumbling skull is explained as follows:</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is liable for the injuries caused, even if they are extreme, but need not compensate the plaintiff for any debilitating effects of the pre-existing condition which the plaintiff would have experienced anyway. The defendant is liable for the additional damage but not the pre-existing damage ... Likewise, if there is a measurable risk that the pre-existing condition would have detrimentally affected the plaintiff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then this can be taken into account in reducing the overall award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effects of the thin skull rule and the crumbling skull rule to the award of non-pecuniary damages was discussed by me in the earlier case of </w:t>
      </w:r>
      <w:r>
        <w:rPr>
          <w:rFonts w:ascii="arial" w:eastAsia="arial" w:hAnsi="arial" w:cs="arial"/>
          <w:b/>
          <w:i/>
          <w:color w:val="000000"/>
          <w:sz w:val="20"/>
          <w:lang w:val="en-US" w:eastAsia="en-US" w:bidi="ar-SA"/>
        </w:rPr>
        <w:t>Pope v. Williams</w:t>
      </w:r>
      <w:r>
        <w:rPr>
          <w:rFonts w:ascii="arial" w:eastAsia="arial" w:hAnsi="arial" w:cs="arial"/>
          <w:color w:val="000000"/>
          <w:sz w:val="20"/>
          <w:lang w:val="en-US" w:eastAsia="en-US" w:bidi="ar-SA"/>
        </w:rPr>
        <w:t xml:space="preserve">, </w:t>
      </w:r>
      <w:hyperlink r:id="rId31" w:history="1">
        <w:r>
          <w:rPr>
            <w:rFonts w:ascii="arial" w:eastAsia="arial" w:hAnsi="arial" w:cs="arial"/>
            <w:i/>
            <w:color w:val="0077CC"/>
            <w:sz w:val="20"/>
            <w:u w:val="single"/>
            <w:shd w:val="clear" w:color="auto" w:fill="FFFFFF"/>
            <w:lang w:val="en-US" w:eastAsia="en-US" w:bidi="ar-SA"/>
          </w:rPr>
          <w:t>[2001] B.C.J. No. 2752</w:t>
        </w:r>
      </w:hyperlink>
      <w:r>
        <w:rPr>
          <w:rFonts w:ascii="arial" w:eastAsia="arial" w:hAnsi="arial" w:cs="arial"/>
          <w:color w:val="000000"/>
          <w:sz w:val="20"/>
          <w:lang w:val="en-US" w:eastAsia="en-US" w:bidi="ar-SA"/>
        </w:rPr>
        <w:t xml:space="preserve">, </w:t>
      </w:r>
      <w:hyperlink r:id="rId31" w:history="1">
        <w:r>
          <w:rPr>
            <w:rFonts w:ascii="arial" w:eastAsia="arial" w:hAnsi="arial" w:cs="arial"/>
            <w:i/>
            <w:color w:val="0077CC"/>
            <w:sz w:val="20"/>
            <w:u w:val="single"/>
            <w:shd w:val="clear" w:color="auto" w:fill="FFFFFF"/>
            <w:lang w:val="en-US" w:eastAsia="en-US" w:bidi="ar-SA"/>
          </w:rPr>
          <w:t>2001 BCSC 1657</w:t>
        </w:r>
      </w:hyperlink>
      <w:r>
        <w:rPr>
          <w:rFonts w:ascii="arial" w:eastAsia="arial" w:hAnsi="arial" w:cs="arial"/>
          <w:color w:val="000000"/>
          <w:sz w:val="20"/>
          <w:lang w:val="en-US" w:eastAsia="en-US" w:bidi="ar-SA"/>
        </w:rPr>
        <w:t>. In this regard, I am indebted to my law clerk for the summary of the facts in this case and bringing to my attention this particular case, as I had completely forgotten. At paragraph 31, I said this:</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'thin skull', the plaintiff recovers full damages for the injuries suffered. In 'crumbling skull', the plaintiff recovers a portion of damages awarded due to the existence of a pre-existing condition. Thus, I must determine whether, on the evidence, the plaintiff had a pre-existing condition. Moreover, if I find that such a pre-existing condition does exist, I must either indicate that the condition does not form a measurable risk or indicate that the risk was taken into account in the overall assessment of damages (</w:t>
      </w:r>
      <w:r>
        <w:rPr>
          <w:rFonts w:ascii="arial" w:eastAsia="arial" w:hAnsi="arial" w:cs="arial"/>
          <w:b/>
          <w:i/>
          <w:color w:val="000000"/>
          <w:sz w:val="20"/>
          <w:lang w:val="en-US" w:eastAsia="en-US" w:bidi="ar-SA"/>
        </w:rPr>
        <w:t>McKelvie v. Ng</w:t>
      </w:r>
      <w:r>
        <w:rPr>
          <w:rFonts w:ascii="arial" w:eastAsia="arial" w:hAnsi="arial" w:cs="arial"/>
          <w:color w:val="000000"/>
          <w:sz w:val="20"/>
          <w:lang w:val="en-US" w:eastAsia="en-US" w:bidi="ar-SA"/>
        </w:rPr>
        <w:t xml:space="preserve">, </w:t>
      </w:r>
      <w:hyperlink r:id="rId32" w:history="1">
        <w:r>
          <w:rPr>
            <w:rFonts w:ascii="arial" w:eastAsia="arial" w:hAnsi="arial" w:cs="arial"/>
            <w:i/>
            <w:color w:val="0077CC"/>
            <w:sz w:val="20"/>
            <w:u w:val="single"/>
            <w:shd w:val="clear" w:color="auto" w:fill="FFFFFF"/>
            <w:lang w:val="en-US" w:eastAsia="en-US" w:bidi="ar-SA"/>
          </w:rPr>
          <w:t>[2001] B.C.J. No. 1245</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Pope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I found that there was a measurable risk that the plaintiff would have suffered from debilitating effects due to her degenerative disc disease and prior work-related injuries notwithstanding the car accident in question. The damage award was reduced to reflect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find, at the time of the accident, the plaintiff had fully recovered and without symptoms for a period of approximately two years, and her condition had no significant effect on her enjoyment of life. It is not clear when or if the condition would have become symptomatic without the aggravation of the accident. Damages are adjusted only where there is a measurable risk that the pre-existing condition would have detrimentally affected the plaintiff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have considered the cases upon which counsel rely. While they provide some helpful guidance, each case must be decided on its own facts. In this case, I find that the thin skull principle applies. I thus award the plaintiff the sum of $35,000 for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law in relation to future earning capacity is succinctly dealt with in the following passage from </w:t>
      </w:r>
      <w:r>
        <w:rPr>
          <w:rFonts w:ascii="arial" w:eastAsia="arial" w:hAnsi="arial" w:cs="arial"/>
          <w:b/>
          <w:i/>
          <w:color w:val="000000"/>
          <w:sz w:val="20"/>
          <w:lang w:val="en-US" w:eastAsia="en-US" w:bidi="ar-SA"/>
        </w:rPr>
        <w:t>Parypa v. Wickware</w:t>
      </w:r>
      <w:r>
        <w:rPr>
          <w:rFonts w:ascii="arial" w:eastAsia="arial" w:hAnsi="arial" w:cs="arial"/>
          <w:color w:val="000000"/>
          <w:sz w:val="20"/>
          <w:lang w:val="en-US" w:eastAsia="en-US" w:bidi="ar-SA"/>
        </w:rPr>
        <w:t xml:space="preserve"> </w:t>
      </w:r>
      <w:hyperlink r:id="rId33" w:history="1">
        <w:r>
          <w:rPr>
            <w:rFonts w:ascii="arial" w:eastAsia="arial" w:hAnsi="arial" w:cs="arial"/>
            <w:i/>
            <w:color w:val="0077CC"/>
            <w:sz w:val="20"/>
            <w:u w:val="single"/>
            <w:shd w:val="clear" w:color="auto" w:fill="FFFFFF"/>
            <w:lang w:val="en-US" w:eastAsia="en-US" w:bidi="ar-SA"/>
          </w:rPr>
          <w:t>(1999), 169 D.L.R. (4th) 661</w:t>
        </w:r>
      </w:hyperlink>
      <w:r>
        <w:rPr>
          <w:rFonts w:ascii="arial" w:eastAsia="arial" w:hAnsi="arial" w:cs="arial"/>
          <w:color w:val="000000"/>
          <w:sz w:val="20"/>
          <w:lang w:val="en-US" w:eastAsia="en-US" w:bidi="ar-SA"/>
        </w:rPr>
        <w:t xml:space="preserve">; </w:t>
      </w:r>
      <w:hyperlink r:id="rId33" w:history="1">
        <w:r>
          <w:rPr>
            <w:rFonts w:ascii="arial" w:eastAsia="arial" w:hAnsi="arial" w:cs="arial"/>
            <w:i/>
            <w:color w:val="0077CC"/>
            <w:sz w:val="20"/>
            <w:u w:val="single"/>
            <w:shd w:val="clear" w:color="auto" w:fill="FFFFFF"/>
            <w:lang w:val="en-US" w:eastAsia="en-US" w:bidi="ar-SA"/>
          </w:rPr>
          <w:t>1999 BCCA 88</w:t>
        </w:r>
      </w:hyperlink>
      <w:r>
        <w:rPr>
          <w:rFonts w:ascii="arial" w:eastAsia="arial" w:hAnsi="arial" w:cs="arial"/>
          <w:color w:val="000000"/>
          <w:sz w:val="20"/>
          <w:lang w:val="en-US" w:eastAsia="en-US" w:bidi="ar-SA"/>
        </w:rPr>
        <w:t>, paragraph 62:</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principles relevant to determining the quantum of damages for future loss of earning capacity are well established. It is clear that this determination is not a precise or mechanical exercise. The difficult and inherently uncertain task of predicting the future is described in the following oft quoted passage by Dickson J, in </w:t>
      </w:r>
      <w:r>
        <w:rPr>
          <w:rFonts w:ascii="arial" w:eastAsia="arial" w:hAnsi="arial" w:cs="arial"/>
          <w:b/>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34"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at 251: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We must now gaze more deeply into the crystal ball. What sort of career would the accident victim have had? What were his prospects and potential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Corrado v. Mah</w:t>
      </w:r>
      <w:r>
        <w:rPr>
          <w:rFonts w:ascii="arial" w:eastAsia="arial" w:hAnsi="arial" w:cs="arial"/>
          <w:color w:val="000000"/>
          <w:sz w:val="20"/>
          <w:lang w:val="en-US" w:eastAsia="en-US" w:bidi="ar-SA"/>
        </w:rPr>
        <w:t xml:space="preserve">, </w:t>
      </w:r>
      <w:hyperlink r:id="rId35" w:history="1">
        <w:r>
          <w:rPr>
            <w:rFonts w:ascii="arial" w:eastAsia="arial" w:hAnsi="arial" w:cs="arial"/>
            <w:i/>
            <w:color w:val="0077CC"/>
            <w:sz w:val="20"/>
            <w:u w:val="single"/>
            <w:shd w:val="clear" w:color="auto" w:fill="FFFFFF"/>
            <w:lang w:val="en-US" w:eastAsia="en-US" w:bidi="ar-SA"/>
          </w:rPr>
          <w:t>[2006] B.C.J. No. 1777</w:t>
        </w:r>
      </w:hyperlink>
      <w:r>
        <w:rPr>
          <w:rFonts w:ascii="arial" w:eastAsia="arial" w:hAnsi="arial" w:cs="arial"/>
          <w:color w:val="000000"/>
          <w:sz w:val="20"/>
          <w:lang w:val="en-US" w:eastAsia="en-US" w:bidi="ar-SA"/>
        </w:rPr>
        <w:t xml:space="preserve">, </w:t>
      </w:r>
      <w:hyperlink r:id="rId35" w:history="1">
        <w:r>
          <w:rPr>
            <w:rFonts w:ascii="arial" w:eastAsia="arial" w:hAnsi="arial" w:cs="arial"/>
            <w:i/>
            <w:color w:val="0077CC"/>
            <w:sz w:val="20"/>
            <w:u w:val="single"/>
            <w:shd w:val="clear" w:color="auto" w:fill="FFFFFF"/>
            <w:lang w:val="en-US" w:eastAsia="en-US" w:bidi="ar-SA"/>
          </w:rPr>
          <w:t>2006 BCSC 1191</w:t>
        </w:r>
      </w:hyperlink>
      <w:r>
        <w:rPr>
          <w:rFonts w:ascii="arial" w:eastAsia="arial" w:hAnsi="arial" w:cs="arial"/>
          <w:color w:val="000000"/>
          <w:sz w:val="20"/>
          <w:lang w:val="en-US" w:eastAsia="en-US" w:bidi="ar-SA"/>
        </w:rPr>
        <w:t xml:space="preserve">, this court determined that the claim for loss of future income is conceptualized as the loss of an asset, following the application of the factors set out in </w:t>
      </w:r>
      <w:r>
        <w:rPr>
          <w:rFonts w:ascii="arial" w:eastAsia="arial" w:hAnsi="arial" w:cs="arial"/>
          <w:b/>
          <w:i/>
          <w:color w:val="000000"/>
          <w:sz w:val="20"/>
          <w:lang w:val="en-US" w:eastAsia="en-US" w:bidi="ar-SA"/>
        </w:rPr>
        <w:t>Brown v. Golaiy</w:t>
      </w:r>
      <w:r>
        <w:rPr>
          <w:rFonts w:ascii="arial" w:eastAsia="arial" w:hAnsi="arial" w:cs="arial"/>
          <w:color w:val="000000"/>
          <w:sz w:val="20"/>
          <w:lang w:val="en-US" w:eastAsia="en-US" w:bidi="ar-SA"/>
        </w:rPr>
        <w:t xml:space="preserve"> </w:t>
      </w:r>
      <w:hyperlink r:id="rId36"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paragraph 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means by which the value of the lost, or impaired, asset is to be assessed varies of course from case to case. Some of the considerations to take into account in making that assessment include whether:</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been open to him, had he not been injured; and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From the evidence, I find that there is a substantial possibility of the plaintiff generating income on at least a part-time basis in her limited forthcoming years. As evidenced by her varied work history and zest for lifelong learning, the plaintiff is a remarkable woman who has continued to improve herself and acquire new skills. Her maturity has not prevented her from furthering her qualifications, leading towards her lifelong goals of presenting seminars and providing counselling. Indeed, she obtained a bio-cell certificate in 2002 and presented evidence that she worked in this field between February and May 2004, generating an income of $7,750. The plaintiff noted that she would be declaring this business employment income in her 2005 tax return.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However, in assessing the award for loss of future earning capacity, I have considered the plaintiff's age, her future marketability, her current health condition, and natural and expected changes in energy level and vulnerability to ill health which could be predicted during the approximately six years into the future. In light of those contingencies, the award under this heading will be $15,000.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Although no specific claim for special damages was advanced by the plaintiff or her then-counsel, but since she is now self-represented, the evidence, through the entered exhibits in this trial, indicate she has incurred expenses of $375 with respect to the business licences and the sum of $55 with respect to the registration fees of the Simon Fraser University, for a total of $430.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 of the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Non-pecuniary damages, $35,000; past income loss, nil; future earning capacity loss, $15,000; special damages, $430; total, $50,430. The plaintiff will have her costs at Scale 3 unless the court is advised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Do you have anything to say with respect to costs, Mr. Pearce?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w:t>
      </w:r>
      <w:r>
        <w:rPr>
          <w:rFonts w:ascii="arial" w:eastAsia="arial" w:hAnsi="arial" w:cs="arial"/>
          <w:b/>
          <w:color w:val="000000"/>
          <w:sz w:val="20"/>
          <w:lang w:val="en-US" w:eastAsia="en-US" w:bidi="ar-SA"/>
        </w:rPr>
        <w:t>MR. PEARCE:</w:t>
      </w:r>
      <w:r>
        <w:rPr>
          <w:rFonts w:ascii="arial" w:eastAsia="arial" w:hAnsi="arial" w:cs="arial"/>
          <w:color w:val="000000"/>
          <w:sz w:val="20"/>
          <w:lang w:val="en-US" w:eastAsia="en-US" w:bidi="ar-SA"/>
        </w:rPr>
        <w:t xml:space="preserve"> My Lord, I would just ask that, given the nature of these proceedings and how they have been protracted, that each party bear their own costs as a result of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w:t>
      </w:r>
      <w:r>
        <w:rPr>
          <w:rFonts w:ascii="arial" w:eastAsia="arial" w:hAnsi="arial" w:cs="arial"/>
          <w:b/>
          <w:color w:val="000000"/>
          <w:sz w:val="20"/>
          <w:lang w:val="en-US" w:eastAsia="en-US" w:bidi="ar-SA"/>
        </w:rPr>
        <w:t>THE COURT:</w:t>
      </w:r>
      <w:r>
        <w:rPr>
          <w:rFonts w:ascii="arial" w:eastAsia="arial" w:hAnsi="arial" w:cs="arial"/>
          <w:color w:val="000000"/>
          <w:sz w:val="20"/>
          <w:lang w:val="en-US" w:eastAsia="en-US" w:bidi="ar-SA"/>
        </w:rPr>
        <w:t xml:space="preserve"> I am not going to aggravate and fix in Ms. Crump's mind that, in fact, there is a conspiracy now that not only involves lawyers and doctors, but the court itself. She will be awarded costs on Scale 3. Thank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w:t>
      </w:r>
      <w:r>
        <w:rPr>
          <w:rFonts w:ascii="arial" w:eastAsia="arial" w:hAnsi="arial" w:cs="arial"/>
          <w:b/>
          <w:color w:val="000000"/>
          <w:sz w:val="20"/>
          <w:lang w:val="en-US" w:eastAsia="en-US" w:bidi="ar-SA"/>
        </w:rPr>
        <w:t>MR. PEARCE:</w:t>
      </w:r>
      <w:r>
        <w:rPr>
          <w:rFonts w:ascii="arial" w:eastAsia="arial" w:hAnsi="arial" w:cs="arial"/>
          <w:color w:val="000000"/>
          <w:sz w:val="20"/>
          <w:lang w:val="en-US" w:eastAsia="en-US" w:bidi="ar-SA"/>
        </w:rPr>
        <w:t xml:space="preserve"> Yes, My Lord.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SINGH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29" style="position:absolute;z-index:2517606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7"/>
          <w:headerReference w:type="default" r:id="rId38"/>
          <w:footerReference w:type="even" r:id="rId39"/>
          <w:footerReference w:type="default" r:id="rId40"/>
          <w:headerReference w:type="first" r:id="rId41"/>
          <w:footerReference w:type="first" r:id="rId4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3" w:history="1">
        <w:r>
          <w:rPr>
            <w:rFonts w:ascii="arial" w:eastAsia="arial" w:hAnsi="arial" w:cs="arial"/>
            <w:b/>
            <w:bCs/>
            <w:i/>
            <w:color w:val="0077CC"/>
            <w:kern w:val="32"/>
            <w:sz w:val="28"/>
            <w:szCs w:val="32"/>
            <w:u w:val="single"/>
            <w:shd w:val="clear" w:color="auto" w:fill="FFFFFF"/>
            <w:lang w:val="en-US" w:eastAsia="en-US" w:bidi="ar-SA"/>
          </w:rPr>
          <w:t>Danielson v. Janze, [2017] B.C.J. No. 492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J.W. Williams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17,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15,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M115477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492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BCSC 413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98 C.P.C. (7th) 130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CarswellBC 675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277 A.C.W.S. (3d) 737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Deborah Danielson, Plaintiff, and George Frederick Paul Janze, Coastline Motor Company Ltd., 486728 B.C. Ltd., Ausenco Engineering Canada Inc., and Covanta Energy Corporation, Defendants, and Dr. George Kaptain, Comprehensive Neurosurgical, PC also known as North Jersey Brain &amp; Spine Centre and Hackensack University Medical Center,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(66 paras.)</w:t>
      </w:r>
    </w:p>
    <w:p>
      <w:pPr>
        <w:jc w:val="both"/>
        <w:rPr>
          <w:rFonts w:ascii="arial" w:eastAsia="arial" w:hAnsi="arial" w:cs="arial"/>
          <w:sz w:val="20"/>
          <w:lang w:val="en-US" w:eastAsia="en-US" w:bidi="ar-SA"/>
        </w:rPr>
      </w:pPr>
      <w:bookmarkStart w:id="6" w:name="Counsel_0"/>
      <w:bookmarkEnd w:id="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0" style="position:absolute;z-index:251660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S.J. Turner, S. Jaworski.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George Frederick Paul Janze, Coastline Motor Company Ltd. and 486728 B.C. Ltd.: R.C. Brun,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Dr. George Kaptain and Comprehensive Neurosurgical, PC also known as North Jersey Brain &amp; Spine Centre: M. Feder, E. Steele (A/S).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Hackensack University Medical Centre: D.A. Garner.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 w:name="Judgment_0"/>
      <w:bookmarkEnd w:id="7"/>
      <w:r>
        <w:pict>
          <v:line id="_x0000_s1031" style="position:absolute;z-index:25171148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 w:name="J.W. WILLIAMS J."/>
            <w:bookmarkEnd w:id="8"/>
            <w:r>
              <w:rPr>
                <w:rFonts w:ascii="arial" w:eastAsia="arial" w:hAnsi="arial" w:cs="arial"/>
                <w:b/>
                <w:color w:val="000000"/>
                <w:sz w:val="30"/>
                <w:lang w:val="en-US" w:eastAsia="en-US" w:bidi="ar-SA"/>
              </w:rPr>
              <w:t>J.W. WILLIAMS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There are two related applications in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the first application, the plaintiff appeals a Master's order made on December 19, 2016. In that order, Master Baker granted leave to the defendants to bring third party proceedings against three parties resident in the United States.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the second application, two of those US parties, having now been served with third party notices, seek an order of this Court, pursuant to Rule 21-8(1), dismissing the claims against them on the basis that this Court ("the BCSC") does not have jurisdiction over them. In the alternative, those third parties seek an order, pursuant to Rule 21-8(2), staying the claim against them on the premise that New Jersey is a more appropriate forum. Finally, also in the alternative, those third parties seek an order adjourning the trial of this matter, currently scheduled to commence on March 27, 2017 and run for 14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defendants oppose the application of the third parties to dismiss or stay the claim. However, they agree that, if the trial is to proceed and the third party action is to be tried as part of it, the presently scheduled trial will have to be adjourned.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supports the application of the third parties, taking the position that the BCSC lacks the requisite territorial competence and, alternatively, submitting that the balance of convenience favours the defendants filing an independent claim for contribution and indemnity against the proposed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By way of background, on October 28, 2009, the plaintiff, Ms. Deborah Danielson, a resident of New York, was a passenger in a motor vehicle driven by the defendant, Mr. George Janze, on a highway in British Columbia. That vehicle was involved in an accident. The plaintiff claims to have suffered a variety of injuries. Shortly after the accident, she was transported to a nearby hospital where treatment was administered. She was then removed by air ambulance to a hospital in Victoria for further treatment. She was subsequently discharged in order to return her home to the 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On November 7, 2009, shortly after her arrival in the US, the plaintiff was admitted to Hackensack University Medical Center (HUMC) in New Jersey. There, she was assessed and treated by Dr. George Kaptain. Subsequently, she was treated by Dr. Kaptain at North Jersey Brain &amp; Spine Centre, also known as Comprehensive Neurosurgical, P.A. ("NJBSC"). On November 10, 2009, November 11, 2009 and December 4, 2009, the plaintiff underwent surgical procedures performed by Dr. Kaptain, entailing,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the application of traction to her neck, the placement of surgical screws in her vertebrae, and a bone graft.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commenced her action on October 21, 2011. I note that she is now 66 years of 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2016, in preparation for trial, the plaintiff was assessed by a neurosurgeon at the request of the defendants. The neurosurgeon's opinion is that the surgical procedures performed by Dr. Kaptain were sub-optimal, that they have left the plaintiff with increased impairment as well as the need for further treatment, and that her circumstances would have been substantially better had the surgeries not been performed. In effect, it is alleged that Dr. Kaptain was negligent in providing medical care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has also had a medical examination conducted. The opinion resulting from that examination is apparently supportive of the defendants' contention that the medical treatment performed by Dr. Kaptain has negatively impacted her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Also to be noted, in February 2016, the plaintiff advised the defendants that her US insurer was asserting a subrogated claim for $225,590.86 (US) for healthcare costs incurred since the date of the accident in treatment of her accident-related injuries. All but approximately $5,000 of that is related to treatment costs incurred with the three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With respect to the motor vehicle accident, the defendants have now admitted liability. The upcoming trial will be concerned with assessing the plaintiff's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There is a second individual, also a US citizen, who was injured in the motor vehicle accident: Mr. Walter Krzastek. He also brought an action against the same defendants. By order of this Court, the two trials are to be heard at the same time. Accordingly, it would appear that any delay in the prosecution of Ms. Danielson's action might also adversely impact Mr. Krzastek. At the hearing of the present application, counsel for the defendants indicated that any delay in the trial of Ms. Danielson's action would likely not constitute a problem for the Krzastek action. Essentially, the defendants say that the Krzastek claim is "near resolution" and that, if necessary, it can proceed on its own, meaning that there is no reason that it would be delayed if Ms. Danielson's trial is adjourned.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third party applicants in this proceeding are Dr. Kaptain and NJBSC. Counsel for HUMC appeared at the hearing of the application but advised that his client took no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third party notice alleges that Dr. Kaptain and NJBSC were negligent in their medical treatment of the plaintiff and that the third parties either caused, or contributed to, the damages claimed by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third parties were served with filed copies of the third party notice on January 19,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third party notice is endorsed for service outside British Columbia on the stated ground that "this action concerns a tort committed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For the reasons that follow, I find that the BCSC does not have jurisdiction to consider the third party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applicant third parties say that there is no real and substantial connection between British Columbia and the alleged facts underlying the third party claim. Accordingly, they say that the BCSC lacks the territorial competence required to adjudicate the third party claim. Alternatively, even if this Court finds that the BCSC does have territorial competence, they say that New Jersey is the preferable forum and that this Court should decline jurisdiction. Furthermore, as noted earlier, they say that if the Court determines that the third party claim should be tried in this jurisdiction, then the trial of the action must be adjourned.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defendants say that there is a real and substantial connection between British Columbia and the alleged facts underlying the third party claim. Furthermore, they contend that British Columbia is the more appropriate forum for the third party claims to be heard. Finally, the defendants agree that, if the matter is to be heard in British Columbia, it will be necessary to adjourn the commencement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essentially supports the third party application. Moreover, she emphasizes the importance of this trial proceeding as scheduled, rather than sustaining a lengthy delay. The latter would be inevitable if this Court were to hold that the third party claim should be tried in this jurisdiction, together with the motor vehicle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With reference to the appeal from Master Baker, in view of my disposition, the explanation of which follows, I do not intend to embark upon any appellate analysis of this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That said, I would make one observation. The issues with respect to territorial competence, which have been the substantial focus of the hearing before this Court, were not, as best I can understand, the focus of the submissions before the Master. Consistent with that observation, I note that the oral reasons for judgment issued at the conclusion of the hearing indicate that the issue was not considered by him in any detail. That is not intended as a criticism of counsel who made the application, but simply a comment on what the record discloses.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substance of the dispute at bar is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British Columbia, like a number of other Canadian provinces, has enacted a statute, in accordance with a proposal of the Uniform Law Conference of Canada, to govern issues related to jurisdiction and to the doctrine of </w:t>
      </w:r>
      <w:r>
        <w:rPr>
          <w:rFonts w:ascii="arial" w:eastAsia="arial" w:hAnsi="arial" w:cs="arial"/>
          <w:i/>
          <w:color w:val="000000"/>
          <w:sz w:val="20"/>
          <w:lang w:val="en-US" w:eastAsia="en-US" w:bidi="ar-SA"/>
        </w:rPr>
        <w:t>forum non conveniens</w:t>
      </w:r>
      <w:r>
        <w:rPr>
          <w:rFonts w:ascii="arial" w:eastAsia="arial" w:hAnsi="arial" w:cs="arial"/>
          <w:color w:val="000000"/>
          <w:sz w:val="20"/>
          <w:lang w:val="en-US" w:eastAsia="en-US" w:bidi="ar-SA"/>
        </w:rPr>
        <w:t xml:space="preserve">. That act, the </w:t>
      </w:r>
      <w:r>
        <w:rPr>
          <w:rFonts w:ascii="arial" w:eastAsia="arial" w:hAnsi="arial" w:cs="arial"/>
          <w:i/>
          <w:color w:val="000000"/>
          <w:sz w:val="20"/>
          <w:lang w:val="en-US" w:eastAsia="en-US" w:bidi="ar-SA"/>
        </w:rPr>
        <w:t>Court Jurisdiction and Proceedings Transfer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2003, c. 28</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CJPTA</w:t>
      </w:r>
      <w:r>
        <w:rPr>
          <w:rFonts w:ascii="arial" w:eastAsia="arial" w:hAnsi="arial" w:cs="arial"/>
          <w:color w:val="000000"/>
          <w:sz w:val="20"/>
          <w:lang w:val="en-US" w:eastAsia="en-US" w:bidi="ar-SA"/>
        </w:rPr>
        <w:t>], is concerned with issues relating to the assumption of jurisdiction. It is of central importance to the matter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actual terminology used in the </w:t>
      </w:r>
      <w:r>
        <w:rPr>
          <w:rFonts w:ascii="arial" w:eastAsia="arial" w:hAnsi="arial" w:cs="arial"/>
          <w:i/>
          <w:color w:val="000000"/>
          <w:sz w:val="20"/>
          <w:lang w:val="en-US" w:eastAsia="en-US" w:bidi="ar-SA"/>
        </w:rPr>
        <w:t>CJPTA</w:t>
      </w:r>
      <w:r>
        <w:rPr>
          <w:rFonts w:ascii="arial" w:eastAsia="arial" w:hAnsi="arial" w:cs="arial"/>
          <w:color w:val="000000"/>
          <w:sz w:val="20"/>
          <w:lang w:val="en-US" w:eastAsia="en-US" w:bidi="ar-SA"/>
        </w:rPr>
        <w:t xml:space="preserve"> is "territorial competence." It is dealt with in Part 2 of the statute. The relevant provisions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Application of this Part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(1) In this Part, "court" means a court of British Columbia.</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territorial competence of a court is to be determined solely by reference to this Part.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Proceedings against a person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A court has territorial competence in a proceeding that is brought against a person only if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real and substantial connection between British Columbia and the facts on which the proceeding against that person is based.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Residual discretion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 A court that under section 3 lacks territorial competence in a proceeding may hear the proceeding despite that section if it considers that</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court outside British Columbia in which the plaintiff can commence the proceeding, or</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commencement of the proceeding in a court outside British Columbia cannot reasonably be required.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Real and substantial connection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 Without limiting the right of the plaintiff to prove other circumstances that constitute a real and substantial connection between British Columbia and the facts on which a proceeding is based, a real and substantial connection between British Columbia and those facts is presumed to exist if the proceeding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concerns a tort committed in British Columbia,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Discretion as to the exercise of territorial competence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(1) After considering the interests of the parties to a proceeding and the ends of justice, a court may decline to exercise its territorial competence in the proceeding on the ground that a court of another state is a more appropriate forum in which to hear the proceeding.</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court, in deciding the question of whether it or a court outside British Columbia is the more appropriate forum in which to hear a proceeding, must consider the circumstances relevant to the proceeding, including</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comparative convenience and expense for the parties to the proceeding and for their witnesses, in litigating in the court or in any alternative forum,</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law to be applied to issues in the proceeding,</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desirability of avoiding multiplicity of legal proceedings,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desirability of avoiding conflicting decisions in different courts,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enforcement of an eventual judgment, and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fair and efficient working of the Canadian legal system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To situate the present application, Civil Rule 21-8(1) provides that a party served with an originating process may apply to strike out a pleading, or dismiss, or stay the proceeding on the ground that the BCSC does not have jurisdiction over that party in respect of the claim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accordance with s. 3(e) of the </w:t>
      </w:r>
      <w:r>
        <w:rPr>
          <w:rFonts w:ascii="arial" w:eastAsia="arial" w:hAnsi="arial" w:cs="arial"/>
          <w:i/>
          <w:color w:val="000000"/>
          <w:sz w:val="20"/>
          <w:lang w:val="en-US" w:eastAsia="en-US" w:bidi="ar-SA"/>
        </w:rPr>
        <w:t>CJPTA</w:t>
      </w:r>
      <w:r>
        <w:rPr>
          <w:rFonts w:ascii="arial" w:eastAsia="arial" w:hAnsi="arial" w:cs="arial"/>
          <w:color w:val="000000"/>
          <w:sz w:val="20"/>
          <w:lang w:val="en-US" w:eastAsia="en-US" w:bidi="ar-SA"/>
        </w:rPr>
        <w:t xml:space="preserve">, which applies in this matter, the BCSC has territorial competence in a proceeding that is brought against the third party applicants only if there is a </w:t>
      </w:r>
      <w:r>
        <w:rPr>
          <w:rFonts w:ascii="arial" w:eastAsia="arial" w:hAnsi="arial" w:cs="arial"/>
          <w:color w:val="000000"/>
          <w:sz w:val="20"/>
          <w:u w:val="single"/>
          <w:lang w:val="en-US" w:eastAsia="en-US" w:bidi="ar-SA"/>
        </w:rPr>
        <w:t>real and substantial connection</w:t>
      </w:r>
      <w:r>
        <w:rPr>
          <w:rFonts w:ascii="arial" w:eastAsia="arial" w:hAnsi="arial" w:cs="arial"/>
          <w:color w:val="000000"/>
          <w:sz w:val="20"/>
          <w:lang w:val="en-US" w:eastAsia="en-US" w:bidi="ar-SA"/>
        </w:rPr>
        <w:t xml:space="preserve"> between British Columbia and the facts upon which the proceeding against the third parties is based.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Section 10 sets out the circumstances in which a real and substantial connection is presumed to exist between British Columbia and the facts underlying the proceeding. Under s. 10(g), this includes a proceeding that "concerns a tort committed in British Columbia." It is common ground between the applicants and the respondent that none of the other enumerated factors in s. 10 apply to the facts of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Section 10 also provides an alternative basis on which a real and substantial connection may be established, apart from the presumptive factors: the party seeking to establish territorial competence may do so by proof of other circumstances that satisfy the court that a connection is made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Section 11 of the </w:t>
      </w:r>
      <w:r>
        <w:rPr>
          <w:rFonts w:ascii="arial" w:eastAsia="arial" w:hAnsi="arial" w:cs="arial"/>
          <w:i/>
          <w:color w:val="000000"/>
          <w:sz w:val="20"/>
          <w:lang w:val="en-US" w:eastAsia="en-US" w:bidi="ar-SA"/>
        </w:rPr>
        <w:t>CJPTA</w:t>
      </w:r>
      <w:r>
        <w:rPr>
          <w:rFonts w:ascii="arial" w:eastAsia="arial" w:hAnsi="arial" w:cs="arial"/>
          <w:color w:val="000000"/>
          <w:sz w:val="20"/>
          <w:lang w:val="en-US" w:eastAsia="en-US" w:bidi="ar-SA"/>
        </w:rPr>
        <w:t xml:space="preserve"> provides that a court may decline to exercise its territorial competence in the proceeding on the ground that a court of another jurisdiction is a more appropriate forum in which to hear the proceeding. This is the doctrine of </w:t>
      </w:r>
      <w:r>
        <w:rPr>
          <w:rFonts w:ascii="arial" w:eastAsia="arial" w:hAnsi="arial" w:cs="arial"/>
          <w:i/>
          <w:color w:val="000000"/>
          <w:sz w:val="20"/>
          <w:lang w:val="en-US" w:eastAsia="en-US" w:bidi="ar-SA"/>
        </w:rPr>
        <w:t>forum non conveniens</w:t>
      </w:r>
      <w:r>
        <w:rPr>
          <w:rFonts w:ascii="arial" w:eastAsia="arial" w:hAnsi="arial" w:cs="arial"/>
          <w:color w:val="000000"/>
          <w:sz w:val="20"/>
          <w:lang w:val="en-US" w:eastAsia="en-US" w:bidi="ar-SA"/>
        </w:rPr>
        <w:t xml:space="preserve">. However, before the court considers that issue, it must first determine whether it has territorial competence. If territorial competence is not established, then the court will not consider the doctrine: </w:t>
      </w:r>
      <w:r>
        <w:rPr>
          <w:rFonts w:ascii="arial" w:eastAsia="arial" w:hAnsi="arial" w:cs="arial"/>
          <w:i/>
          <w:color w:val="000000"/>
          <w:sz w:val="20"/>
          <w:lang w:val="en-US" w:eastAsia="en-US" w:bidi="ar-SA"/>
        </w:rPr>
        <w:t>Club Resorts Ltd. v. Van Breda</w:t>
      </w:r>
      <w:r>
        <w:rPr>
          <w:rFonts w:ascii="arial" w:eastAsia="arial" w:hAnsi="arial" w:cs="arial"/>
          <w:color w:val="000000"/>
          <w:sz w:val="20"/>
          <w:lang w:val="en-US" w:eastAsia="en-US" w:bidi="ar-SA"/>
        </w:rPr>
        <w:t xml:space="preserve">, </w:t>
      </w:r>
      <w:hyperlink r:id="rId44" w:history="1">
        <w:r>
          <w:rPr>
            <w:rFonts w:ascii="arial" w:eastAsia="arial" w:hAnsi="arial" w:cs="arial"/>
            <w:i/>
            <w:color w:val="0077CC"/>
            <w:sz w:val="20"/>
            <w:u w:val="single"/>
            <w:shd w:val="clear" w:color="auto" w:fill="FFFFFF"/>
            <w:lang w:val="en-US" w:eastAsia="en-US" w:bidi="ar-SA"/>
          </w:rPr>
          <w:t>2012 SCC 17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Van Breda</w:t>
      </w:r>
      <w:r>
        <w:rPr>
          <w:rFonts w:ascii="arial" w:eastAsia="arial" w:hAnsi="arial" w:cs="arial"/>
          <w:color w:val="000000"/>
          <w:sz w:val="20"/>
          <w:lang w:val="en-US" w:eastAsia="en-US" w:bidi="ar-SA"/>
        </w:rPr>
        <w:t>] at para. 101.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burden of establishing territorial competence rests with the party seeking to establish its existence, in this case the defendants. In the event that the doctrine of </w:t>
      </w:r>
      <w:r>
        <w:rPr>
          <w:rFonts w:ascii="arial" w:eastAsia="arial" w:hAnsi="arial" w:cs="arial"/>
          <w:i/>
          <w:color w:val="000000"/>
          <w:sz w:val="20"/>
          <w:lang w:val="en-US" w:eastAsia="en-US" w:bidi="ar-SA"/>
        </w:rPr>
        <w:t>forum non conveniens</w:t>
      </w:r>
      <w:r>
        <w:rPr>
          <w:rFonts w:ascii="arial" w:eastAsia="arial" w:hAnsi="arial" w:cs="arial"/>
          <w:color w:val="000000"/>
          <w:sz w:val="20"/>
          <w:lang w:val="en-US" w:eastAsia="en-US" w:bidi="ar-SA"/>
        </w:rPr>
        <w:t xml:space="preserve"> is to be decided, the onus of showing why the court should decline to exercise its jurisdiction and order the proceeding to be heard in another jurisdiction would rest with the third parties. They would be required to identify another forum that should be allowed to dispose of the action. In order to be granted a stay of the proceeding in this jurisdiction, that party must show why the proposed alternative forum should be preferred and considered to be more appropriate. If that is proven, then the court has the authority to impose a stay: Rule 21-8(2).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turn now to the particulars of this matter, which will be considered in the following order:</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First, whether a presumed real and substantial connection exists, as per s. 10. If that connection is found, it will be on the basis of s. 10(g): "concerns a tort committed in British Columbia."</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Second, if that connection has not been established under the presumptive provisions, whether the defendants have proved other circumstances that constitute a real and substantial connection between British Columbia and the facts underlying the third party proceeding.</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Third, if no real and substantial connection is proven, is this a matter where the court's discretionary authority under s. 6 of the </w:t>
      </w:r>
      <w:r>
        <w:rPr>
          <w:rFonts w:ascii="arial" w:eastAsia="arial" w:hAnsi="arial" w:cs="arial"/>
          <w:i/>
          <w:color w:val="000000"/>
          <w:sz w:val="20"/>
          <w:lang w:val="en-US" w:eastAsia="en-US" w:bidi="ar-SA"/>
        </w:rPr>
        <w:t>CJPTA</w:t>
      </w:r>
      <w:r>
        <w:rPr>
          <w:rFonts w:ascii="arial" w:eastAsia="arial" w:hAnsi="arial" w:cs="arial"/>
          <w:color w:val="000000"/>
          <w:sz w:val="20"/>
          <w:lang w:val="en-US" w:eastAsia="en-US" w:bidi="ar-SA"/>
        </w:rPr>
        <w:t xml:space="preserve"> should be engaged?</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Fourth, if I find that a real and substantial connection exists, should the doctrine of </w:t>
      </w:r>
      <w:r>
        <w:rPr>
          <w:rFonts w:ascii="arial" w:eastAsia="arial" w:hAnsi="arial" w:cs="arial"/>
          <w:i/>
          <w:color w:val="000000"/>
          <w:sz w:val="20"/>
          <w:lang w:val="en-US" w:eastAsia="en-US" w:bidi="ar-SA"/>
        </w:rPr>
        <w:t>forum non conveniens</w:t>
      </w:r>
      <w:r>
        <w:rPr>
          <w:rFonts w:ascii="arial" w:eastAsia="arial" w:hAnsi="arial" w:cs="arial"/>
          <w:color w:val="000000"/>
          <w:sz w:val="20"/>
          <w:lang w:val="en-US" w:eastAsia="en-US" w:bidi="ar-SA"/>
        </w:rPr>
        <w:t xml:space="preserve"> be invoked and a judicial stay be directed?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Section 10(g)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It should be noted that the parties are in agreement that the plaintiff's injuries are indivisible. They agree as well that the named defendants and the named third parties are properly characterized as consecutive tortfeasors and that their liability is joint. In such circumstances, liable parties can claim contribution and indemnity as against one another.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An important consideration in the submission of the third parties is that the third party claim (not the underlying action) is the relevant proceeding for the purpose of ss. 3(e) and 10(g). That claim is an alleged tort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provision of medical treatment, the medical treatment in question occurring in New Jersey. It is distinct from the underlying action, which is based on the negligent operation of the motor vehicle involved in the accident which injured the plaintiff. That accident, as noted above, took place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regard to this distinction, they rely on the authority of </w:t>
      </w:r>
      <w:r>
        <w:rPr>
          <w:rFonts w:ascii="arial" w:eastAsia="arial" w:hAnsi="arial" w:cs="arial"/>
          <w:i/>
          <w:color w:val="000000"/>
          <w:sz w:val="20"/>
          <w:lang w:val="en-US" w:eastAsia="en-US" w:bidi="ar-SA"/>
        </w:rPr>
        <w:t>Josephson v. Balfour Recreation Commission,</w:t>
      </w:r>
      <w:r>
        <w:rPr>
          <w:rFonts w:ascii="arial" w:eastAsia="arial" w:hAnsi="arial" w:cs="arial"/>
          <w:color w:val="000000"/>
          <w:sz w:val="20"/>
          <w:lang w:val="en-US" w:eastAsia="en-US" w:bidi="ar-SA"/>
        </w:rPr>
        <w:t xml:space="preserve"> </w:t>
      </w:r>
      <w:hyperlink r:id="rId45" w:history="1">
        <w:r>
          <w:rPr>
            <w:rFonts w:ascii="arial" w:eastAsia="arial" w:hAnsi="arial" w:cs="arial"/>
            <w:i/>
            <w:color w:val="0077CC"/>
            <w:sz w:val="20"/>
            <w:u w:val="single"/>
            <w:shd w:val="clear" w:color="auto" w:fill="FFFFFF"/>
            <w:lang w:val="en-US" w:eastAsia="en-US" w:bidi="ar-SA"/>
          </w:rPr>
          <w:t>2010 BCSC 603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Josephson</w:t>
      </w:r>
      <w:r>
        <w:rPr>
          <w:rFonts w:ascii="arial" w:eastAsia="arial" w:hAnsi="arial" w:cs="arial"/>
          <w:color w:val="000000"/>
          <w:sz w:val="20"/>
          <w:lang w:val="en-US" w:eastAsia="en-US" w:bidi="ar-SA"/>
        </w:rPr>
        <w:t>] at paras. 34-39. In my view, that proposition is soundly supported by the authorities referenced in the discussion set out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Accordingly, the third parties say that the only enumerated factor in s. 10 that would operate to provide a presumptive real and substantial connection to this province, (g), does not apply in these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Relatedly, the third parties say that the endorsement for service outside British Columbia that appears on the notices served on them is inaccurate, as the claim against them does not concern a tort committed in British Columbia. Instead, they claim that it concerns an alleged tort which was committed in New Jersey.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In terms of the substantive issue, the applicant third parties place considerable reliance upon Madam Justice Loo's analysis and decision in </w:t>
      </w:r>
      <w:r>
        <w:rPr>
          <w:rFonts w:ascii="arial" w:eastAsia="arial" w:hAnsi="arial" w:cs="arial"/>
          <w:i/>
          <w:color w:val="000000"/>
          <w:sz w:val="20"/>
          <w:lang w:val="en-US" w:eastAsia="en-US" w:bidi="ar-SA"/>
        </w:rPr>
        <w:t>Josephson</w:t>
      </w:r>
      <w:r>
        <w:rPr>
          <w:rFonts w:ascii="arial" w:eastAsia="arial" w:hAnsi="arial" w:cs="arial"/>
          <w:color w:val="000000"/>
          <w:sz w:val="20"/>
          <w:lang w:val="en-US" w:eastAsia="en-US" w:bidi="ar-SA"/>
        </w:rPr>
        <w:t>. In that case, the plaintiff, a resident of Idaho, sustained a personal injury in British Columbia. He received some medical treatment in this province and was subsequently transported back to Idaho. There, he received further medical treatment. Ultimately, his medical condition worsened quite radically and he ended up a paraplegic.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 sued a number of persons and entities, including a companion who was driving the golf cart involved in the mishap (that person was another resident of Idaho), together with medical personnel in British Columbia, the owner and operator of the golf course, and a medical facility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defendant, Mr. Christopher Clark, who was the companion driving the golf cart, moved to add a number of third parties, including medical personnel and a medical clinic in Idaho.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Those third parties applied to have the third party proceedings brought against them dismissed on the basis that the BCSC lacked jurisdiction over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After a careful analysis of the circumstances and the relevant authorities, Loo J. concluded that there was no presumed real and substantial connection under s. 10(g). In coming to this conclusion, as outlined above, Justice Loo relied on the fact that the third party claim is the appropriate proceeding for the purposes of ss. 3(e) and 10(g), not the underlying action. In addition, Loo J. found that the fact that the Idaho doctors were 'necessary or proper parties' to the underlying action did not create a real and substantial connection: </w:t>
      </w:r>
      <w:r>
        <w:rPr>
          <w:rFonts w:ascii="arial" w:eastAsia="arial" w:hAnsi="arial" w:cs="arial"/>
          <w:i/>
          <w:color w:val="000000"/>
          <w:sz w:val="20"/>
          <w:lang w:val="en-US" w:eastAsia="en-US" w:bidi="ar-SA"/>
        </w:rPr>
        <w:t>Josephson</w:t>
      </w:r>
      <w:r>
        <w:rPr>
          <w:rFonts w:ascii="arial" w:eastAsia="arial" w:hAnsi="arial" w:cs="arial"/>
          <w:color w:val="000000"/>
          <w:sz w:val="20"/>
          <w:lang w:val="en-US" w:eastAsia="en-US" w:bidi="ar-SA"/>
        </w:rPr>
        <w:t xml:space="preserve"> at paras. 40-42.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In the case at bar, I find that the circumstances are analogous to </w:t>
      </w:r>
      <w:r>
        <w:rPr>
          <w:rFonts w:ascii="arial" w:eastAsia="arial" w:hAnsi="arial" w:cs="arial"/>
          <w:i/>
          <w:color w:val="000000"/>
          <w:sz w:val="20"/>
          <w:lang w:val="en-US" w:eastAsia="en-US" w:bidi="ar-SA"/>
        </w:rPr>
        <w:t>Josephson</w:t>
      </w:r>
      <w:r>
        <w:rPr>
          <w:rFonts w:ascii="arial" w:eastAsia="arial" w:hAnsi="arial" w:cs="arial"/>
          <w:color w:val="000000"/>
          <w:sz w:val="20"/>
          <w:lang w:val="en-US" w:eastAsia="en-US" w:bidi="ar-SA"/>
        </w:rPr>
        <w:t>. The third party action concerns allegedly negligent actions that took place in New Jersey, namely, medical treatment provided in that jurisdiction. While the initial accident occurred in British Columbia, the subject of the third party action clearly concerns matters that occurred wholly outside this jurisdiction. Therefore, I find that the presumption in s. 10(g) is not made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 note that, in the course of submissions, the defendants urged me to find that there is a material difference between the circumstances in </w:t>
      </w:r>
      <w:r>
        <w:rPr>
          <w:rFonts w:ascii="arial" w:eastAsia="arial" w:hAnsi="arial" w:cs="arial"/>
          <w:i/>
          <w:color w:val="000000"/>
          <w:sz w:val="20"/>
          <w:lang w:val="en-US" w:eastAsia="en-US" w:bidi="ar-SA"/>
        </w:rPr>
        <w:t>Josephson</w:t>
      </w:r>
      <w:r>
        <w:rPr>
          <w:rFonts w:ascii="arial" w:eastAsia="arial" w:hAnsi="arial" w:cs="arial"/>
          <w:color w:val="000000"/>
          <w:sz w:val="20"/>
          <w:lang w:val="en-US" w:eastAsia="en-US" w:bidi="ar-SA"/>
        </w:rPr>
        <w:t xml:space="preserve"> and the matter at bar. Specifically, they emphasized that the basis for the allegation of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former was a failure to provide appropriate medical care (which they characterize as non-feasance), whereas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alleged against the third parties in the present case is said to be improper medical care (misfeasance). To my mind, that is not a difference which affects the 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Section 10 - Other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language in s. 10 makes it clear that, in regards to the enumerated grounds for a presumption of a real and substantial connection, the list provided in this section is not exhaustive. Specifically, the section states that these enumerated grounds do not limit: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right of the plaintiff to prove other circumstances that constitute a real and substantial connection between British Columbia and the facts on which a proceeding is based...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On this point as well, I find that the decision in </w:t>
      </w:r>
      <w:r>
        <w:rPr>
          <w:rFonts w:ascii="arial" w:eastAsia="arial" w:hAnsi="arial" w:cs="arial"/>
          <w:i/>
          <w:color w:val="000000"/>
          <w:sz w:val="20"/>
          <w:lang w:val="en-US" w:eastAsia="en-US" w:bidi="ar-SA"/>
        </w:rPr>
        <w:t>Josephson</w:t>
      </w:r>
      <w:r>
        <w:rPr>
          <w:rFonts w:ascii="arial" w:eastAsia="arial" w:hAnsi="arial" w:cs="arial"/>
          <w:color w:val="000000"/>
          <w:sz w:val="20"/>
          <w:lang w:val="en-US" w:eastAsia="en-US" w:bidi="ar-SA"/>
        </w:rPr>
        <w:t xml:space="preserve"> is apposite. In that case, after having found that the presumption in s. 10(g) did not apply, Loo J. considered whether there was a real and substantial connection between British Columbia and the facts on which the proceeding was based. She determined that there was not: </w:t>
      </w:r>
      <w:r>
        <w:rPr>
          <w:rFonts w:ascii="arial" w:eastAsia="arial" w:hAnsi="arial" w:cs="arial"/>
          <w:i/>
          <w:color w:val="000000"/>
          <w:sz w:val="20"/>
          <w:lang w:val="en-US" w:eastAsia="en-US" w:bidi="ar-SA"/>
        </w:rPr>
        <w:t>Josephson</w:t>
      </w:r>
      <w:r>
        <w:rPr>
          <w:rFonts w:ascii="arial" w:eastAsia="arial" w:hAnsi="arial" w:cs="arial"/>
          <w:color w:val="000000"/>
          <w:sz w:val="20"/>
          <w:lang w:val="en-US" w:eastAsia="en-US" w:bidi="ar-SA"/>
        </w:rPr>
        <w:t xml:space="preserve"> at para. 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coming to this conclusion, the Court found the following at para. 55: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view, the comments of K. Smith J.A. at para. 73 of </w:t>
      </w:r>
      <w:r>
        <w:rPr>
          <w:rFonts w:ascii="arial" w:eastAsia="arial" w:hAnsi="arial" w:cs="arial"/>
          <w:i/>
          <w:color w:val="000000"/>
          <w:sz w:val="20"/>
          <w:lang w:val="en-US" w:eastAsia="en-US" w:bidi="ar-SA"/>
        </w:rPr>
        <w:t>Stanway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 Wyeth Pharmaceuticals Inc.</w:t>
      </w:r>
      <w:r>
        <w:rPr>
          <w:rFonts w:ascii="arial" w:eastAsia="arial" w:hAnsi="arial" w:cs="arial"/>
          <w:color w:val="000000"/>
          <w:sz w:val="20"/>
          <w:lang w:val="en-US" w:eastAsia="en-US" w:bidi="ar-SA"/>
        </w:rPr>
        <w:t xml:space="preserve">, </w:t>
      </w:r>
      <w:hyperlink r:id="rId46" w:history="1">
        <w:r>
          <w:rPr>
            <w:rFonts w:ascii="arial" w:eastAsia="arial" w:hAnsi="arial" w:cs="arial"/>
            <w:i/>
            <w:color w:val="0077CC"/>
            <w:sz w:val="20"/>
            <w:u w:val="single"/>
            <w:shd w:val="clear" w:color="auto" w:fill="FFFFFF"/>
            <w:lang w:val="en-US" w:eastAsia="en-US" w:bidi="ar-SA"/>
          </w:rPr>
          <w:t>2009 BCCA 592</w:t>
        </w:r>
      </w:hyperlink>
      <w:r>
        <w:rPr>
          <w:rFonts w:ascii="arial" w:eastAsia="arial" w:hAnsi="arial" w:cs="arial"/>
          <w:color w:val="000000"/>
          <w:sz w:val="20"/>
          <w:lang w:val="en-US" w:eastAsia="en-US" w:bidi="ar-SA"/>
        </w:rPr>
        <w:t xml:space="preserve">] were confined to the circumstances of a </w:t>
      </w:r>
      <w:r>
        <w:rPr>
          <w:rFonts w:ascii="arial" w:eastAsia="arial" w:hAnsi="arial" w:cs="arial"/>
          <w:color w:val="000000"/>
          <w:sz w:val="20"/>
          <w:u w:val="single"/>
          <w:lang w:val="en-US" w:eastAsia="en-US" w:bidi="ar-SA"/>
        </w:rPr>
        <w:t>presumed</w:t>
      </w:r>
      <w:r>
        <w:rPr>
          <w:rFonts w:ascii="arial" w:eastAsia="arial" w:hAnsi="arial" w:cs="arial"/>
          <w:color w:val="000000"/>
          <w:sz w:val="20"/>
          <w:lang w:val="en-US" w:eastAsia="en-US" w:bidi="ar-SA"/>
        </w:rPr>
        <w:t xml:space="preserve"> real and substantial connection, in which case it is not necessary to apply the </w:t>
      </w:r>
      <w:r>
        <w:rPr>
          <w:rFonts w:ascii="arial" w:eastAsia="arial" w:hAnsi="arial" w:cs="arial"/>
          <w:i/>
          <w:color w:val="000000"/>
          <w:sz w:val="20"/>
          <w:lang w:val="en-US" w:eastAsia="en-US" w:bidi="ar-SA"/>
        </w:rPr>
        <w:t>Muscutt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 Courcelles</w:t>
      </w:r>
      <w:r>
        <w:rPr>
          <w:rFonts w:ascii="arial" w:eastAsia="arial" w:hAnsi="arial" w:cs="arial"/>
          <w:color w:val="000000"/>
          <w:sz w:val="20"/>
          <w:lang w:val="en-US" w:eastAsia="en-US" w:bidi="ar-SA"/>
        </w:rPr>
        <w:t xml:space="preserve">, </w:t>
      </w:r>
      <w:hyperlink r:id="rId47" w:history="1">
        <w:r>
          <w:rPr>
            <w:rFonts w:ascii="arial" w:eastAsia="arial" w:hAnsi="arial" w:cs="arial"/>
            <w:i/>
            <w:color w:val="0077CC"/>
            <w:sz w:val="20"/>
            <w:u w:val="single"/>
            <w:shd w:val="clear" w:color="auto" w:fill="FFFFFF"/>
            <w:lang w:val="en-US" w:eastAsia="en-US" w:bidi="ar-SA"/>
          </w:rPr>
          <w:t>[2002] O.J. No. 2128</w:t>
        </w:r>
      </w:hyperlink>
      <w:r>
        <w:rPr>
          <w:rFonts w:ascii="arial" w:eastAsia="arial" w:hAnsi="arial" w:cs="arial"/>
          <w:color w:val="000000"/>
          <w:sz w:val="20"/>
          <w:lang w:val="en-US" w:eastAsia="en-US" w:bidi="ar-SA"/>
        </w:rPr>
        <w:t xml:space="preserve"> (ONCA)] test. Where the presumption does not apply, however, it is open to the plaintiff or third party to prove that other circumstances constitute a real and substantial connection between British Columbia and the facts on which the proceeding is based. The party can only do so by resorting to the common law test for guidance on what is necessary to establish jurisdiction </w:t>
      </w:r>
      <w:r>
        <w:rPr>
          <w:rFonts w:ascii="arial" w:eastAsia="arial" w:hAnsi="arial" w:cs="arial"/>
          <w:i/>
          <w:color w:val="000000"/>
          <w:sz w:val="20"/>
          <w:lang w:val="en-US" w:eastAsia="en-US" w:bidi="ar-SA"/>
        </w:rPr>
        <w:t>simpliciter</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Essentially, the Court held that, when it is found that the presumption in s. 10(g) does not apply, it is appropriate to refer to common law principles on jurisdiction. On this point, recently, the Supreme Court of Canada discussed common law jurisdiction in </w:t>
      </w:r>
      <w:r>
        <w:rPr>
          <w:rFonts w:ascii="arial" w:eastAsia="arial" w:hAnsi="arial" w:cs="arial"/>
          <w:i/>
          <w:color w:val="000000"/>
          <w:sz w:val="20"/>
          <w:lang w:val="en-US" w:eastAsia="en-US" w:bidi="ar-SA"/>
        </w:rPr>
        <w:t>Van Breda</w:t>
      </w:r>
      <w:r>
        <w:rPr>
          <w:rFonts w:ascii="arial" w:eastAsia="arial" w:hAnsi="arial" w:cs="arial"/>
          <w:color w:val="000000"/>
          <w:sz w:val="20"/>
          <w:lang w:val="en-US" w:eastAsia="en-US" w:bidi="ar-SA"/>
        </w:rPr>
        <w:t>. The Court provided the following list of presumptive connecting factors at para. 90:</w:t>
      </w:r>
      <w:r>
        <w:rPr>
          <w:rFonts w:ascii="arial" w:eastAsia="arial" w:hAnsi="arial" w:cs="arial"/>
          <w:sz w:val="20"/>
          <w:lang w:val="en-US" w:eastAsia="en-US" w:bidi="ar-SA"/>
        </w:rPr>
        <w:cr/>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is domiciled or resident in the province;</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carries on business in the province;</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tort was committed in the province; and</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contract connected with the dispute was made in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However, the Court also made it clear that these presumptive factors are rebuttable. On this point, the Court said the following at para. 95: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presumption of jurisdiction that arises where a recognized connecting factor -- whether listed or new -- applies is not irrebuttable. The burden of rebutting the presumption of jurisdiction rests, of course, on the party challenging the assumption of jurisdiction. That party must establish facts which demonstrate that the presumptive connecting factor does not point to any real relationship between the subject matter of the litigation and the forum or points only to a weak relationship between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In the case at bar, the defendants submit that the Supreme Court of Canada's ruling in </w:t>
      </w:r>
      <w:r>
        <w:rPr>
          <w:rFonts w:ascii="arial" w:eastAsia="arial" w:hAnsi="arial" w:cs="arial"/>
          <w:i/>
          <w:color w:val="000000"/>
          <w:sz w:val="20"/>
          <w:lang w:val="en-US" w:eastAsia="en-US" w:bidi="ar-SA"/>
        </w:rPr>
        <w:t>Van Breda</w:t>
      </w:r>
      <w:r>
        <w:rPr>
          <w:rFonts w:ascii="arial" w:eastAsia="arial" w:hAnsi="arial" w:cs="arial"/>
          <w:color w:val="000000"/>
          <w:sz w:val="20"/>
          <w:lang w:val="en-US" w:eastAsia="en-US" w:bidi="ar-SA"/>
        </w:rPr>
        <w:t xml:space="preserve"> has overtaken </w:t>
      </w:r>
      <w:r>
        <w:rPr>
          <w:rFonts w:ascii="arial" w:eastAsia="arial" w:hAnsi="arial" w:cs="arial"/>
          <w:i/>
          <w:color w:val="000000"/>
          <w:sz w:val="20"/>
          <w:lang w:val="en-US" w:eastAsia="en-US" w:bidi="ar-SA"/>
        </w:rPr>
        <w:t>Josephson</w:t>
      </w:r>
      <w:r>
        <w:rPr>
          <w:rFonts w:ascii="arial" w:eastAsia="arial" w:hAnsi="arial" w:cs="arial"/>
          <w:color w:val="000000"/>
          <w:sz w:val="20"/>
          <w:lang w:val="en-US" w:eastAsia="en-US" w:bidi="ar-SA"/>
        </w:rPr>
        <w:t>. Specifically, they rely on the following comments at para. 99: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should add that it is possible for a case to sound both in contract and in tort or to invoke more than one tort. Would a court be limited to hearing the specific part of the case that can be directly connected with the jurisdiction? Such a rule would breach the principles of fairness and efficiency on which the assumption of jurisdiction is based. The purpose of the conflicts rules is to establish whether a real and substantial connection exists between the forum, the subject matter of the litigation and the defendant. If such a connection exists in respect of a factual and legal situation, the court must assume jurisdiction over all aspects of the case. The plaintiff should not be obliged to litigate a tort claim in Manitoba and a related claim for restitution in Nova Scotia. That would be incompatible with any notion of fairness and efficiency.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 note that </w:t>
      </w:r>
      <w:r>
        <w:rPr>
          <w:rFonts w:ascii="arial" w:eastAsia="arial" w:hAnsi="arial" w:cs="arial"/>
          <w:i/>
          <w:color w:val="000000"/>
          <w:sz w:val="20"/>
          <w:lang w:val="en-US" w:eastAsia="en-US" w:bidi="ar-SA"/>
        </w:rPr>
        <w:t>Van Breda</w:t>
      </w:r>
      <w:r>
        <w:rPr>
          <w:rFonts w:ascii="arial" w:eastAsia="arial" w:hAnsi="arial" w:cs="arial"/>
          <w:color w:val="000000"/>
          <w:sz w:val="20"/>
          <w:lang w:val="en-US" w:eastAsia="en-US" w:bidi="ar-SA"/>
        </w:rPr>
        <w:t xml:space="preserve"> was an appeal of two Ontario decisions. As the discussion in that case makes clear, Ontario has not enacted a statute analogous to the </w:t>
      </w:r>
      <w:r>
        <w:rPr>
          <w:rFonts w:ascii="arial" w:eastAsia="arial" w:hAnsi="arial" w:cs="arial"/>
          <w:i/>
          <w:color w:val="000000"/>
          <w:sz w:val="20"/>
          <w:lang w:val="en-US" w:eastAsia="en-US" w:bidi="ar-SA"/>
        </w:rPr>
        <w:t>CJPTA</w:t>
      </w:r>
      <w:r>
        <w:rPr>
          <w:rFonts w:ascii="arial" w:eastAsia="arial" w:hAnsi="arial" w:cs="arial"/>
          <w:color w:val="000000"/>
          <w:sz w:val="20"/>
          <w:lang w:val="en-US" w:eastAsia="en-US" w:bidi="ar-SA"/>
        </w:rPr>
        <w:t>. Instead, in Ontario, those matters are determined by reference to the common law and the relevant rules of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To the extent that the submissions of the third parties before me urge the conclusion that the </w:t>
      </w:r>
      <w:r>
        <w:rPr>
          <w:rFonts w:ascii="arial" w:eastAsia="arial" w:hAnsi="arial" w:cs="arial"/>
          <w:i/>
          <w:color w:val="000000"/>
          <w:sz w:val="20"/>
          <w:lang w:val="en-US" w:eastAsia="en-US" w:bidi="ar-SA"/>
        </w:rPr>
        <w:t>Van Breda</w:t>
      </w:r>
      <w:r>
        <w:rPr>
          <w:rFonts w:ascii="arial" w:eastAsia="arial" w:hAnsi="arial" w:cs="arial"/>
          <w:color w:val="000000"/>
          <w:sz w:val="20"/>
          <w:lang w:val="en-US" w:eastAsia="en-US" w:bidi="ar-SA"/>
        </w:rPr>
        <w:t xml:space="preserve"> case is of no relevance in the analysis at bar because of the common law versus statutory scheme distinction, I reject that proposition. In my view, the determination of the jurisdictional issue in the present case is to be based upon the statute and the authorities which have interpreted and applied it. Where the statute's presumptive conditions for real and substantial connection do not provide a definitive answer, the consideration of other circumstances can properly be informed by common law principles. </w:t>
      </w:r>
      <w:r>
        <w:rPr>
          <w:rFonts w:ascii="arial" w:eastAsia="arial" w:hAnsi="arial" w:cs="arial"/>
          <w:i/>
          <w:color w:val="000000"/>
          <w:sz w:val="20"/>
          <w:lang w:val="en-US" w:eastAsia="en-US" w:bidi="ar-SA"/>
        </w:rPr>
        <w:t>Van Breda</w:t>
      </w:r>
      <w:r>
        <w:rPr>
          <w:rFonts w:ascii="arial" w:eastAsia="arial" w:hAnsi="arial" w:cs="arial"/>
          <w:color w:val="000000"/>
          <w:sz w:val="20"/>
          <w:lang w:val="en-US" w:eastAsia="en-US" w:bidi="ar-SA"/>
        </w:rPr>
        <w:t xml:space="preserve"> provides a useful discussion of those.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However, I do not accept that the above-quoted passage overrules the Court's finding in </w:t>
      </w:r>
      <w:r>
        <w:rPr>
          <w:rFonts w:ascii="arial" w:eastAsia="arial" w:hAnsi="arial" w:cs="arial"/>
          <w:i/>
          <w:color w:val="000000"/>
          <w:sz w:val="20"/>
          <w:lang w:val="en-US" w:eastAsia="en-US" w:bidi="ar-SA"/>
        </w:rPr>
        <w:t>Josephson</w:t>
      </w:r>
      <w:r>
        <w:rPr>
          <w:rFonts w:ascii="arial" w:eastAsia="arial" w:hAnsi="arial" w:cs="arial"/>
          <w:color w:val="000000"/>
          <w:sz w:val="20"/>
          <w:lang w:val="en-US" w:eastAsia="en-US" w:bidi="ar-SA"/>
        </w:rPr>
        <w:t xml:space="preserve">. In the excerpt, the Supreme Court of Canada seems to be envisioning a scenario where a party, succeeding on a specific tort, is then forced to bring a new action to claim restitution on that same tort. On this point, it is important to note that </w:t>
      </w:r>
      <w:r>
        <w:rPr>
          <w:rFonts w:ascii="arial" w:eastAsia="arial" w:hAnsi="arial" w:cs="arial"/>
          <w:i/>
          <w:color w:val="000000"/>
          <w:sz w:val="20"/>
          <w:lang w:val="en-US" w:eastAsia="en-US" w:bidi="ar-SA"/>
        </w:rPr>
        <w:t>Van Breda</w:t>
      </w:r>
      <w:r>
        <w:rPr>
          <w:rFonts w:ascii="arial" w:eastAsia="arial" w:hAnsi="arial" w:cs="arial"/>
          <w:color w:val="000000"/>
          <w:sz w:val="20"/>
          <w:lang w:val="en-US" w:eastAsia="en-US" w:bidi="ar-SA"/>
        </w:rPr>
        <w:t xml:space="preserve"> was a case where two parties suffered their injuries in Cuba, and were attempting to bring their actions against the respective tortfeasors in Ontario. The case was not one where, as here, there are essentially two different torts committed by different tortfeasors in different jurisdictions. Given that the scenario envisioned in para. 99 is quite fundamentally different than the circumstances at bar, it is my view that this passage does not alter the applicability of </w:t>
      </w:r>
      <w:r>
        <w:rPr>
          <w:rFonts w:ascii="arial" w:eastAsia="arial" w:hAnsi="arial" w:cs="arial"/>
          <w:i/>
          <w:color w:val="000000"/>
          <w:sz w:val="20"/>
          <w:lang w:val="en-US" w:eastAsia="en-US" w:bidi="ar-SA"/>
        </w:rPr>
        <w:t>Josephson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 find support for my conclusion in the following comments in </w:t>
      </w:r>
      <w:r>
        <w:rPr>
          <w:rFonts w:ascii="arial" w:eastAsia="arial" w:hAnsi="arial" w:cs="arial"/>
          <w:i/>
          <w:color w:val="000000"/>
          <w:sz w:val="20"/>
          <w:lang w:val="en-US" w:eastAsia="en-US" w:bidi="ar-SA"/>
        </w:rPr>
        <w:t>Van Breda</w:t>
      </w:r>
      <w:r>
        <w:rPr>
          <w:rFonts w:ascii="arial" w:eastAsia="arial" w:hAnsi="arial" w:cs="arial"/>
          <w:color w:val="000000"/>
          <w:sz w:val="20"/>
          <w:lang w:val="en-US" w:eastAsia="en-US" w:bidi="ar-SA"/>
        </w:rPr>
        <w:t xml:space="preserve"> at para. 89: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use of damage sustained as a connecting factor may raise difficult issues. For torts like defamation, sustaining damage completes the commission of the tort and often tends to locate the tort in the jurisdiction where the damage is sustained. In other cases, the situation is less clear. The problem with accepting unreservedly that if damage is sustained at a particular place, the claim presumptively falls within the jurisdiction of the courts of the place, is that this risks sweeping into that jurisdiction claims that have only a limited relationship with the forum. An injury may happen in one place, but the pain and inconvenience resulting from it might be felt in another country and later in a third one. As a result, presumptive effect cannot be accorded to this connecting factor.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In essence, the defendants are seeking to focus on the connection between the original damages suffered in British Columbia, and the subsequent damages suffered as a result of the medical procedures performed in New Jersey. As the above passage demonstrates, the Supreme Court of Canada has made it clear that courts should be wary of assuming jurisdiction based on tenuous damages connections. Therefore, the indivisibility of the damages in the case at bar does not warrant or require that the BCSC assume jurisdiction over the second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In light of the above, as in </w:t>
      </w:r>
      <w:r>
        <w:rPr>
          <w:rFonts w:ascii="arial" w:eastAsia="arial" w:hAnsi="arial" w:cs="arial"/>
          <w:i/>
          <w:color w:val="000000"/>
          <w:sz w:val="20"/>
          <w:lang w:val="en-US" w:eastAsia="en-US" w:bidi="ar-SA"/>
        </w:rPr>
        <w:t>Josephson</w:t>
      </w:r>
      <w:r>
        <w:rPr>
          <w:rFonts w:ascii="arial" w:eastAsia="arial" w:hAnsi="arial" w:cs="arial"/>
          <w:color w:val="000000"/>
          <w:sz w:val="20"/>
          <w:lang w:val="en-US" w:eastAsia="en-US" w:bidi="ar-SA"/>
        </w:rPr>
        <w:t>, I do not believe that there are any 'other circumstances' which militate in favour of finding a real and substantial connection. The presumptive common law jurisdictional factors clearly do not apply to the third party action, with all relevant parties to that action being domiciled, and carrying on business either in, or near, New Jersey. None of the facts or law referred to by the defendants convince me otherwise.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Section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I do not believe these circumstances warrant the invocation of s. 6 of the </w:t>
      </w:r>
      <w:r>
        <w:rPr>
          <w:rFonts w:ascii="arial" w:eastAsia="arial" w:hAnsi="arial" w:cs="arial"/>
          <w:i/>
          <w:color w:val="000000"/>
          <w:sz w:val="20"/>
          <w:lang w:val="en-US" w:eastAsia="en-US" w:bidi="ar-SA"/>
        </w:rPr>
        <w:t>CJPTA</w:t>
      </w:r>
      <w:r>
        <w:rPr>
          <w:rFonts w:ascii="arial" w:eastAsia="arial" w:hAnsi="arial" w:cs="arial"/>
          <w:color w:val="000000"/>
          <w:sz w:val="20"/>
          <w:lang w:val="en-US" w:eastAsia="en-US" w:bidi="ar-SA"/>
        </w:rPr>
        <w:t>. As noted above, that section of the statute gives the Court residual discretion to take jurisdiction over the matter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Of course, in </w:t>
      </w:r>
      <w:r>
        <w:rPr>
          <w:rFonts w:ascii="arial" w:eastAsia="arial" w:hAnsi="arial" w:cs="arial"/>
          <w:i/>
          <w:color w:val="000000"/>
          <w:sz w:val="20"/>
          <w:lang w:val="en-US" w:eastAsia="en-US" w:bidi="ar-SA"/>
        </w:rPr>
        <w:t>Josephson</w:t>
      </w:r>
      <w:r>
        <w:rPr>
          <w:rFonts w:ascii="arial" w:eastAsia="arial" w:hAnsi="arial" w:cs="arial"/>
          <w:color w:val="000000"/>
          <w:sz w:val="20"/>
          <w:lang w:val="en-US" w:eastAsia="en-US" w:bidi="ar-SA"/>
        </w:rPr>
        <w:t xml:space="preserve">, this was the basis upon which Loo J. concluded that jurisdiction should be found to permit the action to proceed in British Columbia. The reason warranting that outcome was that there were provisions in the law of Idaho which would have barred Mr. Clark from being able to successfully bring his claim in that state. Accordingly, at para. 102, the Court found that it "cannot reasonably be required that Mr. Clark commence his proceedings in Idaho," and so his application under s. 6 of the </w:t>
      </w:r>
      <w:r>
        <w:rPr>
          <w:rFonts w:ascii="arial" w:eastAsia="arial" w:hAnsi="arial" w:cs="arial"/>
          <w:i/>
          <w:color w:val="000000"/>
          <w:sz w:val="20"/>
          <w:lang w:val="en-US" w:eastAsia="en-US" w:bidi="ar-SA"/>
        </w:rPr>
        <w:t>CJPTA</w:t>
      </w:r>
      <w:r>
        <w:rPr>
          <w:rFonts w:ascii="arial" w:eastAsia="arial" w:hAnsi="arial" w:cs="arial"/>
          <w:color w:val="000000"/>
          <w:sz w:val="20"/>
          <w:lang w:val="en-US" w:eastAsia="en-US" w:bidi="ar-SA"/>
        </w:rPr>
        <w:t xml:space="preserve"> was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However, in the case at bar, in their Agreed Statement of Facts, the parties accept that there are no legal bars preventing the third party action from proceeding in New Jersey.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defendants say that, while there may be no absolute bar to proceeding in New Jersey, there are certain inconveniences which arise from proceeding there. In addition, the defendants maintain that there are particular aspects of the relevant rules of litigation in that jurisdiction that will be disadvantageous to them, including provisions that limit their right to recover court costs, a right they would have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Section 6 is a statutory enactment of the so-called forum of necessity doctrine. A very helpful discussion of the history, the underlying conceptual rationale, and the judicial approach to the interpretation of this doctrine is found in the reasons for judgement of Hoy A.C.J.O. in </w:t>
      </w:r>
      <w:r>
        <w:rPr>
          <w:rFonts w:ascii="arial" w:eastAsia="arial" w:hAnsi="arial" w:cs="arial"/>
          <w:i/>
          <w:color w:val="000000"/>
          <w:sz w:val="20"/>
          <w:lang w:val="en-US" w:eastAsia="en-US" w:bidi="ar-SA"/>
        </w:rPr>
        <w:t>West Van Inc. v. Daisley</w:t>
      </w:r>
      <w:r>
        <w:rPr>
          <w:rFonts w:ascii="arial" w:eastAsia="arial" w:hAnsi="arial" w:cs="arial"/>
          <w:color w:val="000000"/>
          <w:sz w:val="20"/>
          <w:lang w:val="en-US" w:eastAsia="en-US" w:bidi="ar-SA"/>
        </w:rPr>
        <w:t xml:space="preserve">, </w:t>
      </w:r>
      <w:hyperlink r:id="rId48" w:history="1">
        <w:r>
          <w:rPr>
            <w:rFonts w:ascii="arial" w:eastAsia="arial" w:hAnsi="arial" w:cs="arial"/>
            <w:i/>
            <w:color w:val="0077CC"/>
            <w:sz w:val="20"/>
            <w:u w:val="single"/>
            <w:shd w:val="clear" w:color="auto" w:fill="FFFFFF"/>
            <w:lang w:val="en-US" w:eastAsia="en-US" w:bidi="ar-SA"/>
          </w:rPr>
          <w:t>2014 ONCA 232</w:t>
        </w:r>
      </w:hyperlink>
      <w:r>
        <w:rPr>
          <w:rFonts w:ascii="arial" w:eastAsia="arial" w:hAnsi="arial" w:cs="arial"/>
          <w:color w:val="000000"/>
          <w:sz w:val="20"/>
          <w:lang w:val="en-US" w:eastAsia="en-US" w:bidi="ar-SA"/>
        </w:rPr>
        <w:t>. For present purposes, the point I take to be important is that, while the forum of necessity doctrine incorporates a reasonableness test, courts have set a high bar for its invocation. It is to be stringently interpreted and will be limited to exceptional cases. Mere inconvenience will not suffice: paras. 34 and 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the circumstances at hand, I am not satisfied that it would be appropriate to exercise the residual discretion that the Court has under s. 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Forum Non Conveniens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As noted earlier, if territorial competence is not established, then the doctrine of </w:t>
      </w:r>
      <w:r>
        <w:rPr>
          <w:rFonts w:ascii="arial" w:eastAsia="arial" w:hAnsi="arial" w:cs="arial"/>
          <w:i/>
          <w:color w:val="000000"/>
          <w:sz w:val="20"/>
          <w:lang w:val="en-US" w:eastAsia="en-US" w:bidi="ar-SA"/>
        </w:rPr>
        <w:t>forum non conveniens</w:t>
      </w:r>
      <w:r>
        <w:rPr>
          <w:rFonts w:ascii="arial" w:eastAsia="arial" w:hAnsi="arial" w:cs="arial"/>
          <w:color w:val="000000"/>
          <w:sz w:val="20"/>
          <w:lang w:val="en-US" w:eastAsia="en-US" w:bidi="ar-SA"/>
        </w:rPr>
        <w:t xml:space="preserve"> does not apply. Given my conclusion that, in this case, there is no real and substantial connection between the facts underlying the matter and British Columbia, there is no need to consider s. 11 or </w:t>
      </w:r>
      <w:r>
        <w:rPr>
          <w:rFonts w:ascii="arial" w:eastAsia="arial" w:hAnsi="arial" w:cs="arial"/>
          <w:i/>
          <w:color w:val="000000"/>
          <w:sz w:val="20"/>
          <w:lang w:val="en-US" w:eastAsia="en-US" w:bidi="ar-SA"/>
        </w:rPr>
        <w:t>forum non conveniens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I find that the BCSC lacks territorial competence to consider the claim against Dr. Kaptain and NJBSC. None of the presumptive factors in s. 10 apply to this matter, and there is nothing in the common law test for jurisdiction </w:t>
      </w:r>
      <w:r>
        <w:rPr>
          <w:rFonts w:ascii="arial" w:eastAsia="arial" w:hAnsi="arial" w:cs="arial"/>
          <w:i/>
          <w:color w:val="000000"/>
          <w:sz w:val="20"/>
          <w:lang w:val="en-US" w:eastAsia="en-US" w:bidi="ar-SA"/>
        </w:rPr>
        <w:t>simpliciter</w:t>
      </w:r>
      <w:r>
        <w:rPr>
          <w:rFonts w:ascii="arial" w:eastAsia="arial" w:hAnsi="arial" w:cs="arial"/>
          <w:color w:val="000000"/>
          <w:sz w:val="20"/>
          <w:lang w:val="en-US" w:eastAsia="en-US" w:bidi="ar-SA"/>
        </w:rPr>
        <w:t xml:space="preserve"> which assists the defendants. Given this finding, there is no need to adjourn the trial. Consequently, this application is dismissed, and the matter is to proceed as between the non-US parties as scheduled.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There were no specific submissions made with respect to costs, although I note that the applicant third parties, in their Notice of Application, sought an order for costs. Ordinarily, those third parties, having been successful on the application, would be entitled to such an award. However, there may be relevant factors in the case at bar of which I am unaware and which alter that standard outcome. I propose to leave the matter to counsel to resolve. If that cannot be done, then written submissions may be made to the Court through the office of the Trial Scheduling Manager.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J.W. WILLIAMS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2" style="position:absolute;z-index:2517616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9"/>
          <w:headerReference w:type="default" r:id="rId50"/>
          <w:footerReference w:type="even" r:id="rId51"/>
          <w:footerReference w:type="default" r:id="rId52"/>
          <w:headerReference w:type="first" r:id="rId53"/>
          <w:footerReference w:type="first" r:id="rId5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5" w:history="1">
        <w:r>
          <w:rPr>
            <w:rFonts w:ascii="arial" w:eastAsia="arial" w:hAnsi="arial" w:cs="arial"/>
            <w:b/>
            <w:bCs/>
            <w:i/>
            <w:color w:val="0077CC"/>
            <w:kern w:val="32"/>
            <w:sz w:val="28"/>
            <w:szCs w:val="32"/>
            <w:u w:val="single"/>
            <w:shd w:val="clear" w:color="auto" w:fill="FFFFFF"/>
            <w:lang w:val="en-US" w:eastAsia="en-US" w:bidi="ar-SA"/>
          </w:rPr>
          <w:t>Davis v. Jeyaratnam, [2019] B.C.J. No. 1880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S.C. Fitzpatrick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29-30 and May 1-3, 6-10, 13-17,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4,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M134574, M158885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1880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1698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Garett Davis, Plaintiff, and Vasuki Jeyaratnam, Navaratnaraja Jeyaratnam Defendants And between Garett Davis, Plaintiff, and Fatemah Alili, Jane Doe, Insurance Corporation of British Columbia,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(199 paras.)</w:t>
      </w:r>
    </w:p>
    <w:p>
      <w:pPr>
        <w:jc w:val="both"/>
        <w:rPr>
          <w:rFonts w:ascii="arial" w:eastAsia="arial" w:hAnsi="arial" w:cs="arial"/>
          <w:sz w:val="20"/>
          <w:lang w:val="en-US" w:eastAsia="en-US" w:bidi="ar-SA"/>
        </w:rPr>
      </w:pPr>
      <w:bookmarkStart w:id="9" w:name="Counsel_1"/>
      <w:bookmarkEnd w:id="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3" style="position:absolute;z-index:251661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J.M. Cameron, K. Gourlay.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R.C. Brun, Q.C., N. Aram.</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 w:name="Judgment_1"/>
      <w:bookmarkEnd w:id="10"/>
      <w:r>
        <w:pict>
          <v:line id="_x0000_s1034" style="position:absolute;z-index:25171251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 w:name="S.C. FITZPATRICK J."/>
            <w:bookmarkEnd w:id="11"/>
            <w:r>
              <w:rPr>
                <w:rFonts w:ascii="arial" w:eastAsia="arial" w:hAnsi="arial" w:cs="arial"/>
                <w:b/>
                <w:color w:val="000000"/>
                <w:sz w:val="30"/>
                <w:lang w:val="en-US" w:eastAsia="en-US" w:bidi="ar-SA"/>
              </w:rPr>
              <w:t>S.C. FITZPATRICK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These actions concern two separate motor vehicle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first accident occurred on July 12, 2011. The plaintiff, Garett Davis, alleges that, while riding his bicycle, he was struck by a motor vehicle driven or owned by the defendants, Vasuki Jeyaratnam and Navaratnaraja Jeyaratnam (Action No. M134574).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second accident occurred on January 5, 2015. Mr. Davis was a passenger in a motor vehicle that was rear ended by another vehicle, allegedly driven by the defendant Fatemah Alili (Action No. M158885).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Liability is denied in both actions. Assuming liability is found on the part of some or all of the defendants, causation and damages are also in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These reasons address the liability issues that arise with respect to the first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Mr. Davis'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July 2011, Mr. Davis was 34 years 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July 12, 2011, Mr. Davis attended a medical appointment in Vancouver on his bicycle. The day was sunny and warm. After the appointment, Mr. Davis met his girlfriend, Leigh Wall, at a local sports store on Broadway Avenue in Vancouver to buy a tennis racket.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Davis left the store around 5:35 p.m. and then bicycled east along Broadway Avenue heading to Ms. Wall's apartment in East Vancouver. He says he was in a lane dedicated to bike and bus traffic and where cars are allowed to park at certain spots; he adamantly denies travelling on the Broadway Avenue sidewalk. He was not wearing a helmet. He does not specifically recall how fast he was going but it was not particularly fast.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He says he passed a bus in the block just before the intersection of Broadway Avenue and Guelph Street. After pulling over to the left to pass the bus, he says he returned to the curbside lane fairly close to the curb. He does not recall if the lane in which he was traveling was in shade or not, although he acknowledges it was later in the day when the sun was setting and that it was possible. A photograph in evidence shows significant shade from the buildings on that block onto the east sidewalk when the sun was setting.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As he approached the Guelph Street intersection, Mr. Davis observed a westbound vehicle that had started to turn left onto Guelph Street. He thought he would slow down, but then saw the vehicle stop. He kept riding his bicycle along the road. He then says that the vehicle "stepped on it", turned left toward Guelph Street and hit or "T-boned"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Davis says he was hit by the vehicle on his left side. He managed to raise his left leg so that the bicycle took most of the impact. He flew sideways over the handlebars at a 45-degree angle. He landed on the sidewalk on the opposite side of Guelph Street at the southeast corner of the intersection. He denies that he jumped off his bicycle before it hit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At some point, Mr. Davis opened his eyes. He saw people looking at him. He is unsure if he had been knocked unconscious but he thinks so. Eventually, he got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He recalls a woman being there who said to him "come back to my place". Also, a man thought to be a Yellow Cab taxi driver approached Mr. Davis and handed him a yellow piece of paper that recorded his name and number. Mr. Davis says the man told him something to the effect that he had seen everything and that Mr. Davis would need him. Mr. Davis was confused about this but took the card.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occupants of the vehicle involved in the collision also came over. Mr. Davis says that they were aggressive and told him they had to get him a new bicycle and that they would take him to a bicycle shop. He cannot recall who put the bicycle in the trunk.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Davis got into their car and they all went to a local bicycle shop that Mr. Davis suggested. The technician who inspected the bicycle determined that it could not be fixed. Instead, the occupants of the vehicle gave Mr. Davis $340. He cannot recall if that amount of money arose from his Craigslist search as to the value of the bicycle. They all returned to the vehicle and the driver dropped him off near Ms. Wall's apartment on Commercial Drive. The vehicle then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Davis has little recollection as to what was said by the occupants of the vehicle to him. He does not recall saying to them that he was able to avoid injury because he was a mixed martial arts ("MMA") expert.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Once Mr. Davis got back to the apartment, he called Ms. Wall and she came home. This is confirmed by Ms. Wall who says that, about an hour after he had left her, Mr. Davis called her. He told her that he had been hit by a car and that he was home after being dropped off by the person that hit him. Ms. Wall rushed home. She found Mr. Davis shocked and dazed. Either Ms. Wall or Mr. Davis called his sister, Fiona Davis Brown. She also rushed 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Davis Brown took them over to Vancouver General Hospital ("VGH") around 8:00 p.m. Mr. Davis was discharged around 2:00 a.m. the next day.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Defence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defence witnesses tell a very different story in terms of the circumstances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defendant, Navaratnaraja "Raj" Jeyaratnam, was 50 years old at the time of the accident. One of his occupations was as a driving instructor.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Raj Jeyaratnam said that he was driving westbound on Broadway Avenue with his brother, Yogaratnam "Joe" Jeyaratnam, and his nephew, Luxshan Shanmugarajah. He confirmed Mr. Davis' testimony that the day was nice and bright.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Raj Jeyaratnam testified that he stopped on Broadway Avenue and put his turn lights on in order to make a left turn at Guelph Street. He said there was a vehicle (truck) parked across the street at the southwest corner of the Broadway/Guelph intersection facing east in the curb lane with its light blinking. He confirms that he waited for eastbound vehicles and bicycles to pass and also checked left and right for any pedestrians crossing Guelph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Once it was all clear, as he proceeded into the left turn, he saw a bicyclist coming from the west along the Broadway Avenue sidewalk. He testified that his speed was approximately 5 km/h as he started the turn. He stopped when he saw the bicyclist and came to a stop just before the pedestrian walk area across Guelph Street. He hoped that the bicyclist would continue on and pass him; instead, the bicyclist jumped off his bicycle and pushed his bicycle into the vehicle. Raj Jeyaratnam testified that the bicyclist did not need to jump off his bike, but he did. The bicyclist landed on his feet although he was unsure exactly where.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Raj Jeyaratnam denies that his vehicle hit Mr. Davis while he was on his bicycle. He stated that there was no damage to his vehicle, including the front, arising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Shanmugarajah was an 18-year-old high school student living in New York City. He was a backseat passenger in his uncle's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Shanmugarajah testified that his uncle had stopped the vehicle to make a left hand turn with his turn light on. He said that there was nothing unusual about the left turn and that his uncle was proceeding into the turn at an average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Shanmugarajah said that he became aware of the bicycle when they were mid-way through the turn and moving across Broadway Avenue. He said the bicyclist was coming fast from the opposite direction on the sidewalk. He also said the bicyclist was startled by their turning vehicle, even though in Mr. Shanmugarajah's view, the bicyclist could have continued by passing in front of their vehicle without any difficulty since it had stopped. However, the bicyclist instead jumped off his bicycle and threw it in the direction of their vehicle. The bicyclist landed and then he stood on his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Like his uncle, Mr. Shanmugarajah denied that the bicyclist was hit by their vehicle or that he went down to the ground at any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Joe Jeyaratnam was 61-years-old at the time of the accident. Similarly, he testified that he saw the bicyclist riding his bicycle on the sidewalk. He also said that his brother was making a left turn from Broadway Avenue onto Guelph Street when he saw the bicyclist. He testified that the car was rolling, and not going fast, when it went into the turn. He said his brother brought the vehicle to a stop approximately two feet away from the sidewalk on the south side of Broadway Avenue when the incident happened. He testified that the bicyclist jumped off the bicycle, rolled a couple of times and stood up right away. The bicycle was pushed into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When considered in its entirety, and in light of a previously signed statement, Joe Jeyaratnam's evidence was somewhat ambiguous about where the bicycle was at the point of impact in terms of whether Mr. Davis was on the bicycle or whether he had jumped off it before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All three defence witnesses were adamant that Mr. Davis was riding his bicycle on the sidewalk. Raj Jeyaratnam and Mr. Shanmugarajah both testified that, contrary to Mr. Davis' evidence, their vehicle did not strike the bicycle while he was on it. They testified that, after their vehicle had stopped, the bicyclist jumped off the bicycle and pushed the bicycle towards the vehicle and that the bicycle, now rider-less, then hit the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All three witnesses testified that the bicyclist said something to them to the effect of "It is a good thing I am a mixed martial arts fighter and I could jump off the bicycle like that". As the defence notes, these witnesses would not have had any way of knowing about Mr. Davis' MMA background unless they heard it from him. To Joe Jeyaratnam, the maneuver in jumping off the bicycle was memorable, particularly given his description of the bicyclist's actions as "like a Superman".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Raj Jeyaratnam said that all three men in the vehicle immediately got out. He asked Mr. Davis if he was OK. Mr. Davis said he was OK and he seemed more concerned about the state of his bicycle.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Raj Jeyaratnam asked Mr. Davis why he was riding his bicycle on the sidewalk but he "didn't say much". His nephew confirmed this testimony in stating that his uncle Raj told the bicyclist that he should not have been riding on the sidewalk.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men asked Mr. Davis if he wanted to call an ambulance. He declined, saying that he was fine since he was an MMA fighter and able to jump and land on his feet. Raj Jeyaratnam did not see a reason to press the point since the bicyclist did not look injured and did not say he was injured. Mr. Shanmugarajah and Joe Jeyaratnam did not observe any injuries on the part of the bicyclist.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Raj Jeyaratnam confirms that Mr. Davis asked for money to fix his bicycle. He agreed to provide some money to Mr. Davis because he considered it to be "good manners" and because Mr. Davis was not upset with him. Raj Jeyaratnam described Mr. Davis as a "gentleman".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However, when Mr. Davis then asked for his driver's license (which he provided), Raj Jeyaratnam became concerned about him taking the money for the bicycle and also going to ICBC. This caused Raj Jeyaratnam to record a short video of Mr. Davis walking his bicycle to the vehicle. This 49 second video shows Mr. Davis walking his bicycle, without any apparent difficulty, to the Jeyaratnam vehicle and placing it in the trunk. Again, Mr. Davis could not recall who put his bicycle in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evidence from all defence witnesses confirms Mr. Davis' testimony about the trip to the bicycle shop. Raj Jeyaratnam had in mind that he would give him about $100 since Mr. Davis said he was poor, thinking it would be "good karma". He confirms that a higher number arose when Mr. Davis borrowed his phone to research bicycle prices on Craigslist. After discussions with his brother Joe, Raj Jeyaratnam ultimately agreed to pay him between $250-300 to "make him happy".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Raj Jeyaratnam confirms that he dropped the bicyclist off near 12th Avenue and Commercial Drive.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Raj Jeyaratnam reported the matter to ICBC that day or the next, although at that time he did not know the name of the bicyclist.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Voir Dire</w:t>
      </w:r>
      <w:r>
        <w:rPr>
          <w:rFonts w:ascii="arial" w:eastAsia="arial" w:hAnsi="arial" w:cs="arial"/>
          <w:b/>
          <w:color w:val="000000"/>
          <w:sz w:val="20"/>
          <w:lang w:val="en-US" w:eastAsia="en-US" w:bidi="ar-SA"/>
        </w:rPr>
        <w:t xml:space="preserve"> re Taxi Driver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Davis seeks to corroborate his evidence as to the circumstances of the accident by introducing an out-of-court statement. This statement is that of the taxi driver who Mr. Davis says came up to him immediately after the accident and gave him the note with his name and phone number.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During the trial, I convened a </w:t>
      </w:r>
      <w:r>
        <w:rPr>
          <w:rFonts w:ascii="arial" w:eastAsia="arial" w:hAnsi="arial" w:cs="arial"/>
          <w:i/>
          <w:color w:val="000000"/>
          <w:sz w:val="20"/>
          <w:lang w:val="en-US" w:eastAsia="en-US" w:bidi="ar-SA"/>
        </w:rPr>
        <w:t>voir dire</w:t>
      </w:r>
      <w:r>
        <w:rPr>
          <w:rFonts w:ascii="arial" w:eastAsia="arial" w:hAnsi="arial" w:cs="arial"/>
          <w:color w:val="000000"/>
          <w:sz w:val="20"/>
          <w:lang w:val="en-US" w:eastAsia="en-US" w:bidi="ar-SA"/>
        </w:rPr>
        <w:t xml:space="preserve"> to consider the issue. I reserved my decision. Only one plaintiff witness, Ian Carter, testified at the </w:t>
      </w:r>
      <w:r>
        <w:rPr>
          <w:rFonts w:ascii="arial" w:eastAsia="arial" w:hAnsi="arial" w:cs="arial"/>
          <w:i/>
          <w:color w:val="000000"/>
          <w:sz w:val="20"/>
          <w:lang w:val="en-US" w:eastAsia="en-US" w:bidi="ar-SA"/>
        </w:rPr>
        <w:t>voir dire</w:t>
      </w:r>
      <w:r>
        <w:rPr>
          <w:rFonts w:ascii="arial" w:eastAsia="arial" w:hAnsi="arial" w:cs="arial"/>
          <w:color w:val="000000"/>
          <w:sz w:val="20"/>
          <w:lang w:val="en-US" w:eastAsia="en-US" w:bidi="ar-SA"/>
        </w:rPr>
        <w:t xml:space="preserve">. An affidavit was also in evidence. The parties agreed that, for the purposes of the </w:t>
      </w:r>
      <w:r>
        <w:rPr>
          <w:rFonts w:ascii="arial" w:eastAsia="arial" w:hAnsi="arial" w:cs="arial"/>
          <w:i/>
          <w:color w:val="000000"/>
          <w:sz w:val="20"/>
          <w:lang w:val="en-US" w:eastAsia="en-US" w:bidi="ar-SA"/>
        </w:rPr>
        <w:t>voir dire</w:t>
      </w:r>
      <w:r>
        <w:rPr>
          <w:rFonts w:ascii="arial" w:eastAsia="arial" w:hAnsi="arial" w:cs="arial"/>
          <w:color w:val="000000"/>
          <w:sz w:val="20"/>
          <w:lang w:val="en-US" w:eastAsia="en-US" w:bidi="ar-SA"/>
        </w:rPr>
        <w:t>, the defence position was that Mr. Davis was travelling eastbound on the sidewalk and in the vicinity of the crossing at the Guelph Street and Broadway Avenue intersection. The defence position was also that Mr. Davis was no longer on his bicycle when it made contact with the Jeyaratnam vehicle.</w:t>
      </w:r>
      <w:r>
        <w:rPr>
          <w:rFonts w:ascii="arial" w:eastAsia="arial" w:hAnsi="arial" w:cs="arial"/>
          <w:sz w:val="20"/>
          <w:lang w:val="en-US" w:eastAsia="en-US" w:bidi="ar-SA"/>
        </w:rPr>
        <w:cr/>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Davis' evidence is that, immediately after the accident, a Yellow Cab taxi driver came up to him and said he had witnessed the accident. The driver gave Mr. Davis a Yellow Cab note that indicated a name, Abdi Isse, and a phone number. The taxi driver told Mr. Davis something like "take this, you need this, I saw everything."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Davis kept a copy of the note. For reasons that are unclear, the note was not produced by Mr. Davis to his counsel even after this action was commenced in July 2013. Mr. Davis did not produce the note to his own counsel (and then defendants' counsel) until May 4, 2019, after this trial had begun. There is no explanation as to where this note was over the previous eight years and why it was not produced by Mr. Davis in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On August 9, 2011, Mr. Davis' counsel retained Encore Claims Services Inc. ("Encore") to investigate the accident and interview Mr. Isse. The task was assigned to an Encore employee, Mr. Carter, a retired Vancouver Police Department police officer. In briefing Encore, Mr. Davis' counsel advised Mr. Carter that the vehicle had hit their client (or "T-boned" him) while he was riding his bicycle. Mr. Carter was asked to obtain a statement from the taxi driver as to what he had observed.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Mr. Carter testified at the </w:t>
      </w:r>
      <w:r>
        <w:rPr>
          <w:rFonts w:ascii="arial" w:eastAsia="arial" w:hAnsi="arial" w:cs="arial"/>
          <w:i/>
          <w:color w:val="000000"/>
          <w:sz w:val="20"/>
          <w:lang w:val="en-US" w:eastAsia="en-US" w:bidi="ar-SA"/>
        </w:rPr>
        <w:t>voir dire</w:t>
      </w:r>
      <w:r>
        <w:rPr>
          <w:rFonts w:ascii="arial" w:eastAsia="arial" w:hAnsi="arial" w:cs="arial"/>
          <w:color w:val="000000"/>
          <w:sz w:val="20"/>
          <w:lang w:val="en-US" w:eastAsia="en-US" w:bidi="ar-SA"/>
        </w:rPr>
        <w:t>. He said that he made contact with Mr. Isse and interviewed him at the Yellow Cab parking lot on Clark Drive on August 16, 2011, just over a month after the accident. He believed with almost certainty that he recorded the interview, although he cannot locate the tape recording. Mr. Carter did, however, produce a one page "rough" handwritten note that he said he created during the interview with Mr. Isse.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After interviewing Mr. Isse, Mr. Carter then typed up a statement in Mr. Isse's name based on his notes and the audio recording. He could not say for certain whether the document was created that day or a day or two after the interview.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On August 18, 2011, Mr. Carter provided a copy of Mr. Isse's draft statement to Mr. Davis' counsel. On September 20, 2011, counsel asked Mr. Carter to obtain a signed copy of Mr. Isse's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Carter then mailed the unsigned statement to Mr. Isse on an unspecified date. Eventually, on November 9, 2011, Mr. Carter received the statement back. The typewritten statement included some handwritten changes. The document appears to be signed by Mr. Isse and is dated October 14, 2011. The document also shows the name and signature of a witness to Mr. Isse's signature.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Carter's file indicates that he sent the signed statement to Mr. Davis' counsel on an unspecified date. Counsel now advises that the statement was either never received or it was lost by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early February 2019, Mr. Davis was examined for discovery and he agreed to provide the contact information for the taxi driver. This request had, in fact, been made of Mr. Davis' counsel some seven years earlier in February 2012 and was ignored.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February 2019, as the trial dates approached, Mr. Davis' counsel's paralegal made efforts to contact Mr. Isse at the phone number he provided in the note. On February 24, 2019, she discovered that the phone number was no longer assigned. On that same date, she phoned Michael Courage of Encore to ask for help in locating Mr. Isse and to see if Encore had a copy of the signed statement and audio tape recording from the interview by Mr. Carter.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On February 26, 2019, Mr. Courage advised the paralegal that he had contacted Yellow Cab's dispatch and that he had been advised that Mr. Isse no longer worked there. Apparently, Yellow Cab had no contact information for Mr. Isse.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On February 26, 2019, for the first time, defendants' counsel was advised of the taxi driver's name, his address and the out of service phone number.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paralegal then sought the assistance of Encore in contacting Mr. Carter to see if he had any information. By this time, Mr. Carter was on a long holiday and was unavailable to assist.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Courage advised the paralegal that he was able to locate the full name and spelling of Mr. Isse ("Abdirahman Isse") and his last known address. The paralegal requested that someone from Encore attend at that address to see if he still lived there and/or if the current residents had a forwarding address or contact information for Mr. Isse.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Chris Campbell of Encore attended Mr. Isse's former address on two occasions. No one was home the first time. On March 3, 2019, the second time, Mr. Campbell spoke to a male person who advised that Mr. Isse was a former tenant who had moved out four to five years ago and returned to Somalia. This male person provided contact information for Mr. Isse's cousin, Ahmed (last name unknown), who was a teacher that lived locally.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On March 3, 2019, Mr. Campbell spoke to Ahmed who advised that Mr. Isse had moved to Somalia about four years ago. Ahmed said that he had lost contact with Mr. Isse about three years ago when Mr. Isse moved to another part of Africa. Ahmed advised that he would try and reach out to a friend of Mr. Isse who lived in Vancouver and see if he had Mr. Isse's current contact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On March 4, 2019, Ahmed advised Mr. Campbell that he had been unable to find a way to locate Mr. Isse. However, further enquiries of Ahmed later in March bore more fruit. On March 25, 2019 Ahmed sent the paralegal a text message providing Mr. Isse's full name ("Abdi Rahman Isse") and a phone number in Somalia.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paralegal called the phone number indicated for Mr. Isse and followed up with text messages to both him and Ahmed. In particular, the paralegal asked for Mr. Isse's assistance in the litigation and offered to fly him to Vancouver for the trial. Ahmed told the paralegal that Mr. Isse received these messages, however, Mr. Isse never responded to the law firm in any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On April 5, 2019, just weeks before the trial, the paralegal contacted Mr. Carter to follow up on the signed statement, the tape recording and any notes he may have. On April 18, 2019, Mr. Davis' counsel prepared and provided to defendants' counsel a list of documents that included Mr. Isse's unsigned draft statement (which had been in their possession since Mr. Carter sent it to them in August 2011). This is the first time the defence was made aware of any such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On April 24, 2019 Mr. Carter advised that he had located his file which contained photographs, a letter and the unsigned statement. He also advised that he could not locate the audio recording anywhere.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This trial began on April 29, 2019.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As stated above, Mr. Isse's note was not provided to defendants' counsel until May 4, 2019, months, if not years, after it was requested.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On May 9, 2019, Mr. Carter advised Mr. Davis' counsel that he had attended his storage unit to locate his file and that he had been able to find a note on his time sheet indicating that the statement had been signed and that the original had been forwarded to their offices. After being advised that the signed statement was never received, Mr. Carter sent counsel a copy of the signed statement. That same date, on May 9, 2019, a copy of the signed statement was provided to defendants' counsel. No original of the statement can be found.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Mr. Carter testified at the </w:t>
      </w:r>
      <w:r>
        <w:rPr>
          <w:rFonts w:ascii="arial" w:eastAsia="arial" w:hAnsi="arial" w:cs="arial"/>
          <w:i/>
          <w:color w:val="000000"/>
          <w:sz w:val="20"/>
          <w:lang w:val="en-US" w:eastAsia="en-US" w:bidi="ar-SA"/>
        </w:rPr>
        <w:t>voir dire</w:t>
      </w:r>
      <w:r>
        <w:rPr>
          <w:rFonts w:ascii="arial" w:eastAsia="arial" w:hAnsi="arial" w:cs="arial"/>
          <w:color w:val="000000"/>
          <w:sz w:val="20"/>
          <w:lang w:val="en-US" w:eastAsia="en-US" w:bidi="ar-SA"/>
        </w:rPr>
        <w:t xml:space="preserve"> the next day, May 10, 2019. He gave evidence regarding his background as a police officer, his experience in taking statements and how he took the statement from Mr. Isse.</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The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statement signed by Mr. Isse includes his observations of the incident. He states that he was driving his taxi that day, although he did not have a fare. At the time, he was driving westbound in the centre lane on Broadway Avenue. At the intersection of Guelph Street, he was behind a vehicle making a left turn from Broadway Avenue onto Guelph Street, a clear reference to the Jeyaratnam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controversial portions of Mr. Isse's typed statement are reproduced below. The additional handwritten changes, accompanied by an initial "AI" or "A", are bolded in the text below. The portions of the statement upon which Mr. Davis particularly relies are underlined: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was positioned behind the left turning vehicle waiting for it to make the turn. There was traffic in the opposing lanes eastbound on Broadway. I did not see the cyclist approaching from the opposite direction, eastbound, because the left turning vehicle in front of me blocked my view. </w:t>
      </w:r>
      <w:r>
        <w:rPr>
          <w:rFonts w:ascii="arial" w:eastAsia="arial" w:hAnsi="arial" w:cs="arial"/>
          <w:color w:val="000000"/>
          <w:sz w:val="20"/>
          <w:u w:val="single"/>
          <w:lang w:val="en-US" w:eastAsia="en-US" w:bidi="ar-SA"/>
        </w:rPr>
        <w:t>I did not see the cyclist until the left turning vehicle moved across the eastbound lanes and struck him</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cyclist was struck in the middle of Guelph Street</w:t>
      </w:r>
      <w:r>
        <w:rPr>
          <w:rFonts w:ascii="arial" w:eastAsia="arial" w:hAnsi="arial" w:cs="arial"/>
          <w:color w:val="000000"/>
          <w:sz w:val="20"/>
          <w:lang w:val="en-US" w:eastAsia="en-US" w:bidi="ar-SA"/>
        </w:rPr>
        <w:t xml:space="preserve">. I am not sure which lane </w:t>
      </w:r>
      <w:r>
        <w:rPr>
          <w:rFonts w:ascii="arial" w:eastAsia="arial" w:hAnsi="arial" w:cs="arial"/>
          <w:color w:val="000000"/>
          <w:sz w:val="20"/>
          <w:u w:val="single"/>
          <w:lang w:val="en-US" w:eastAsia="en-US" w:bidi="ar-SA"/>
        </w:rPr>
        <w:t>the cyclist was in, the curb lane, or the middle lane</w:t>
      </w:r>
      <w:r>
        <w:rPr>
          <w:rFonts w:ascii="arial" w:eastAsia="arial" w:hAnsi="arial" w:cs="arial"/>
          <w:color w:val="000000"/>
          <w:sz w:val="20"/>
          <w:lang w:val="en-US" w:eastAsia="en-US" w:bidi="ar-SA"/>
        </w:rPr>
        <w:t xml:space="preserve">. The </w:t>
      </w:r>
      <w:r>
        <w:rPr>
          <w:rFonts w:ascii="arial" w:eastAsia="arial" w:hAnsi="arial" w:cs="arial"/>
          <w:color w:val="000000"/>
          <w:sz w:val="20"/>
          <w:u w:val="single"/>
          <w:lang w:val="en-US" w:eastAsia="en-US" w:bidi="ar-SA"/>
        </w:rPr>
        <w:t>cyclist hit the ground hard</w:t>
      </w:r>
      <w:r>
        <w:rPr>
          <w:rFonts w:ascii="arial" w:eastAsia="arial" w:hAnsi="arial" w:cs="arial"/>
          <w:color w:val="000000"/>
          <w:sz w:val="20"/>
          <w:lang w:val="en-US" w:eastAsia="en-US" w:bidi="ar-SA"/>
        </w:rPr>
        <w:t>. The driver of the left turning vehicle stopped and immediately got out of his car and went to the cyclist.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left turning vehicle was grey in colour I believe. The driver was a middle aged man possibly in his </w:t>
      </w:r>
      <w:r>
        <w:rPr>
          <w:rFonts w:ascii="arial" w:eastAsia="arial" w:hAnsi="arial" w:cs="arial"/>
          <w:b/>
          <w:color w:val="000000"/>
          <w:sz w:val="20"/>
          <w:lang w:val="en-US" w:eastAsia="en-US" w:bidi="ar-SA"/>
        </w:rPr>
        <w:t>thirty to</w:t>
      </w:r>
      <w:r>
        <w:rPr>
          <w:rFonts w:ascii="arial" w:eastAsia="arial" w:hAnsi="arial" w:cs="arial"/>
          <w:color w:val="000000"/>
          <w:sz w:val="20"/>
          <w:lang w:val="en-US" w:eastAsia="en-US" w:bidi="ar-SA"/>
        </w:rPr>
        <w:t xml:space="preserve"> fifties. I remember there were four other men in the vehicle. </w:t>
      </w:r>
      <w:r>
        <w:rPr>
          <w:rFonts w:ascii="arial" w:eastAsia="arial" w:hAnsi="arial" w:cs="arial"/>
          <w:b/>
          <w:color w:val="000000"/>
          <w:sz w:val="20"/>
          <w:lang w:val="en-US" w:eastAsia="en-US" w:bidi="ar-SA"/>
        </w:rPr>
        <w:t>(3-4 people)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addition to other non-contentious portions of the statement, Mr. Isse's statement addresses what happened after the accident. He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did not stop to speak with anyone. I stayed for a few seconds and gave my contact information </w:t>
      </w:r>
      <w:r>
        <w:rPr>
          <w:rFonts w:ascii="arial" w:eastAsia="arial" w:hAnsi="arial" w:cs="arial"/>
          <w:b/>
          <w:color w:val="000000"/>
          <w:sz w:val="20"/>
          <w:lang w:val="en-US" w:eastAsia="en-US" w:bidi="ar-SA"/>
        </w:rPr>
        <w:t>to the cyclist</w:t>
      </w:r>
      <w:r>
        <w:rPr>
          <w:rFonts w:ascii="arial" w:eastAsia="arial" w:hAnsi="arial" w:cs="arial"/>
          <w:color w:val="000000"/>
          <w:sz w:val="20"/>
          <w:lang w:val="en-US" w:eastAsia="en-US" w:bidi="ar-SA"/>
        </w:rPr>
        <w:t>. I was not able to observe the condition of the cyclist and I do not know what damage there was to the bicycle. I do not know if the police or ambulance attended because I did not stay very long.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parties are agreed that this portion of the statement should be admitted.</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Mr. Isse's statement is tendered for the truth of its contents. Accordingly, it is hearsay and presumptively inadmissible: </w:t>
      </w:r>
      <w:r>
        <w:rPr>
          <w:rFonts w:ascii="arial" w:eastAsia="arial" w:hAnsi="arial" w:cs="arial"/>
          <w:i/>
          <w:color w:val="000000"/>
          <w:sz w:val="20"/>
          <w:lang w:val="en-US" w:eastAsia="en-US" w:bidi="ar-SA"/>
        </w:rPr>
        <w:t>R. v. Khelawon</w:t>
      </w:r>
      <w:r>
        <w:rPr>
          <w:rFonts w:ascii="arial" w:eastAsia="arial" w:hAnsi="arial" w:cs="arial"/>
          <w:color w:val="000000"/>
          <w:sz w:val="20"/>
          <w:lang w:val="en-US" w:eastAsia="en-US" w:bidi="ar-SA"/>
        </w:rPr>
        <w:t xml:space="preserve">, </w:t>
      </w:r>
      <w:hyperlink r:id="rId56" w:history="1">
        <w:r>
          <w:rPr>
            <w:rFonts w:ascii="arial" w:eastAsia="arial" w:hAnsi="arial" w:cs="arial"/>
            <w:i/>
            <w:color w:val="0077CC"/>
            <w:sz w:val="20"/>
            <w:u w:val="single"/>
            <w:shd w:val="clear" w:color="auto" w:fill="FFFFFF"/>
            <w:lang w:val="en-US" w:eastAsia="en-US" w:bidi="ar-SA"/>
          </w:rPr>
          <w:t>2006 SCC 57</w:t>
        </w:r>
      </w:hyperlink>
      <w:r>
        <w:rPr>
          <w:rFonts w:ascii="arial" w:eastAsia="arial" w:hAnsi="arial" w:cs="arial"/>
          <w:color w:val="000000"/>
          <w:sz w:val="20"/>
          <w:lang w:val="en-US" w:eastAsia="en-US" w:bidi="ar-SA"/>
        </w:rPr>
        <w:t xml:space="preserve"> at paras. 35-36.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Leaving aside the traditional exceptions to the hearsay rule, the principled approach to hearsay now dictates that such evidence may be admitted if there are indicia of necessity and reliability: </w:t>
      </w:r>
      <w:r>
        <w:rPr>
          <w:rFonts w:ascii="arial" w:eastAsia="arial" w:hAnsi="arial" w:cs="arial"/>
          <w:i/>
          <w:color w:val="000000"/>
          <w:sz w:val="20"/>
          <w:lang w:val="en-US" w:eastAsia="en-US" w:bidi="ar-SA"/>
        </w:rPr>
        <w:t>Khelawon</w:t>
      </w:r>
      <w:r>
        <w:rPr>
          <w:rFonts w:ascii="arial" w:eastAsia="arial" w:hAnsi="arial" w:cs="arial"/>
          <w:color w:val="000000"/>
          <w:sz w:val="20"/>
          <w:lang w:val="en-US" w:eastAsia="en-US" w:bidi="ar-SA"/>
        </w:rPr>
        <w:t xml:space="preserve"> at paras. 42 and 47. The onus to establish both rests on who seeks that finding, namely Mr. Davis in this case: </w:t>
      </w:r>
      <w:r>
        <w:rPr>
          <w:rFonts w:ascii="arial" w:eastAsia="arial" w:hAnsi="arial" w:cs="arial"/>
          <w:i/>
          <w:color w:val="000000"/>
          <w:sz w:val="20"/>
          <w:lang w:val="en-US" w:eastAsia="en-US" w:bidi="ar-SA"/>
        </w:rPr>
        <w:t>Khelawon</w:t>
      </w:r>
      <w:r>
        <w:rPr>
          <w:rFonts w:ascii="arial" w:eastAsia="arial" w:hAnsi="arial" w:cs="arial"/>
          <w:color w:val="000000"/>
          <w:sz w:val="20"/>
          <w:lang w:val="en-US" w:eastAsia="en-US" w:bidi="ar-SA"/>
        </w:rPr>
        <w:t xml:space="preserve"> at para. 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defendants do not take issue with the necessity aspect being made out. It seems apparent enough that Mr. Isse is either not available to attend the trial or has no intention of returning to Canada for that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Clearly, Mr. Isse cannot be cross-examined on his statement for the purpose of determining whether his statements are true as relevant to the issue of whether the defendants are liable for the accident. The contest here centres on the reliability issue and whether that is met with respect to the controversial aspects of Mr. Isse's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To determine whether a hearsay statement is admissible, the trial judge assesses the statement's threshold reliability. Threshold reliability is established when the hearsay "is sufficiently reliable to overcome the dangers arising from the difficulty of testing it": </w:t>
      </w:r>
      <w:r>
        <w:rPr>
          <w:rFonts w:ascii="arial" w:eastAsia="arial" w:hAnsi="arial" w:cs="arial"/>
          <w:i/>
          <w:color w:val="000000"/>
          <w:sz w:val="20"/>
          <w:lang w:val="en-US" w:eastAsia="en-US" w:bidi="ar-SA"/>
        </w:rPr>
        <w:t>Khelawon</w:t>
      </w:r>
      <w:r>
        <w:rPr>
          <w:rFonts w:ascii="arial" w:eastAsia="arial" w:hAnsi="arial" w:cs="arial"/>
          <w:color w:val="000000"/>
          <w:sz w:val="20"/>
          <w:lang w:val="en-US" w:eastAsia="en-US" w:bidi="ar-SA"/>
        </w:rPr>
        <w:t xml:space="preserve"> at para. 49. In </w:t>
      </w:r>
      <w:r>
        <w:rPr>
          <w:rFonts w:ascii="arial" w:eastAsia="arial" w:hAnsi="arial" w:cs="arial"/>
          <w:i/>
          <w:color w:val="000000"/>
          <w:sz w:val="20"/>
          <w:lang w:val="en-US" w:eastAsia="en-US" w:bidi="ar-SA"/>
        </w:rPr>
        <w:t>R. v. Baldree</w:t>
      </w:r>
      <w:r>
        <w:rPr>
          <w:rFonts w:ascii="arial" w:eastAsia="arial" w:hAnsi="arial" w:cs="arial"/>
          <w:color w:val="000000"/>
          <w:sz w:val="20"/>
          <w:lang w:val="en-US" w:eastAsia="en-US" w:bidi="ar-SA"/>
        </w:rPr>
        <w:t xml:space="preserve">, </w:t>
      </w:r>
      <w:hyperlink r:id="rId57" w:history="1">
        <w:r>
          <w:rPr>
            <w:rFonts w:ascii="arial" w:eastAsia="arial" w:hAnsi="arial" w:cs="arial"/>
            <w:i/>
            <w:color w:val="0077CC"/>
            <w:sz w:val="20"/>
            <w:u w:val="single"/>
            <w:shd w:val="clear" w:color="auto" w:fill="FFFFFF"/>
            <w:lang w:val="en-US" w:eastAsia="en-US" w:bidi="ar-SA"/>
          </w:rPr>
          <w:t>2013 SCC 35</w:t>
        </w:r>
      </w:hyperlink>
      <w:r>
        <w:rPr>
          <w:rFonts w:ascii="arial" w:eastAsia="arial" w:hAnsi="arial" w:cs="arial"/>
          <w:color w:val="000000"/>
          <w:sz w:val="20"/>
          <w:lang w:val="en-US" w:eastAsia="en-US" w:bidi="ar-SA"/>
        </w:rPr>
        <w:t xml:space="preserve"> at para. 83, Justice Moldaver stated that, for that purpose, the trial judge 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concerned only with whether [the statement] exhibits sufficient indicia of reliability so as to afford the trier of fact "a satisfactory basis for evaluating the truth of the statement"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In assessing threshold reliability, the trial judge must identify the specific hearsay dangers presented by the statement and consider any means of overcoming them: </w:t>
      </w:r>
      <w:r>
        <w:rPr>
          <w:rFonts w:ascii="arial" w:eastAsia="arial" w:hAnsi="arial" w:cs="arial"/>
          <w:i/>
          <w:color w:val="000000"/>
          <w:sz w:val="20"/>
          <w:lang w:val="en-US" w:eastAsia="en-US" w:bidi="ar-SA"/>
        </w:rPr>
        <w:t>Khelawon</w:t>
      </w:r>
      <w:r>
        <w:rPr>
          <w:rFonts w:ascii="arial" w:eastAsia="arial" w:hAnsi="arial" w:cs="arial"/>
          <w:color w:val="000000"/>
          <w:sz w:val="20"/>
          <w:lang w:val="en-US" w:eastAsia="en-US" w:bidi="ar-SA"/>
        </w:rPr>
        <w:t>, at paras. 4 and 49. As Mr. Davis himself acknowledges, the dangers in this case relate to the difficulty in assessing Mr. Isse's untested statements as to what happened. There is great difficulty in testing his perception, memory, description of the accident and the truthfulness of his statements in the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 v. Bradshaw</w:t>
      </w:r>
      <w:r>
        <w:rPr>
          <w:rFonts w:ascii="arial" w:eastAsia="arial" w:hAnsi="arial" w:cs="arial"/>
          <w:color w:val="000000"/>
          <w:sz w:val="20"/>
          <w:lang w:val="en-US" w:eastAsia="en-US" w:bidi="ar-SA"/>
        </w:rPr>
        <w:t xml:space="preserve">, </w:t>
      </w:r>
      <w:hyperlink r:id="rId58" w:history="1">
        <w:r>
          <w:rPr>
            <w:rFonts w:ascii="arial" w:eastAsia="arial" w:hAnsi="arial" w:cs="arial"/>
            <w:i/>
            <w:color w:val="0077CC"/>
            <w:sz w:val="20"/>
            <w:u w:val="single"/>
            <w:shd w:val="clear" w:color="auto" w:fill="FFFFFF"/>
            <w:lang w:val="en-US" w:eastAsia="en-US" w:bidi="ar-SA"/>
          </w:rPr>
          <w:t>2017 SCC 35</w:t>
        </w:r>
      </w:hyperlink>
      <w:r>
        <w:rPr>
          <w:rFonts w:ascii="arial" w:eastAsia="arial" w:hAnsi="arial" w:cs="arial"/>
          <w:color w:val="000000"/>
          <w:sz w:val="20"/>
          <w:lang w:val="en-US" w:eastAsia="en-US" w:bidi="ar-SA"/>
        </w:rPr>
        <w:t>, the Court outlines that hearsay dangers can be overcome and threshold reliability can be established by showing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 ... (1) there are adequate substitutes for testing truth and accuracy (procedural reliability) or (2) that there are sufficient circumstantial or evidentiary guarantees that the statement is inherently trustworthy (substantive reliability)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Here, the Court is concerned about substantive reliability.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In determining that a statement is inherently trustworthy, the trial judge can consider the circumstances in which the statement was made and any evidence that corroborates or conflicts with the statement: </w:t>
      </w:r>
      <w:r>
        <w:rPr>
          <w:rFonts w:ascii="arial" w:eastAsia="arial" w:hAnsi="arial" w:cs="arial"/>
          <w:i/>
          <w:color w:val="000000"/>
          <w:sz w:val="20"/>
          <w:lang w:val="en-US" w:eastAsia="en-US" w:bidi="ar-SA"/>
        </w:rPr>
        <w:t>Bradshaw</w:t>
      </w:r>
      <w:r>
        <w:rPr>
          <w:rFonts w:ascii="arial" w:eastAsia="arial" w:hAnsi="arial" w:cs="arial"/>
          <w:color w:val="000000"/>
          <w:sz w:val="20"/>
          <w:lang w:val="en-US" w:eastAsia="en-US" w:bidi="ar-SA"/>
        </w:rPr>
        <w:t xml:space="preserve"> at para. 31. Justice Karakatsanis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While the standard for substantive reliability is high, guarantee "as the word is used in the phrase 'circumstantial guarantee of trustworthiness' does not require that reliability be established with absolute certainty." ... Rather, the trial judge must be satisfied that the statement is "so reliable that contemporaneous cross-examination of the declarant would add little if anything to the process" ... The level of certainty required has been articulated in different ways throughout this Court's jurisprudence. Substantive reliability is established when the statement "is made under circumstances which substantially negate the possibility that the declarant was untruthful or mistaken" ...; "under such circumstances that even a sceptical caution would look upon it as trustworthy" ...; when the statement is so reliable that it is "unlikely to change under cross-examination"...; when "there is no real concern about whether the statement is true or not because of the circumstances in which it came about" ...; when the only likely explanation is that the statement is true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Finally, in </w:t>
      </w:r>
      <w:r>
        <w:rPr>
          <w:rFonts w:ascii="arial" w:eastAsia="arial" w:hAnsi="arial" w:cs="arial"/>
          <w:i/>
          <w:color w:val="000000"/>
          <w:sz w:val="20"/>
          <w:lang w:val="en-US" w:eastAsia="en-US" w:bidi="ar-SA"/>
        </w:rPr>
        <w:t>Bradshaw</w:t>
      </w:r>
      <w:r>
        <w:rPr>
          <w:rFonts w:ascii="arial" w:eastAsia="arial" w:hAnsi="arial" w:cs="arial"/>
          <w:color w:val="000000"/>
          <w:sz w:val="20"/>
          <w:lang w:val="en-US" w:eastAsia="en-US" w:bidi="ar-SA"/>
        </w:rPr>
        <w:t xml:space="preserve"> at para. 57, the Court succinctly summarizes the framework to assess threshold substantive reliability with regard to corroborative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[57] In sum, to determine whether corroborative evidence is of assistance in the substantive reliability inquiry, a trial judge should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identify the material aspects of the hearsay statement that are tendered for their truth;</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identify the specific hearsay dangers raised by those aspects of the statement in the particular circumstances of the case;</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the circumstances and these dangers, consider alternative, even speculative, explanations for the statement; and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determine whether, given the circumstances of the case, the corroborative evidence led at the </w:t>
      </w:r>
      <w:r>
        <w:rPr>
          <w:rFonts w:ascii="arial" w:eastAsia="arial" w:hAnsi="arial" w:cs="arial"/>
          <w:i/>
          <w:color w:val="000000"/>
          <w:sz w:val="20"/>
          <w:lang w:val="en-US" w:eastAsia="en-US" w:bidi="ar-SA"/>
        </w:rPr>
        <w:t>voir dire</w:t>
      </w:r>
      <w:r>
        <w:rPr>
          <w:rFonts w:ascii="arial" w:eastAsia="arial" w:hAnsi="arial" w:cs="arial"/>
          <w:color w:val="000000"/>
          <w:sz w:val="20"/>
          <w:lang w:val="en-US" w:eastAsia="en-US" w:bidi="ar-SA"/>
        </w:rPr>
        <w:t xml:space="preserve"> rules out these alternative explanations such that the only remaining likely explanation for the statement is the declarant's truthfulness about, or the accuracy of, the material aspects of the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Mr. Davis' counsel also refers to an article, </w:t>
      </w:r>
      <w:r>
        <w:rPr>
          <w:rFonts w:ascii="arial" w:eastAsia="arial" w:hAnsi="arial" w:cs="arial"/>
          <w:i/>
          <w:color w:val="000000"/>
          <w:sz w:val="20"/>
          <w:lang w:val="en-US" w:eastAsia="en-US" w:bidi="ar-SA"/>
        </w:rPr>
        <w:t>The Principled Use of Hearsay in Civil Cases: A Technical Guide to Avoiding Technicality</w:t>
      </w:r>
      <w:r>
        <w:rPr>
          <w:rFonts w:ascii="arial" w:eastAsia="arial" w:hAnsi="arial" w:cs="arial"/>
          <w:color w:val="000000"/>
          <w:sz w:val="20"/>
          <w:lang w:val="en-US" w:eastAsia="en-US" w:bidi="ar-SA"/>
        </w:rPr>
        <w:t>, (2008, No. 2, Vol. 87, page 277, Canadian Bar Review) by David Paciocco (now Justice Paciocco of the Ontario Court of Appeal). There, the author discusses how the contextual approach with respect to the reliability requirement has been considered in civil cases. As Mr. Paciocco points out at p. 287, there is no "generic discount" in civil cases as opposed to criminal ones; rather, the issue is to be considered on a case-by-case basis depending on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Mr. Paciocco stated at p. 288: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far better approach, one that is supported by the authorities and more in keeping with the principles underlying the rule, is to take a more nuanced view of context. In this view, the intensity in the application of the hearsay rule depends not on the general type of litigation - civil or criminal - but on the specific circumstances of the case, including its seriousness, the centrality of the issue the evidence informs, the consequences that the evidence could have for the parties, and the instant policy interest being pursued by the law, bearing in mind at all times that "the admissibility inquiry [must be] focused on the dangers of admitting the hearsay evidence", namely, that it can distort the truth.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Considerable criticism can be laid at the feet of Mr. Davis and/or his counsel as to the handling of Mr. Isse's note and the failure to provide it (with Mr. Isse's contact details) to ICBC in 2012 when his contact details were first requested. Those circumstances have led to a situation where the defence was potentially deprived of the opportunity to contact Mr. Isse and investigate and test Mr. Isse's evidence themselves.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There is also a basis upon which to criticize Mr. Davis' counsel and the actions of their investigator, Mr. Carter/Encore, who failed to secure the original statement and also, the alleged tape recording which would have been highly relevant on the issue as to the truthfulness of Mr. Isse's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There are also issues of trial fairness in that the note, the signed statement and the circumstances of the taking of Mr. Isse's statement were only disclosed to the defence in the middle of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It is beyond dispute that the issues upon which Mr. Isse's statement relate are critical ones in this litigation, namely who is at fault for the accident. To that extent, there are serious consequences to both parties arising from that determination. There is considerable prejudice to the defendants by the admission of this untested hearsay. Similarly, Mr. Davis is potentially prejudiced if he is unable to provide what he says is corroborating evidence; however, it is a legitimate point that he and his agents bear significant responsibility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Inarguably, the above circumstances provide a basis upon which this Court could or should exercise its residual discretion to refuse admission of Mr. Isse's statement, even if it meets the test under the principled approach to hearsay: </w:t>
      </w:r>
      <w:r>
        <w:rPr>
          <w:rFonts w:ascii="arial" w:eastAsia="arial" w:hAnsi="arial" w:cs="arial"/>
          <w:i/>
          <w:color w:val="000000"/>
          <w:sz w:val="20"/>
          <w:lang w:val="en-US" w:eastAsia="en-US" w:bidi="ar-SA"/>
        </w:rPr>
        <w:t>Khelawon</w:t>
      </w:r>
      <w:r>
        <w:rPr>
          <w:rFonts w:ascii="arial" w:eastAsia="arial" w:hAnsi="arial" w:cs="arial"/>
          <w:color w:val="000000"/>
          <w:sz w:val="20"/>
          <w:lang w:val="en-US" w:eastAsia="en-US" w:bidi="ar-SA"/>
        </w:rPr>
        <w:t xml:space="preserve"> at para. 49. Having said that, the defendants have addressed the admissibility of Mr. Isse's statement on the merits, rather than on procedural issues or ones of trial fairness. I will do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Mr. Davis' counsel has referred to a number of motor vehicle cases, which of course are in the civil context, where the admission of witness or party statements or affidavits have been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The issue of liability arising from a motor vehicle accident arose in </w:t>
      </w:r>
      <w:r>
        <w:rPr>
          <w:rFonts w:ascii="arial" w:eastAsia="arial" w:hAnsi="arial" w:cs="arial"/>
          <w:i/>
          <w:color w:val="000000"/>
          <w:sz w:val="20"/>
          <w:lang w:val="en-US" w:eastAsia="en-US" w:bidi="ar-SA"/>
        </w:rPr>
        <w:t>Bishop v. Hiebert</w:t>
      </w:r>
      <w:r>
        <w:rPr>
          <w:rFonts w:ascii="arial" w:eastAsia="arial" w:hAnsi="arial" w:cs="arial"/>
          <w:color w:val="000000"/>
          <w:sz w:val="20"/>
          <w:lang w:val="en-US" w:eastAsia="en-US" w:bidi="ar-SA"/>
        </w:rPr>
        <w:t xml:space="preserve">, </w:t>
      </w:r>
      <w:hyperlink r:id="rId59" w:history="1">
        <w:r>
          <w:rPr>
            <w:rFonts w:ascii="arial" w:eastAsia="arial" w:hAnsi="arial" w:cs="arial"/>
            <w:i/>
            <w:color w:val="0077CC"/>
            <w:sz w:val="20"/>
            <w:u w:val="single"/>
            <w:shd w:val="clear" w:color="auto" w:fill="FFFFFF"/>
            <w:lang w:val="en-US" w:eastAsia="en-US" w:bidi="ar-SA"/>
          </w:rPr>
          <w:t>(1996) 21 B.C.L.R. (3d) 193</w:t>
        </w:r>
      </w:hyperlink>
      <w:r>
        <w:rPr>
          <w:rFonts w:ascii="arial" w:eastAsia="arial" w:hAnsi="arial" w:cs="arial"/>
          <w:color w:val="000000"/>
          <w:sz w:val="20"/>
          <w:lang w:val="en-US" w:eastAsia="en-US" w:bidi="ar-SA"/>
        </w:rPr>
        <w:t xml:space="preserve"> (S.C.). The defendant sought to introduce into evidence the statement of an independent witness to the accident who had subsequently died. At paras. 9-10, Justice Macdonald stressed the potential importance of third party witnesses to an accident, who presumably are disinterested in the outcome and therefore, less likely to distort the truth.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Bishop</w:t>
      </w:r>
      <w:r>
        <w:rPr>
          <w:rFonts w:ascii="arial" w:eastAsia="arial" w:hAnsi="arial" w:cs="arial"/>
          <w:color w:val="000000"/>
          <w:sz w:val="20"/>
          <w:lang w:val="en-US" w:eastAsia="en-US" w:bidi="ar-SA"/>
        </w:rPr>
        <w:t>, aside from the witness' independence from the parties, the Court also noted at para. 11 that the statement was made in writing at the scene within an hour of the accident while matters were fresh in his mind. Further, the statement was made to a police officer in the course of the ensuing investigation. The statement was admitted.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Dye v. Morehouse</w:t>
      </w:r>
      <w:r>
        <w:rPr>
          <w:rFonts w:ascii="arial" w:eastAsia="arial" w:hAnsi="arial" w:cs="arial"/>
          <w:color w:val="000000"/>
          <w:sz w:val="20"/>
          <w:lang w:val="en-US" w:eastAsia="en-US" w:bidi="ar-SA"/>
        </w:rPr>
        <w:t xml:space="preserve">, </w:t>
      </w:r>
      <w:hyperlink r:id="rId60" w:history="1">
        <w:r>
          <w:rPr>
            <w:rFonts w:ascii="arial" w:eastAsia="arial" w:hAnsi="arial" w:cs="arial"/>
            <w:i/>
            <w:color w:val="0077CC"/>
            <w:sz w:val="20"/>
            <w:u w:val="single"/>
            <w:shd w:val="clear" w:color="auto" w:fill="FFFFFF"/>
            <w:lang w:val="en-US" w:eastAsia="en-US" w:bidi="ar-SA"/>
          </w:rPr>
          <w:t>[1999] B.C.J. No. 2552</w:t>
        </w:r>
      </w:hyperlink>
      <w:r>
        <w:rPr>
          <w:rFonts w:ascii="arial" w:eastAsia="arial" w:hAnsi="arial" w:cs="arial"/>
          <w:color w:val="000000"/>
          <w:sz w:val="20"/>
          <w:lang w:val="en-US" w:eastAsia="en-US" w:bidi="ar-SA"/>
        </w:rPr>
        <w:t xml:space="preserve"> (S.C.) also involved a motor vehicle accident. The defendant driver had become incapacitated after the accident and could no longer give evidence. However, the defendant had sworn an affidavit some 14 months earlier and just prior to the trial giving his account of the accident. In that affidavit, he confirmed the accuracy of the events set out in his statement signed just two weeks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Dye</w:t>
      </w:r>
      <w:r>
        <w:rPr>
          <w:rFonts w:ascii="arial" w:eastAsia="arial" w:hAnsi="arial" w:cs="arial"/>
          <w:color w:val="000000"/>
          <w:sz w:val="20"/>
          <w:lang w:val="en-US" w:eastAsia="en-US" w:bidi="ar-SA"/>
        </w:rPr>
        <w:t xml:space="preserve"> admitted the affidavit, after considering case authorities, including </w:t>
      </w:r>
      <w:r>
        <w:rPr>
          <w:rFonts w:ascii="arial" w:eastAsia="arial" w:hAnsi="arial" w:cs="arial"/>
          <w:i/>
          <w:color w:val="000000"/>
          <w:sz w:val="20"/>
          <w:lang w:val="en-US" w:eastAsia="en-US" w:bidi="ar-SA"/>
        </w:rPr>
        <w:t>Bishop</w:t>
      </w:r>
      <w:r>
        <w:rPr>
          <w:rFonts w:ascii="arial" w:eastAsia="arial" w:hAnsi="arial" w:cs="arial"/>
          <w:color w:val="000000"/>
          <w:sz w:val="20"/>
          <w:lang w:val="en-US" w:eastAsia="en-US" w:bidi="ar-SA"/>
        </w:rPr>
        <w:t>. At para. 17, the Court focussed on three features of the affidavit; that the defendant had also signed the statement; that the affidavit was made under oath; and, that it was in a question/answer format that demonstrated that the questions were not unduly 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Bishop</w:t>
      </w:r>
      <w:r>
        <w:rPr>
          <w:rFonts w:ascii="arial" w:eastAsia="arial" w:hAnsi="arial" w:cs="arial"/>
          <w:color w:val="000000"/>
          <w:sz w:val="20"/>
          <w:lang w:val="en-US" w:eastAsia="en-US" w:bidi="ar-SA"/>
        </w:rPr>
        <w:t xml:space="preserve"> was also considered by Justice Kelleher in </w:t>
      </w:r>
      <w:r>
        <w:rPr>
          <w:rFonts w:ascii="arial" w:eastAsia="arial" w:hAnsi="arial" w:cs="arial"/>
          <w:i/>
          <w:color w:val="000000"/>
          <w:sz w:val="20"/>
          <w:lang w:val="en-US" w:eastAsia="en-US" w:bidi="ar-SA"/>
        </w:rPr>
        <w:t>Roussin v. Bouzenad</w:t>
      </w:r>
      <w:r>
        <w:rPr>
          <w:rFonts w:ascii="arial" w:eastAsia="arial" w:hAnsi="arial" w:cs="arial"/>
          <w:color w:val="000000"/>
          <w:sz w:val="20"/>
          <w:lang w:val="en-US" w:eastAsia="en-US" w:bidi="ar-SA"/>
        </w:rPr>
        <w:t xml:space="preserve">, </w:t>
      </w:r>
      <w:hyperlink r:id="rId61" w:history="1">
        <w:r>
          <w:rPr>
            <w:rFonts w:ascii="arial" w:eastAsia="arial" w:hAnsi="arial" w:cs="arial"/>
            <w:i/>
            <w:color w:val="0077CC"/>
            <w:sz w:val="20"/>
            <w:u w:val="single"/>
            <w:shd w:val="clear" w:color="auto" w:fill="FFFFFF"/>
            <w:lang w:val="en-US" w:eastAsia="en-US" w:bidi="ar-SA"/>
          </w:rPr>
          <w:t>2005 BCSC 1719</w:t>
        </w:r>
      </w:hyperlink>
      <w:r>
        <w:rPr>
          <w:rFonts w:ascii="arial" w:eastAsia="arial" w:hAnsi="arial" w:cs="arial"/>
          <w:color w:val="000000"/>
          <w:sz w:val="20"/>
          <w:lang w:val="en-US" w:eastAsia="en-US" w:bidi="ar-SA"/>
        </w:rPr>
        <w:t>. The plaintiff had been injured in an accident. Liability was in issue. Her counsel sought to admit a statement made by a deceased passenger and colleague of the plaintiff, Mr. Hyde. The statement was given to a police officer at the scene but had not been reduced to writing. Instead, the constable testified as to the witness' account based on his memory and his notes.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Roussin</w:t>
      </w:r>
      <w:r>
        <w:rPr>
          <w:rFonts w:ascii="arial" w:eastAsia="arial" w:hAnsi="arial" w:cs="arial"/>
          <w:color w:val="000000"/>
          <w:sz w:val="20"/>
          <w:lang w:val="en-US" w:eastAsia="en-US" w:bidi="ar-SA"/>
        </w:rPr>
        <w:t xml:space="preserve">, Kelleher J. noted at para. 17 that, unlike in </w:t>
      </w:r>
      <w:r>
        <w:rPr>
          <w:rFonts w:ascii="arial" w:eastAsia="arial" w:hAnsi="arial" w:cs="arial"/>
          <w:i/>
          <w:color w:val="000000"/>
          <w:sz w:val="20"/>
          <w:lang w:val="en-US" w:eastAsia="en-US" w:bidi="ar-SA"/>
        </w:rPr>
        <w:t>Bishop</w:t>
      </w:r>
      <w:r>
        <w:rPr>
          <w:rFonts w:ascii="arial" w:eastAsia="arial" w:hAnsi="arial" w:cs="arial"/>
          <w:color w:val="000000"/>
          <w:sz w:val="20"/>
          <w:lang w:val="en-US" w:eastAsia="en-US" w:bidi="ar-SA"/>
        </w:rPr>
        <w:t>, the witness was not wholly disinterested and made the statement orally. Even so, the statement was admitted. The Court concluded that there was sufficient reliability based on: the witness had nothing to gain personally from making the statement; the statement was made shortly after the accident; the statement was made to a police officer in the course of an investigation; and the nature of the accident was such that it was obvious Mr. Hyde might be required to testify in future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I have also been referred to </w:t>
      </w:r>
      <w:r>
        <w:rPr>
          <w:rFonts w:ascii="arial" w:eastAsia="arial" w:hAnsi="arial" w:cs="arial"/>
          <w:i/>
          <w:color w:val="000000"/>
          <w:sz w:val="20"/>
          <w:lang w:val="en-US" w:eastAsia="en-US" w:bidi="ar-SA"/>
        </w:rPr>
        <w:t>Bolton v. City of Vancouver</w:t>
      </w:r>
      <w:r>
        <w:rPr>
          <w:rFonts w:ascii="arial" w:eastAsia="arial" w:hAnsi="arial" w:cs="arial"/>
          <w:color w:val="000000"/>
          <w:sz w:val="20"/>
          <w:lang w:val="en-US" w:eastAsia="en-US" w:bidi="ar-SA"/>
        </w:rPr>
        <w:t xml:space="preserve">, </w:t>
      </w:r>
      <w:hyperlink r:id="rId62" w:history="1">
        <w:r>
          <w:rPr>
            <w:rFonts w:ascii="arial" w:eastAsia="arial" w:hAnsi="arial" w:cs="arial"/>
            <w:i/>
            <w:color w:val="0077CC"/>
            <w:sz w:val="20"/>
            <w:u w:val="single"/>
            <w:shd w:val="clear" w:color="auto" w:fill="FFFFFF"/>
            <w:lang w:val="en-US" w:eastAsia="en-US" w:bidi="ar-SA"/>
          </w:rPr>
          <w:t>2002 BCSC 1061</w:t>
        </w:r>
      </w:hyperlink>
      <w:r>
        <w:rPr>
          <w:rFonts w:ascii="arial" w:eastAsia="arial" w:hAnsi="arial" w:cs="arial"/>
          <w:color w:val="000000"/>
          <w:sz w:val="20"/>
          <w:lang w:val="en-US" w:eastAsia="en-US" w:bidi="ar-SA"/>
        </w:rPr>
        <w:t>. There, the defendants sought to introduce a number of statements from a witness to the accident who had later died. Justice Henderson noted at para. 16 that, when considering whether the statement was attended by "circumstantial guarantee[s] of trustworthiness," the court can consider: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 ... whether the declarant had any motive to lie, or bias; whether the statement was adduced through leading questions; whether the statement was preceded by the taking of an oath or, alternatively, by a warning of the importance of telling the truth; whether the declarant evidenced some awareness of the solemnity of the occasion and the importance of accuracy; whether the declarant evidenced any mental impairment due to alcohol, drugs, shock or fatigue; and whether the declarant had an opportunity to reflect and therefore to tailor 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Statements made during a 911 call immediately after the accident were admitted into evidence, principally based on how contemporaneous the statements were (para. 18). A statement given to a police officer at the hospital a few hours after the accident was also admitted, also principally arising from their contemporaneous nature and given that it was provided to an independent person and did not arise from leading questions (para. 19). The later phone call to the police officer one month after that was not taped and not as contemporaneous was not admitted (para. 20). Similarly, an unsworn statement taken by an ICBC adjuster two and a half weeks later was found to be inadmissible, based in part on the fact that the adjuster was working for a potential party at the time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I acknowledge at the outset that circumstances favourable to admission include Mr. Isse's independence as a third party witness, in that he was not involved in the accident and that he was not a party to the litigation. These circumstances would tend to support that Mr. Isse had little reason to lie, similar to the conclusion in </w:t>
      </w:r>
      <w:r>
        <w:rPr>
          <w:rFonts w:ascii="arial" w:eastAsia="arial" w:hAnsi="arial" w:cs="arial"/>
          <w:i/>
          <w:color w:val="000000"/>
          <w:sz w:val="20"/>
          <w:lang w:val="en-US" w:eastAsia="en-US" w:bidi="ar-SA"/>
        </w:rPr>
        <w:t>Bishop</w:t>
      </w:r>
      <w:r>
        <w:rPr>
          <w:rFonts w:ascii="arial" w:eastAsia="arial" w:hAnsi="arial" w:cs="arial"/>
          <w:color w:val="000000"/>
          <w:sz w:val="20"/>
          <w:lang w:val="en-US" w:eastAsia="en-US" w:bidi="ar-SA"/>
        </w:rPr>
        <w:t xml:space="preserve"> at para. 11(1).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Having said that, other factors arise. Those factors lead me to the conclusion that Mr. Isse's statement should not be admitted.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Firstly, I will address the issues arising from Mr. Carter's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 have no doubt that Mr. Carter brought considerable skill to his task, including those imbued in him by his police officer days. However, without the tape recording, it is impossible to determine exactly what Mr. Isse said to him on August 16,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Mr. Carter's interview was not contemporaneous with the accident, such as within hours or even days of the accident, as was important in </w:t>
      </w:r>
      <w:r>
        <w:rPr>
          <w:rFonts w:ascii="arial" w:eastAsia="arial" w:hAnsi="arial" w:cs="arial"/>
          <w:i/>
          <w:color w:val="000000"/>
          <w:sz w:val="20"/>
          <w:lang w:val="en-US" w:eastAsia="en-US" w:bidi="ar-SA"/>
        </w:rPr>
        <w:t>Bishop, Roussin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Bolton. Bishop</w:t>
      </w:r>
      <w:r>
        <w:rPr>
          <w:rFonts w:ascii="arial" w:eastAsia="arial" w:hAnsi="arial" w:cs="arial"/>
          <w:color w:val="000000"/>
          <w:sz w:val="20"/>
          <w:lang w:val="en-US" w:eastAsia="en-US" w:bidi="ar-SA"/>
        </w:rPr>
        <w:t xml:space="preserve"> can be distinguished on the basis that Mr. Isse was interviewed by Mr. Carter in August 2011, about a month after the accident and only then was a statement prepared by Mr. Carter. As such, it cannot be said that Mr. Isse's recollection at that time was as fresh in his mind as just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The circumstances relating to Mr. Isse's interview and Mr. Carter's drafting of the statement are more closely aligned with the follow up statement to the police officer considered in </w:t>
      </w:r>
      <w:r>
        <w:rPr>
          <w:rFonts w:ascii="arial" w:eastAsia="arial" w:hAnsi="arial" w:cs="arial"/>
          <w:i/>
          <w:color w:val="000000"/>
          <w:sz w:val="20"/>
          <w:lang w:val="en-US" w:eastAsia="en-US" w:bidi="ar-SA"/>
        </w:rPr>
        <w:t>Bolton</w:t>
      </w:r>
      <w:r>
        <w:rPr>
          <w:rFonts w:ascii="arial" w:eastAsia="arial" w:hAnsi="arial" w:cs="arial"/>
          <w:color w:val="000000"/>
          <w:sz w:val="20"/>
          <w:lang w:val="en-US" w:eastAsia="en-US" w:bidi="ar-SA"/>
        </w:rPr>
        <w:t>. There the statement was given one month after the accident and was not recorded. Justice Henderson did not admit the statement (paras. 6 and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Other concerns arise. Mr. Carter said that he faithfully reproduced Mr. Isse's oral statements to him either the day he interviewed Mr. Isse or the next day or so, in the written statement. The contemporaneous notes that he produced are slim indeed and include only some of the details in the statement. Mr. Carter had no independent recollection of the matter at the trial, which is understandable. However, he was not able to reconcile some aspects of his notes and the typewritten statement. This induced him to resort to "interpreting" his notes in hindsight. I agree with the defence argument that, to a large degree, Mr. Carter was only able to assume at this time that his recording of Mr. Isse's statements in the typed document was accurate, based on what he </w:t>
      </w:r>
      <w:r>
        <w:rPr>
          <w:rFonts w:ascii="arial" w:eastAsia="arial" w:hAnsi="arial" w:cs="arial"/>
          <w:i/>
          <w:color w:val="000000"/>
          <w:sz w:val="20"/>
          <w:lang w:val="en-US" w:eastAsia="en-US" w:bidi="ar-SA"/>
        </w:rPr>
        <w:t>would</w:t>
      </w:r>
      <w:r>
        <w:rPr>
          <w:rFonts w:ascii="arial" w:eastAsia="arial" w:hAnsi="arial" w:cs="arial"/>
          <w:color w:val="000000"/>
          <w:sz w:val="20"/>
          <w:lang w:val="en-US" w:eastAsia="en-US" w:bidi="ar-SA"/>
        </w:rPr>
        <w:t xml:space="preserve"> have done, not necessarily what he </w:t>
      </w:r>
      <w:r>
        <w:rPr>
          <w:rFonts w:ascii="arial" w:eastAsia="arial" w:hAnsi="arial" w:cs="arial"/>
          <w:i/>
          <w:color w:val="000000"/>
          <w:sz w:val="20"/>
          <w:lang w:val="en-US" w:eastAsia="en-US" w:bidi="ar-SA"/>
        </w:rPr>
        <w:t>did</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There are also concerns about Mr. Carter's independence. The Court in </w:t>
      </w:r>
      <w:r>
        <w:rPr>
          <w:rFonts w:ascii="arial" w:eastAsia="arial" w:hAnsi="arial" w:cs="arial"/>
          <w:i/>
          <w:color w:val="000000"/>
          <w:sz w:val="20"/>
          <w:lang w:val="en-US" w:eastAsia="en-US" w:bidi="ar-SA"/>
        </w:rPr>
        <w:t>Bishop, Bolton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Roussin</w:t>
      </w:r>
      <w:r>
        <w:rPr>
          <w:rFonts w:ascii="arial" w:eastAsia="arial" w:hAnsi="arial" w:cs="arial"/>
          <w:color w:val="000000"/>
          <w:sz w:val="20"/>
          <w:lang w:val="en-US" w:eastAsia="en-US" w:bidi="ar-SA"/>
        </w:rPr>
        <w:t xml:space="preserve"> noted the independence of the police officer in taking the various statements. Mr. Carter was not acting in such a capacity. He was clearly hired as an agent for Mr. Davis to investigate the matter and obtain Mr. Isse's statement for Mr. Davis' benefit. That circumstance would have been obvious to Mr. Isse. In </w:t>
      </w:r>
      <w:r>
        <w:rPr>
          <w:rFonts w:ascii="arial" w:eastAsia="arial" w:hAnsi="arial" w:cs="arial"/>
          <w:i/>
          <w:color w:val="000000"/>
          <w:sz w:val="20"/>
          <w:lang w:val="en-US" w:eastAsia="en-US" w:bidi="ar-SA"/>
        </w:rPr>
        <w:t>Bolton</w:t>
      </w:r>
      <w:r>
        <w:rPr>
          <w:rFonts w:ascii="arial" w:eastAsia="arial" w:hAnsi="arial" w:cs="arial"/>
          <w:color w:val="000000"/>
          <w:sz w:val="20"/>
          <w:lang w:val="en-US" w:eastAsia="en-US" w:bidi="ar-SA"/>
        </w:rPr>
        <w:t>, a statement of a witness taken by a party's adjuster was rejected for that reason (paras. 7, 17 and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Further, before conducting the interview, Mr. Carter had been provided with Mr. Davis' own version of the accident, which allows for the possibility that the interview of Mr. Isse and the typing up of his draft statement was tailored toward that scenario, arising from leading questions designed to produce that narrative. The format of the questioning is important, just as the Court noted in </w:t>
      </w:r>
      <w:r>
        <w:rPr>
          <w:rFonts w:ascii="arial" w:eastAsia="arial" w:hAnsi="arial" w:cs="arial"/>
          <w:i/>
          <w:color w:val="000000"/>
          <w:sz w:val="20"/>
          <w:lang w:val="en-US" w:eastAsia="en-US" w:bidi="ar-SA"/>
        </w:rPr>
        <w:t>Dye</w:t>
      </w:r>
      <w:r>
        <w:rPr>
          <w:rFonts w:ascii="arial" w:eastAsia="arial" w:hAnsi="arial" w:cs="arial"/>
          <w:color w:val="000000"/>
          <w:sz w:val="20"/>
          <w:lang w:val="en-US" w:eastAsia="en-US" w:bidi="ar-SA"/>
        </w:rPr>
        <w:t xml:space="preserve"> at para.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Secondly, there is also some uncertainty here about the process undertaken by Mr. Isse when he received the statement from Mr. Carter. We have no evidence about that other than the addition of handwritten remarks and can only resort to speculation.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Mr. Davis' counsel argues that it is significant that Mr. Isse made several modifications to the statement so that it reflected his own recollections. He further argues that this demonstrates that Mr. Isse recognized the importance of accuracy and turned his mind to the details in that statement. That may be so, but it may be equally the case that the changes only reflect some of Mr. Isse's </w:t>
      </w:r>
      <w:r>
        <w:rPr>
          <w:rFonts w:ascii="arial" w:eastAsia="arial" w:hAnsi="arial" w:cs="arial"/>
          <w:i/>
          <w:color w:val="000000"/>
          <w:sz w:val="20"/>
          <w:lang w:val="en-US" w:eastAsia="en-US" w:bidi="ar-SA"/>
        </w:rPr>
        <w:t>ex post facto</w:t>
      </w:r>
      <w:r>
        <w:rPr>
          <w:rFonts w:ascii="arial" w:eastAsia="arial" w:hAnsi="arial" w:cs="arial"/>
          <w:color w:val="000000"/>
          <w:sz w:val="20"/>
          <w:lang w:val="en-US" w:eastAsia="en-US" w:bidi="ar-SA"/>
        </w:rPr>
        <w:t xml:space="preserve"> reconstruction of what he recalled of the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When did Mr. Isse get the statement? Did he look at it immediately or only weeks later? When did he (presumably) make the handwritten changes and why? Were the changed details truly corrective or were they based on Mr. Isse's recall, then clouded perhaps by months of potential memory loss and/or reconstructive effort in aid of Mr. Davis' cause? How much attention did he spend going through the details of the statement? If he received the statement after September 20, 2011, why did it take so long to sign it and then send it back? These are all relevant questions for which there are no available answers.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Without answers to these questions, it is difficult, if not impossible to consider the relationship between what he told Mr. Carter on August 16, 2011 and what was recorded and then presumably signed by him with amendments on October 14, 2011. This adds to the concern that Mr. Isse's written statement in October 2011 was not at all contemporaneous with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Another important factor is that Mr. Isse did not provide his evidence under oath (as stressed in </w:t>
      </w:r>
      <w:r>
        <w:rPr>
          <w:rFonts w:ascii="arial" w:eastAsia="arial" w:hAnsi="arial" w:cs="arial"/>
          <w:i/>
          <w:color w:val="000000"/>
          <w:sz w:val="20"/>
          <w:lang w:val="en-US" w:eastAsia="en-US" w:bidi="ar-SA"/>
        </w:rPr>
        <w:t>Dye</w:t>
      </w:r>
      <w:r>
        <w:rPr>
          <w:rFonts w:ascii="arial" w:eastAsia="arial" w:hAnsi="arial" w:cs="arial"/>
          <w:color w:val="000000"/>
          <w:sz w:val="20"/>
          <w:lang w:val="en-US" w:eastAsia="en-US" w:bidi="ar-SA"/>
        </w:rPr>
        <w:t xml:space="preserve"> at para. 17). The defence has no way of testing whether he understood the importance of telling the truth. I agree that there is some support that this was brought to Mr. Isse's attention arising from the inclusion of the statement above the signature line: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aware that this statement may be used in legal proceedings and I believe this statement is accurate and true to the best of my knowledge and belief. I have not made this statement for any improper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Finally, as the Court notes in </w:t>
      </w:r>
      <w:r>
        <w:rPr>
          <w:rFonts w:ascii="arial" w:eastAsia="arial" w:hAnsi="arial" w:cs="arial"/>
          <w:i/>
          <w:color w:val="000000"/>
          <w:sz w:val="20"/>
          <w:lang w:val="en-US" w:eastAsia="en-US" w:bidi="ar-SA"/>
        </w:rPr>
        <w:t>Bolton</w:t>
      </w:r>
      <w:r>
        <w:rPr>
          <w:rFonts w:ascii="arial" w:eastAsia="arial" w:hAnsi="arial" w:cs="arial"/>
          <w:color w:val="000000"/>
          <w:sz w:val="20"/>
          <w:lang w:val="en-US" w:eastAsia="en-US" w:bidi="ar-SA"/>
        </w:rPr>
        <w:t xml:space="preserve"> at para. 16, another relevant consideration is whether the witness had any mental impairment due to alcohol, drugs, shock or fatigue. Mr. Isse's statement does not give any insight into that issue that would allow the Court to conclude that his recall of the accident was not affected by such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In conclusion, I am satisfied that the necessity requirement is made out here in relation to Mr. Isse's statement; however, I am not satisfied that there are sufficient indicia of trustworthiness and threshold reliability that the contested portions of it should be admitted.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Accordingly, only the uncontested portions of Mr. Isse's statement are admitted. This will include his statements as to the aftermath of the accident (quoted above), as the reliability of this aspect of the statement is considerably bolstered by the fact that a physical note was handed by the taxi driver to Mr. Davis.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determination of liability in this case depends on which witness' evidence is accepted by the Court. Needless to say, I can accept all, some or none of any of the witness' accounts. This leads to a consideration of the credibility as between Mr. Davis and the defence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Credibility is to be assessed in accordance with well-known principles, which have been oft-cited by this Court, as exemplified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63"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[186] Credibility involves an assessment of the trustworthiness of a witness' testimony based upon the veracity or sincerity of a witness and the accuracy of the evidence that the witness provides ... The art of assessment involves examination of various factors such as the ability and opportunity to observe events, the firmness of his memory, the ability to resist the influence of interest to modify his recollection, whether the witness' evidence harmonizes with independent evidence that has been accepted, whether the witness changes his testimony during direct and cross-examination, whether the witness' testimony seems unreasonable, impossible, or unlikely, whether a witness has a motive to lie, and the demeanour of a witness generally ... Ultimately, the validity of the evidence depends on whether the evidence is consistent with the probabilities affecting the case as a whole and shown to be in existence at the time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Mr. Davis' credibility assessment is informed by many aspects of this trial too numerous to account. What clearly emerges in the overall picture before the Court is that Mr. Davis is a survivor. He has fought in a general sense and literally fought (in MMA) to make his way in the world, using his wits, back, legs and fists. He has managed to survive in the adult world with minimal financial resources, albeit with considerable support from his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However, in doing so, Mr. Davis has admitted quite freely that he is not overly concerned about the completeness or veracity of his statements or actions in advancing his needs or wants. Examples include his failure to file income taxes for years, and when he finally did that, reporting less income than he had clearly received. He also lied to or concealed facts from his doctor to ensure that he received medical clearance for certain fights, stating in Court that he essentially "did whatever he needed to do". Finally, he knowingly withheld highly relevant and material facts from certain of the medical practitioners who were retained to assess his medical status for the purposes of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Further, many of Mr. Davis' recollections were selective at best and clearly designed to advance his interests. For example, Mr. Davis recalled little of the details of his employment history, the filing of his tax returns in September 2011 and his work activities and income from 2015 and into recent years. Yet, he purported to have a crystal clear memory of certain past events, including the circumstances of the first accident in 2011 some eight years ago. By his own evidence, he did not recall who put his bicycle in the trunk of the vehicle, despite the video that clearly shows that </w:t>
      </w:r>
      <w:r>
        <w:rPr>
          <w:rFonts w:ascii="arial" w:eastAsia="arial" w:hAnsi="arial" w:cs="arial"/>
          <w:i/>
          <w:color w:val="000000"/>
          <w:sz w:val="20"/>
          <w:lang w:val="en-US" w:eastAsia="en-US" w:bidi="ar-SA"/>
        </w:rPr>
        <w:t>he</w:t>
      </w:r>
      <w:r>
        <w:rPr>
          <w:rFonts w:ascii="arial" w:eastAsia="arial" w:hAnsi="arial" w:cs="arial"/>
          <w:color w:val="000000"/>
          <w:sz w:val="20"/>
          <w:lang w:val="en-US" w:eastAsia="en-US" w:bidi="ar-SA"/>
        </w:rPr>
        <w:t xml:space="preserve"> put his bicycle in the vehicle trunk.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These accounts, or rather lack of accounts, in Mr. Davis' evidence were generally accompanied by various statements by him throughout the trial that he had a "brain injury" or concussion arising from that accident. He advanced this as an explanation for troublesome issues faced by him. The presence or degree of such injuries, and the cause of such injuries, were very much in dispute at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 accept that the medical evidence after the accident did indicate some injuries to his left leg, consistent with being hit by a vehicle. However, these injuries might also have been caused by him hitting the ground after he jumped off the bicycle.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Also, the fact that Mr. Isse stopped and gave Mr. Davis his card after the accident is a neutral factor in terms of who was at fault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 do not consider that Mr. Davis is an accurate historian of events. While I do not conclude that Mr. Davis has deliberately tried to mislead the Court in his evidence, a more reasonable explanation is that he is doing what he has always done, namely survive by attempting to skate past or massage the truth or avoid it altogether.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In summary, I do not consider Mr. Davis' evidence as reliable or credible. I approach his evidence with considerable caution, save where it is supported by other credible and corroborating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matter of the defence witnesses' credibility must also be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Raj Jeyaratnam and Mr. Shanmugarajah gave their evidence in a forthright and honest manner. I did not detect any animus toward Mr. Davis or partisanship toward a result in favour of the defendants that would colour my view of their credibility. In particular, Raj Jeyaratnam presented himself as a careful historian of the events and careful driver, no doubt informed by his awareness of and desire to abide by the rules of the road that he himself taught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As the defence notes, the evidence of the three defence witnesses were different in some details - for example, the location of the vehicle in relation to the lanes at the time of impact and whether Mr. Davis jumped and stood up or jumped, rolled and stood. However, importantly, their evidence was substantially consistent with respect to the most important facts, including that Mr. Davis was riding on the sidewalk.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When considering the substantial delay to this trial since the date of the accident in July 2011, such differences are understandable. These differences also support that these defence witnesses did not collaborate with respect to their evidence and seek to copy each others' evidence to ensure consistency as between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 agree that Joe Jeyaratnam's evidence was less than solid on the key facts. However, I also agree that this older man clearly had difficulty understanding the questions posed of him during cross-examination. I took that to principally arise from language challenges since English was not his first language. There were also literacy challenges on his part relating to the written statement he signed, which was typed up by someone else, no doubt arising from his Grade nine, non-English education in Sri Lanka. Overall, when considering the entirety of his testimony, I concluded that Joe Jeyaratnam was also attempting to be as accurate as he could in describing his recollections of the accident and that he was accurate to a large degree.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fact that none of the defence witnesses noticed a taxi driver at the scene is not determinative. Given the immediacy of attending to Mr. Davis and their concerns for his well-being, it is entirely plausible that Mr. Isse's brief attendance "for a few seconds" was not particularly noteworthy.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Mr. Davis' counsel argues that Raj Jeyaratnam's explanation for paying the money to Mr. Davis, even though he had done nothing wrong, is indicative that he was at fault. I disagree. He clearly felt bad for Mr. Davis. Mr. Davis had commented that he was poor, presumably indicating that he could not pay to fix his bicycle or replace it. Raj Jeyaratnam's concern, generosity and kindness is not inconsistent with being faultless in the accident. This is similar to a person blurting out "I'm sorry" after an incident, not necessarily indicative of fault but only of concern.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In summary, I conclude that the defence witnesses, particularly Raj Jeyaratnam and Mr. Shanmugarajah, were credible and gave highly reliable evidence at this trial. To the extent that their evidence conflicts with that of Mr. Davis, I prefer their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Conclusion re Liability for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Mr. Davis contends that the defendants are solely liable for the accident, arising from what he alleges were Raj Jeyaratnam's actions at the time. The defendants take the position that the accident was caused solely or partially by Mr. Davis'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he failed to exercise reasonable care while entering the roadway (Guelph Street) from the sidewalk on his bicycle.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 first issue is whether Mr. Davis was travelling on his bicycle on the sidewalk and then was about to or did begin to enter Guelph Street as the Jeyaratnam vehicle was making its left turn. Mr. Davis contends that he was riding in a designated bike and bus lane on Broadway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The relevant portions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provide: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Rights and duties of operator of cycle</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xml:space="preserve"> (1) In addition to the duties imposed by this section, a person operating a cycle on a highway has the same rights and duties as a driver of a vehicle.</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operating a cycle</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must not ride on a sidewalk unless authorized by a bylaw made under section 124 or unless otherwise directed by a sign,</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must not, for the purpose of crossing a highway, ride on a crosswalk unless authorized to do so by a bylaw made under section 124 or unless otherwise directed by a sign,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must not operate a cycle</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 a highway without due care and attention or without reasonable consideration for other persons using the highway, or</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 a sidewalk without due care and attention or without reasonable consideration for other persons using the sidewalk.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Section 119(1)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defines "sidewalk" as meaning "the area between the curb lines or lateral lines of a roadway and the adjacent property lines improved for the use of pedestrians". It is uncontroversial that there is a "sidewalk" along the Broadway Avenue block just east of Guelph Street. There is no evidence that there is a "crosswalk", as per the definition in s. 119(1)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going across Guelph Street at this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Accordingly, Mr. Davis was prohibited by s. 183(2)(a)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from travelling along the Broadway Avenue sidewalk.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Mr. Davis' counsel contends that Mr. Davis' evidence should be accepted because there is "no doubt" that he would have used a marked bike lane while riding his bicycle along Broadway Avenue. However, Mr. Davis has indicated a distinct inclination for not following rules when he sees fit and when it is advantageous for him. Among other things, Mr. Davis' clear violation of s. 184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in not wearing a helmet is a clear example.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Dhanoya v. Stephens</w:t>
      </w:r>
      <w:r>
        <w:rPr>
          <w:rFonts w:ascii="arial" w:eastAsia="arial" w:hAnsi="arial" w:cs="arial"/>
          <w:color w:val="000000"/>
          <w:sz w:val="20"/>
          <w:lang w:val="en-US" w:eastAsia="en-US" w:bidi="ar-SA"/>
        </w:rPr>
        <w:t xml:space="preserve">, </w:t>
      </w:r>
      <w:hyperlink r:id="rId64" w:history="1">
        <w:r>
          <w:rPr>
            <w:rFonts w:ascii="arial" w:eastAsia="arial" w:hAnsi="arial" w:cs="arial"/>
            <w:i/>
            <w:color w:val="0077CC"/>
            <w:sz w:val="20"/>
            <w:u w:val="single"/>
            <w:shd w:val="clear" w:color="auto" w:fill="FFFFFF"/>
            <w:lang w:val="en-US" w:eastAsia="en-US" w:bidi="ar-SA"/>
          </w:rPr>
          <w:t>2019 BCSC 723</w:t>
        </w:r>
      </w:hyperlink>
      <w:r>
        <w:rPr>
          <w:rFonts w:ascii="arial" w:eastAsia="arial" w:hAnsi="arial" w:cs="arial"/>
          <w:color w:val="000000"/>
          <w:sz w:val="20"/>
          <w:lang w:val="en-US" w:eastAsia="en-US" w:bidi="ar-SA"/>
        </w:rPr>
        <w:t>, Justice Dillon dealt with a very similar case involving a bicycle/vehicle accident. The plaintiff, who had been riding his bicycle on the sidewalk, entered the crosswalk on his bicycle without looking for vehicles. The defendant, who intended to drive through that road, saw the plaintiff and braked to avoid the collision. The defendant said that, since the plaintiff "came right out in front of him without stopping", he did not have sufficient opportunity to avoid the accident (paras. 2-13).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 Court discussed the duties of a cyclist: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 A cyclist shares the same rights and duties with drivers of a motor vehicle (</w:t>
      </w:r>
      <w:r>
        <w:rPr>
          <w:rFonts w:ascii="arial" w:eastAsia="arial" w:hAnsi="arial" w:cs="arial"/>
          <w:i/>
          <w:color w:val="000000"/>
          <w:sz w:val="20"/>
          <w:lang w:val="en-US" w:eastAsia="en-US" w:bidi="ar-SA"/>
        </w:rPr>
        <w:t xml:space="preserve">Dobre </w:t>
      </w:r>
      <w:r>
        <w:rPr>
          <w:rFonts w:ascii="arial" w:eastAsia="arial" w:hAnsi="arial" w:cs="arial"/>
          <w:color w:val="000000"/>
          <w:sz w:val="20"/>
          <w:lang w:val="en-US" w:eastAsia="en-US" w:bidi="ar-SA"/>
        </w:rPr>
        <w:t xml:space="preserve">at para. 32). The duties specific to a cyclist are set out in s. 183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The plaintiff was riding his bicycle in a crosswalk in contravention of s.183(2)(b)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He had a duty to keep a proper lookout (</w:t>
      </w:r>
      <w:r>
        <w:rPr>
          <w:rFonts w:ascii="arial" w:eastAsia="arial" w:hAnsi="arial" w:cs="arial"/>
          <w:i/>
          <w:color w:val="000000"/>
          <w:sz w:val="20"/>
          <w:lang w:val="en-US" w:eastAsia="en-US" w:bidi="ar-SA"/>
        </w:rPr>
        <w:t xml:space="preserve">Dobre </w:t>
      </w:r>
      <w:r>
        <w:rPr>
          <w:rFonts w:ascii="arial" w:eastAsia="arial" w:hAnsi="arial" w:cs="arial"/>
          <w:color w:val="000000"/>
          <w:sz w:val="20"/>
          <w:lang w:val="en-US" w:eastAsia="en-US" w:bidi="ar-SA"/>
        </w:rPr>
        <w:t>at para.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I find as a fact that, consistent with the testimony of all of the defence witnesses, Mr. Davis was riding his bicycle on the Broadway Avenue sidewalk in violation of his duty under s. 183(2)(b)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He therefore had a heightened duty of care in the circumstances: </w:t>
      </w:r>
      <w:r>
        <w:rPr>
          <w:rFonts w:ascii="arial" w:eastAsia="arial" w:hAnsi="arial" w:cs="arial"/>
          <w:i/>
          <w:color w:val="000000"/>
          <w:sz w:val="20"/>
          <w:lang w:val="en-US" w:eastAsia="en-US" w:bidi="ar-SA"/>
        </w:rPr>
        <w:t>Dhanoya</w:t>
      </w:r>
      <w:r>
        <w:rPr>
          <w:rFonts w:ascii="arial" w:eastAsia="arial" w:hAnsi="arial" w:cs="arial"/>
          <w:color w:val="000000"/>
          <w:sz w:val="20"/>
          <w:lang w:val="en-US" w:eastAsia="en-US" w:bidi="ar-SA"/>
        </w:rPr>
        <w:t xml:space="preserve"> at para. 16 and </w:t>
      </w:r>
      <w:r>
        <w:rPr>
          <w:rFonts w:ascii="arial" w:eastAsia="arial" w:hAnsi="arial" w:cs="arial"/>
          <w:i/>
          <w:color w:val="000000"/>
          <w:sz w:val="20"/>
          <w:lang w:val="en-US" w:eastAsia="en-US" w:bidi="ar-SA"/>
        </w:rPr>
        <w:t>Deol v. Veach</w:t>
      </w:r>
      <w:r>
        <w:rPr>
          <w:rFonts w:ascii="arial" w:eastAsia="arial" w:hAnsi="arial" w:cs="arial"/>
          <w:color w:val="000000"/>
          <w:sz w:val="20"/>
          <w:lang w:val="en-US" w:eastAsia="en-US" w:bidi="ar-SA"/>
        </w:rPr>
        <w:t xml:space="preserve">, </w:t>
      </w:r>
      <w:hyperlink r:id="rId65" w:history="1">
        <w:r>
          <w:rPr>
            <w:rFonts w:ascii="arial" w:eastAsia="arial" w:hAnsi="arial" w:cs="arial"/>
            <w:i/>
            <w:color w:val="0077CC"/>
            <w:sz w:val="20"/>
            <w:u w:val="single"/>
            <w:shd w:val="clear" w:color="auto" w:fill="FFFFFF"/>
            <w:lang w:val="en-US" w:eastAsia="en-US" w:bidi="ar-SA"/>
          </w:rPr>
          <w:t>2011 BCSC 1437</w:t>
        </w:r>
      </w:hyperlink>
      <w:r>
        <w:rPr>
          <w:rFonts w:ascii="arial" w:eastAsia="arial" w:hAnsi="arial" w:cs="arial"/>
          <w:color w:val="000000"/>
          <w:sz w:val="20"/>
          <w:lang w:val="en-US" w:eastAsia="en-US" w:bidi="ar-SA"/>
        </w:rPr>
        <w:t xml:space="preserve"> at para.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That determination does not, however, end the matter. In </w:t>
      </w:r>
      <w:r>
        <w:rPr>
          <w:rFonts w:ascii="arial" w:eastAsia="arial" w:hAnsi="arial" w:cs="arial"/>
          <w:i/>
          <w:color w:val="000000"/>
          <w:sz w:val="20"/>
          <w:lang w:val="en-US" w:eastAsia="en-US" w:bidi="ar-SA"/>
        </w:rPr>
        <w:t>Deol</w:t>
      </w:r>
      <w:r>
        <w:rPr>
          <w:rFonts w:ascii="arial" w:eastAsia="arial" w:hAnsi="arial" w:cs="arial"/>
          <w:color w:val="000000"/>
          <w:sz w:val="20"/>
          <w:lang w:val="en-US" w:eastAsia="en-US" w:bidi="ar-SA"/>
        </w:rPr>
        <w:t xml:space="preserve"> at para. 23, the Court confirmed that even if the cyclist was in breach of his duties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has heighted duty of care, that does not necessarily establish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that event, Mr. Davis concedes that he was negligent in the operation of his bicycle.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 next factual issue is whether Mr. Davis was hit by the Jeyaratnam vehicle (Mr. Davis' version) or whether he was not hit while on his bicycle since he jumped off and then pushed the bicycle into vehicle (the defendants' version).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Mr. Davis did not produce any evidence as to any damage, let alone material damage, to his bicycle. Such evidence may have been probative of the issue as to whether the bicycle's left side, with Mr. Davis on it, was hit by the vehicle while it was travelling across the intersection or whether any damage arose from simply hitting the vehicle after being pushed into it. The Jeyaratnam witnesses generally assumed that the bicycle simply hit the tires or mud guard since there was no damage to the vehicle, a factor also inconsistent with Mr. Davis' evidence that the vehicle had struck or "T-boned" him and the bicycle hard when Raj Jeyaratnam had "stepped on it" to clear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Mr. Davis' counsel in his submissions put forward theories as to the mechanism of the accident based on what he says is the logic and physics of the circumstances. He refers to some correlation between where Mr. Davis is said to have landed afterward and where Mr. Davis "must have" been when he was hit as he passed in front of the Jeyaratnam vehicle". Mr. Davis has failed to produce any engineering or other expert evidence to assist the Court in determining the mechanism of the accident. It is inappropriate to ask this Court to essentially act as an accident reconstruction expert in terms of what happened here, without any foundation whatsoever.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Also, Mr. Davis' counsel raises a number of issues concerning Raj Jeyaratnam's filming of Mr. Davis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 do not consider that his filming of Mr. Davis supports that Raj Jeyaratnam was somehow at fault for the accident; rather, it was done to provide a recording of Mr. Davis after the accident if Mr. Davis decided to pursue matters with ICBC. This potential did not present itself as a possibility until Mr. Davis, who despite providing assurances that he was not injured, asked for his driver's licence, which was of course provided. As a driving instructor, Raj Jeyaratnam was no doubt very aware of the ICBC process and in fact, any prudent person would have secured evidence for the purposes of any claim that Mr. Davis might have made if he did eventually assert that he was injured as a result (which 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Mr. Davis' counsel also suggests that Raj Jeyaratnam could have secured some admission by Mr. Davis, whether in the video recording or in writing, that Raj Jeyaratnam was not at fault in the accident and that payment for Mr. Davis' bicycle was not an admission of fault. This argument is also without merit. The defence witnesses were clearly concerned about Mr. Davis' well-being, not focussed on protecting themselves from legal exposure.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I reject Mr. Davis' entire account of the accident, including that he was hit by the Jeyaratnam vehicle while he was on his bicycle. I accept the defence evidence and find as fact, consistent with the testimony of Raj Jeyaratnam and his nephew, that:</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Raj Jeyaratnam was travelling at a low speed as he made the left turn. Mr. Davis' description of the Jeyaratnam vehicle "step[ping] on it" as it made the turn is unsupported by any evidence by those in the vehicle and I reject it;</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occupants of the vehicle saw the bicycle approaching on the Broadway Avenue sidewalk from some distance and thought that the bicyclist was able to proceed on his path without any difficulty;</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Raj Jeyaratnam stopped the vehicle as quickly as he could when he saw the bicyclist just before the area where pedestrians would cross Guelph Street;</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Jeyaratnam vehicle did not hit the bicycle when Mr. Davis was riding it;</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when the vehicle stopped, Mr. Davis was startled, causing him to jump off his bike and push it into the stopped vehicle; and</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bicyclist either landed on his feet or rolled and then stood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Mr. Davis then argues that, in any event, it was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Raj Jeyaratnam that caused the accident. Mr. Davis argues Raj Jeyaratnam was negligent in not stopping </w:t>
      </w:r>
      <w:r>
        <w:rPr>
          <w:rFonts w:ascii="arial" w:eastAsia="arial" w:hAnsi="arial" w:cs="arial"/>
          <w:i/>
          <w:color w:val="000000"/>
          <w:sz w:val="20"/>
          <w:lang w:val="en-US" w:eastAsia="en-US" w:bidi="ar-SA"/>
        </w:rPr>
        <w:t>before</w:t>
      </w:r>
      <w:r>
        <w:rPr>
          <w:rFonts w:ascii="arial" w:eastAsia="arial" w:hAnsi="arial" w:cs="arial"/>
          <w:color w:val="000000"/>
          <w:sz w:val="20"/>
          <w:lang w:val="en-US" w:eastAsia="en-US" w:bidi="ar-SA"/>
        </w:rPr>
        <w:t xml:space="preserve"> he did, so as to get so close or "too close" to Mr. Davis that he was startled and thought he had to jump off his bike to avoid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Dhanoya</w:t>
      </w:r>
      <w:r>
        <w:rPr>
          <w:rFonts w:ascii="arial" w:eastAsia="arial" w:hAnsi="arial" w:cs="arial"/>
          <w:color w:val="000000"/>
          <w:sz w:val="20"/>
          <w:lang w:val="en-US" w:eastAsia="en-US" w:bidi="ar-SA"/>
        </w:rPr>
        <w:t xml:space="preserve">, the Court confirmed that, if the cyclist was in breach of his duties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and therefore had a heighted duty of care, the onus is on the cyclist to establish that the accident could have been reasonably avoided by the driver: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 The driver of a motor vehicle has a general duty of care to keep adequate lookout for recognizable hazards on the road (</w:t>
      </w:r>
      <w:r>
        <w:rPr>
          <w:rFonts w:ascii="arial" w:eastAsia="arial" w:hAnsi="arial" w:cs="arial"/>
          <w:i/>
          <w:color w:val="000000"/>
          <w:sz w:val="20"/>
          <w:lang w:val="en-US" w:eastAsia="en-US" w:bidi="ar-SA"/>
        </w:rPr>
        <w:t>Dobre v. Langley</w:t>
      </w:r>
      <w:r>
        <w:rPr>
          <w:rFonts w:ascii="arial" w:eastAsia="arial" w:hAnsi="arial" w:cs="arial"/>
          <w:color w:val="000000"/>
          <w:sz w:val="20"/>
          <w:lang w:val="en-US" w:eastAsia="en-US" w:bidi="ar-SA"/>
        </w:rPr>
        <w:t xml:space="preserve">, </w:t>
      </w:r>
      <w:hyperlink r:id="rId66" w:history="1">
        <w:r>
          <w:rPr>
            <w:rFonts w:ascii="arial" w:eastAsia="arial" w:hAnsi="arial" w:cs="arial"/>
            <w:i/>
            <w:color w:val="0077CC"/>
            <w:sz w:val="20"/>
            <w:u w:val="single"/>
            <w:shd w:val="clear" w:color="auto" w:fill="FFFFFF"/>
            <w:lang w:val="en-US" w:eastAsia="en-US" w:bidi="ar-SA"/>
          </w:rPr>
          <w:t>2011 BCSC 1315</w:t>
        </w:r>
      </w:hyperlink>
      <w:r>
        <w:rPr>
          <w:rFonts w:ascii="arial" w:eastAsia="arial" w:hAnsi="arial" w:cs="arial"/>
          <w:color w:val="000000"/>
          <w:sz w:val="20"/>
          <w:lang w:val="en-US" w:eastAsia="en-US" w:bidi="ar-SA"/>
        </w:rPr>
        <w:t xml:space="preserve"> at para. 34). A driver approaching a marked crosswalk assumes a heightened duty to take extreme care and maintain a vigilant lookout for those that might be in the crosswalk (</w:t>
      </w:r>
      <w:r>
        <w:rPr>
          <w:rFonts w:ascii="arial" w:eastAsia="arial" w:hAnsi="arial" w:cs="arial"/>
          <w:i/>
          <w:color w:val="000000"/>
          <w:sz w:val="20"/>
          <w:lang w:val="en-US" w:eastAsia="en-US" w:bidi="ar-SA"/>
        </w:rPr>
        <w:t>Dobre</w:t>
      </w:r>
      <w:r>
        <w:rPr>
          <w:rFonts w:ascii="arial" w:eastAsia="arial" w:hAnsi="arial" w:cs="arial"/>
          <w:color w:val="000000"/>
          <w:sz w:val="20"/>
          <w:lang w:val="en-US" w:eastAsia="en-US" w:bidi="ar-SA"/>
        </w:rPr>
        <w:t xml:space="preserve"> at paras. 35 and 43). It is important to remember that the standard of care is not one of perfection, but whether the driver acted in a manner which an ordinarily prudent person would act (</w:t>
      </w:r>
      <w:r>
        <w:rPr>
          <w:rFonts w:ascii="arial" w:eastAsia="arial" w:hAnsi="arial" w:cs="arial"/>
          <w:i/>
          <w:color w:val="000000"/>
          <w:sz w:val="20"/>
          <w:lang w:val="en-US" w:eastAsia="en-US" w:bidi="ar-SA"/>
        </w:rPr>
        <w:t>Hadden v. Lynch</w:t>
      </w:r>
      <w:r>
        <w:rPr>
          <w:rFonts w:ascii="arial" w:eastAsia="arial" w:hAnsi="arial" w:cs="arial"/>
          <w:color w:val="000000"/>
          <w:sz w:val="20"/>
          <w:lang w:val="en-US" w:eastAsia="en-US" w:bidi="ar-SA"/>
        </w:rPr>
        <w:t xml:space="preserve">, </w:t>
      </w:r>
      <w:hyperlink r:id="rId67" w:history="1">
        <w:r>
          <w:rPr>
            <w:rFonts w:ascii="arial" w:eastAsia="arial" w:hAnsi="arial" w:cs="arial"/>
            <w:i/>
            <w:color w:val="0077CC"/>
            <w:sz w:val="20"/>
            <w:u w:val="single"/>
            <w:shd w:val="clear" w:color="auto" w:fill="FFFFFF"/>
            <w:lang w:val="en-US" w:eastAsia="en-US" w:bidi="ar-SA"/>
          </w:rPr>
          <w:t>2008 BCSC 295</w:t>
        </w:r>
      </w:hyperlink>
      <w:r>
        <w:rPr>
          <w:rFonts w:ascii="arial" w:eastAsia="arial" w:hAnsi="arial" w:cs="arial"/>
          <w:color w:val="000000"/>
          <w:sz w:val="20"/>
          <w:lang w:val="en-US" w:eastAsia="en-US" w:bidi="ar-SA"/>
        </w:rPr>
        <w:t xml:space="preserve"> at para. 69).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Because of this violation of the traffic law, </w:t>
      </w:r>
      <w:r>
        <w:rPr>
          <w:rFonts w:ascii="arial" w:eastAsia="arial" w:hAnsi="arial" w:cs="arial"/>
          <w:color w:val="000000"/>
          <w:sz w:val="20"/>
          <w:u w:val="single"/>
          <w:lang w:val="en-US" w:eastAsia="en-US" w:bidi="ar-SA"/>
        </w:rPr>
        <w:t>the plaintiff assumed a heightened duty to ensure his own safety, particularly to ensure that he was seen by other drivers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Hadden</w:t>
      </w:r>
      <w:r>
        <w:rPr>
          <w:rFonts w:ascii="arial" w:eastAsia="arial" w:hAnsi="arial" w:cs="arial"/>
          <w:color w:val="000000"/>
          <w:sz w:val="20"/>
          <w:lang w:val="en-US" w:eastAsia="en-US" w:bidi="ar-SA"/>
        </w:rPr>
        <w:t xml:space="preserve"> at para. 59; </w:t>
      </w:r>
      <w:r>
        <w:rPr>
          <w:rFonts w:ascii="arial" w:eastAsia="arial" w:hAnsi="arial" w:cs="arial"/>
          <w:i/>
          <w:color w:val="000000"/>
          <w:sz w:val="20"/>
          <w:lang w:val="en-US" w:eastAsia="en-US" w:bidi="ar-SA"/>
        </w:rPr>
        <w:t>Dobre</w:t>
      </w:r>
      <w:r>
        <w:rPr>
          <w:rFonts w:ascii="arial" w:eastAsia="arial" w:hAnsi="arial" w:cs="arial"/>
          <w:color w:val="000000"/>
          <w:sz w:val="20"/>
          <w:lang w:val="en-US" w:eastAsia="en-US" w:bidi="ar-SA"/>
        </w:rPr>
        <w:t xml:space="preserve"> at para. 39; </w:t>
      </w:r>
      <w:r>
        <w:rPr>
          <w:rFonts w:ascii="arial" w:eastAsia="arial" w:hAnsi="arial" w:cs="arial"/>
          <w:i/>
          <w:color w:val="000000"/>
          <w:sz w:val="20"/>
          <w:lang w:val="en-US" w:eastAsia="en-US" w:bidi="ar-SA"/>
        </w:rPr>
        <w:t>Callahan v. Kim</w:t>
      </w:r>
      <w:r>
        <w:rPr>
          <w:rFonts w:ascii="arial" w:eastAsia="arial" w:hAnsi="arial" w:cs="arial"/>
          <w:color w:val="000000"/>
          <w:sz w:val="20"/>
          <w:lang w:val="en-US" w:eastAsia="en-US" w:bidi="ar-SA"/>
        </w:rPr>
        <w:t xml:space="preserve">, </w:t>
      </w:r>
      <w:hyperlink r:id="rId68" w:history="1">
        <w:r>
          <w:rPr>
            <w:rFonts w:ascii="arial" w:eastAsia="arial" w:hAnsi="arial" w:cs="arial"/>
            <w:i/>
            <w:color w:val="0077CC"/>
            <w:sz w:val="20"/>
            <w:u w:val="single"/>
            <w:shd w:val="clear" w:color="auto" w:fill="FFFFFF"/>
            <w:lang w:val="en-US" w:eastAsia="en-US" w:bidi="ar-SA"/>
          </w:rPr>
          <w:t>2012 BCSC 1615</w:t>
        </w:r>
      </w:hyperlink>
      <w:r>
        <w:rPr>
          <w:rFonts w:ascii="arial" w:eastAsia="arial" w:hAnsi="arial" w:cs="arial"/>
          <w:color w:val="000000"/>
          <w:sz w:val="20"/>
          <w:lang w:val="en-US" w:eastAsia="en-US" w:bidi="ar-SA"/>
        </w:rPr>
        <w:t xml:space="preserve"> at para. 23). As acknowledged by the plaintiff, he did not have the statutory right of way when he bicycled across the crosswalk because he was not a pedestrian (</w:t>
      </w:r>
      <w:r>
        <w:rPr>
          <w:rFonts w:ascii="arial" w:eastAsia="arial" w:hAnsi="arial" w:cs="arial"/>
          <w:i/>
          <w:color w:val="000000"/>
          <w:sz w:val="20"/>
          <w:lang w:val="en-US" w:eastAsia="en-US" w:bidi="ar-SA"/>
        </w:rPr>
        <w:t>Dobre</w:t>
      </w:r>
      <w:r>
        <w:rPr>
          <w:rFonts w:ascii="arial" w:eastAsia="arial" w:hAnsi="arial" w:cs="arial"/>
          <w:color w:val="000000"/>
          <w:sz w:val="20"/>
          <w:lang w:val="en-US" w:eastAsia="en-US" w:bidi="ar-SA"/>
        </w:rPr>
        <w:t xml:space="preserve"> at para. 34). Nonetheless, a </w:t>
      </w:r>
      <w:r>
        <w:rPr>
          <w:rFonts w:ascii="arial" w:eastAsia="arial" w:hAnsi="arial" w:cs="arial"/>
          <w:color w:val="000000"/>
          <w:sz w:val="20"/>
          <w:u w:val="single"/>
          <w:lang w:val="en-US" w:eastAsia="en-US" w:bidi="ar-SA"/>
        </w:rPr>
        <w:t>reasonably careful and skillful driver has a duty to give way to a user of a crosswalk where there is an expectation that pedestrians and other users will be present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Callahan</w:t>
      </w:r>
      <w:r>
        <w:rPr>
          <w:rFonts w:ascii="arial" w:eastAsia="arial" w:hAnsi="arial" w:cs="arial"/>
          <w:color w:val="000000"/>
          <w:sz w:val="20"/>
          <w:lang w:val="en-US" w:eastAsia="en-US" w:bidi="ar-SA"/>
        </w:rPr>
        <w:t xml:space="preserve"> at para. 18). However, in the circumstance of the plaintiff's failure to yield the right of way, </w:t>
      </w:r>
      <w:r>
        <w:rPr>
          <w:rFonts w:ascii="arial" w:eastAsia="arial" w:hAnsi="arial" w:cs="arial"/>
          <w:color w:val="000000"/>
          <w:sz w:val="20"/>
          <w:u w:val="single"/>
          <w:lang w:val="en-US" w:eastAsia="en-US" w:bidi="ar-SA"/>
        </w:rPr>
        <w:t>he must establish that, after the defendant became aware that the plaintiff was proceeding onto the crosswalk, the defendant had sufficient opportunity to avoid the accident of which a reasonably careful and skilled driver would have availed himself (Hadden, at paras. 67-68). The plaintiff must establish that he was a recognizable hazard and that his actions left the defendant with enough time and distance to see and avoid striking him</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Dobre</w:t>
      </w:r>
      <w:r>
        <w:rPr>
          <w:rFonts w:ascii="arial" w:eastAsia="arial" w:hAnsi="arial" w:cs="arial"/>
          <w:color w:val="000000"/>
          <w:sz w:val="20"/>
          <w:lang w:val="en-US" w:eastAsia="en-US" w:bidi="ar-SA"/>
        </w:rPr>
        <w:t xml:space="preserve"> at para. 34).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xml:space="preserve">  Just as Dillon J. concluded in </w:t>
      </w:r>
      <w:r>
        <w:rPr>
          <w:rFonts w:ascii="arial" w:eastAsia="arial" w:hAnsi="arial" w:cs="arial"/>
          <w:i/>
          <w:color w:val="000000"/>
          <w:sz w:val="20"/>
          <w:lang w:val="en-US" w:eastAsia="en-US" w:bidi="ar-SA"/>
        </w:rPr>
        <w:t>Dhanoya</w:t>
      </w:r>
      <w:r>
        <w:rPr>
          <w:rFonts w:ascii="arial" w:eastAsia="arial" w:hAnsi="arial" w:cs="arial"/>
          <w:color w:val="000000"/>
          <w:sz w:val="20"/>
          <w:lang w:val="en-US" w:eastAsia="en-US" w:bidi="ar-SA"/>
        </w:rPr>
        <w:t>, I see nothing in the evidence to support that Raj Jeyaratnam was negligent in terms of taking action to stop and avoid a collision. He had spent some time before making the turn ensuring that his intended path of travel was clear of both vehicles and bicycles travelling eastbound on Broadway Avenue and any pedestrians who might have been crossing between the Broadway Avenue sidewalks at Guelph Street; he was travelling at a safe speed; and, there is no evidence that he was distracted by anything happening at the time, causing him to fail to notice Mr. Davis before 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I conclude that it is more likely that Mr. Davis' sudden presence on the sidewalk leading to Guelph Street was caused by him being shielded from Raj Jeyaratnam's view in some way by the truck that was parked on the side of the road just before the intersection and the shading on the sidewalk at that time of the day. In that event, Raj Jeyaratnam would have had no way of knowing that Mr. Davis was travelling on the sidewalk until he suddenly appeared as the vehicle was making the left turn. I accept the defence evidence that Mr. Davis' presence on the sidewalk, where he could not have been expected, was a surprise to Raj Jeyaratnam.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xml:space="preserve">  I accept and conclude that, when he became aware of Mr. Davis on his bicycle and that Mr. Davis was about to travel in his path, Raj Jeyaratnam applied his brakes as soon as he reasonably could have and came to a stop. In </w:t>
      </w:r>
      <w:r>
        <w:rPr>
          <w:rFonts w:ascii="arial" w:eastAsia="arial" w:hAnsi="arial" w:cs="arial"/>
          <w:i/>
          <w:color w:val="000000"/>
          <w:sz w:val="20"/>
          <w:lang w:val="en-US" w:eastAsia="en-US" w:bidi="ar-SA"/>
        </w:rPr>
        <w:t>Dhanoya</w:t>
      </w:r>
      <w:r>
        <w:rPr>
          <w:rFonts w:ascii="arial" w:eastAsia="arial" w:hAnsi="arial" w:cs="arial"/>
          <w:color w:val="000000"/>
          <w:sz w:val="20"/>
          <w:lang w:val="en-US" w:eastAsia="en-US" w:bidi="ar-SA"/>
        </w:rPr>
        <w:t>, Dillon J. concluded at paras. 17-18 that the defendant did not have sufficient opportunity to stop in order to avoid the accident which resulted in an impact. Here, Raj Jeyaratnam did manage to avoid a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Similarly, I conclude that Raj Jeyaratnam reasonably came to a stop as soon as he was able to. I see no basis upon which Mr. Davis can now second guess that matter so as to suggest that the vehicle could have stopped at some earlier point to avoid Mr. Davis being startled and jumping off the bicycle.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When Mr. Davis was riding his bicycle on the sidewalk and about to cross Guelph Street, he should have been well aware that vehicles could be turning left onto Guelph Street and that they would not likely anticipate the movement of bicycles along the sidewalk. He should also have been aware that he was blocked from view by reason of vehicles parked on the street and that his presence just before or at Guelph Street would be sudden from the vantage point of left turning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If nothing else, Mr. Davis should have stopped or even just looked and slowed down before he moved off the sidewalk. If he had done so, he could have made eye contact with Raj Jeyaratnam to make sure he had been seen so as to allow the vehicle to slow or stop and allow him to cross the street safely. He could also just have stopped at Guelph Street and allowed the Jeyaratnam vehicle to complete its left turn before he continued on his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xml:space="preserve">  The facts in this case as to Mr. Davis' sudden appearance before the Jeyaratnam vehicle are similar to those considered in </w:t>
      </w:r>
      <w:r>
        <w:rPr>
          <w:rFonts w:ascii="arial" w:eastAsia="arial" w:hAnsi="arial" w:cs="arial"/>
          <w:i/>
          <w:color w:val="000000"/>
          <w:sz w:val="20"/>
          <w:lang w:val="en-US" w:eastAsia="en-US" w:bidi="ar-SA"/>
        </w:rPr>
        <w:t>Ivanoff v. Bensmiller</w:t>
      </w:r>
      <w:r>
        <w:rPr>
          <w:rFonts w:ascii="arial" w:eastAsia="arial" w:hAnsi="arial" w:cs="arial"/>
          <w:color w:val="000000"/>
          <w:sz w:val="20"/>
          <w:lang w:val="en-US" w:eastAsia="en-US" w:bidi="ar-SA"/>
        </w:rPr>
        <w:t xml:space="preserve">, </w:t>
      </w:r>
      <w:hyperlink r:id="rId69" w:history="1">
        <w:r>
          <w:rPr>
            <w:rFonts w:ascii="arial" w:eastAsia="arial" w:hAnsi="arial" w:cs="arial"/>
            <w:i/>
            <w:color w:val="0077CC"/>
            <w:sz w:val="20"/>
            <w:u w:val="single"/>
            <w:shd w:val="clear" w:color="auto" w:fill="FFFFFF"/>
            <w:lang w:val="en-US" w:eastAsia="en-US" w:bidi="ar-SA"/>
          </w:rPr>
          <w:t>2002 BCCA 173</w:t>
        </w:r>
      </w:hyperlink>
      <w:r>
        <w:rPr>
          <w:rFonts w:ascii="arial" w:eastAsia="arial" w:hAnsi="arial" w:cs="arial"/>
          <w:color w:val="000000"/>
          <w:sz w:val="20"/>
          <w:lang w:val="en-US" w:eastAsia="en-US" w:bidi="ar-SA"/>
        </w:rPr>
        <w:t xml:space="preserve">. The court upheld the trial judge's findings and finding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 (para. 7) based on the facts set out in the trial judges' reasons: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However, I also find that the plaintiff was at fault. </w:t>
      </w:r>
      <w:r>
        <w:rPr>
          <w:rFonts w:ascii="arial" w:eastAsia="arial" w:hAnsi="arial" w:cs="arial"/>
          <w:color w:val="000000"/>
          <w:sz w:val="20"/>
          <w:u w:val="single"/>
          <w:lang w:val="en-US" w:eastAsia="en-US" w:bidi="ar-SA"/>
        </w:rPr>
        <w:t>He knew that riding his bicycle on the left facing traffic was an unusual manoeuvre</w:t>
      </w:r>
      <w:r>
        <w:rPr>
          <w:rFonts w:ascii="arial" w:eastAsia="arial" w:hAnsi="arial" w:cs="arial"/>
          <w:color w:val="000000"/>
          <w:sz w:val="20"/>
          <w:lang w:val="en-US" w:eastAsia="en-US" w:bidi="ar-SA"/>
        </w:rPr>
        <w:t xml:space="preserve">. He chose to do so for his own convenience. ... Having chosen to depart from the usual pattern, I find that the plaintiff had a duty to take greater care in travelling on the wrong side of the road. I would </w:t>
      </w:r>
      <w:r>
        <w:rPr>
          <w:rFonts w:ascii="arial" w:eastAsia="arial" w:hAnsi="arial" w:cs="arial"/>
          <w:color w:val="000000"/>
          <w:sz w:val="20"/>
          <w:u w:val="single"/>
          <w:lang w:val="en-US" w:eastAsia="en-US" w:bidi="ar-SA"/>
        </w:rPr>
        <w:t>expect him to know that other users of the road may be surprised by his presence there and would expect him to proceed cautiously as a result</w:t>
      </w:r>
      <w:r>
        <w:rPr>
          <w:rFonts w:ascii="arial" w:eastAsia="arial" w:hAnsi="arial" w:cs="arial"/>
          <w:color w:val="000000"/>
          <w:sz w:val="20"/>
          <w:lang w:val="en-US" w:eastAsia="en-US" w:bidi="ar-SA"/>
        </w:rPr>
        <w:t xml:space="preserve">. Rather than do that the plaintiff rode at a steady pace down the left shoulder. He says he did not see the defendant until the last minute. I do not accept that. Like the plaintiff, the defendant was there to be seen ahead of time. ... He did not proceed onto 27th without stopping. The plaintiff has provided </w:t>
      </w:r>
      <w:r>
        <w:rPr>
          <w:rFonts w:ascii="arial" w:eastAsia="arial" w:hAnsi="arial" w:cs="arial"/>
          <w:color w:val="000000"/>
          <w:sz w:val="20"/>
          <w:u w:val="single"/>
          <w:lang w:val="en-US" w:eastAsia="en-US" w:bidi="ar-SA"/>
        </w:rPr>
        <w:t>no explanation for why he did not see the defendant earlier and then proceed more slowly and cautiously until he made sure that the defendant saw him</w:t>
      </w:r>
      <w:r>
        <w:rPr>
          <w:rFonts w:ascii="arial" w:eastAsia="arial" w:hAnsi="arial" w:cs="arial"/>
          <w:color w:val="000000"/>
          <w:sz w:val="20"/>
          <w:lang w:val="en-US" w:eastAsia="en-US" w:bidi="ar-SA"/>
        </w:rPr>
        <w:t xml:space="preserve">. In my view, </w:t>
      </w:r>
      <w:r>
        <w:rPr>
          <w:rFonts w:ascii="arial" w:eastAsia="arial" w:hAnsi="arial" w:cs="arial"/>
          <w:color w:val="000000"/>
          <w:sz w:val="20"/>
          <w:u w:val="single"/>
          <w:lang w:val="en-US" w:eastAsia="en-US" w:bidi="ar-SA"/>
        </w:rPr>
        <w:t>having chosen to ride on the wrong side, it was incumbent on the plaintiff to take care that drivers see him in this unexpected location</w:t>
      </w:r>
      <w:r>
        <w:rPr>
          <w:rFonts w:ascii="arial" w:eastAsia="arial" w:hAnsi="arial" w:cs="arial"/>
          <w:color w:val="000000"/>
          <w:sz w:val="20"/>
          <w:lang w:val="en-US" w:eastAsia="en-US" w:bidi="ar-SA"/>
        </w:rPr>
        <w:t>. It was not good enough for him to simply assume that the defendant would stop when there was no assurance that the defendant had seen him, and he was approaching from this unusual position.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xml:space="preserve">  The Court's description of the plaintiff's actions in </w:t>
      </w:r>
      <w:r>
        <w:rPr>
          <w:rFonts w:ascii="arial" w:eastAsia="arial" w:hAnsi="arial" w:cs="arial"/>
          <w:i/>
          <w:color w:val="000000"/>
          <w:sz w:val="20"/>
          <w:lang w:val="en-US" w:eastAsia="en-US" w:bidi="ar-SA"/>
        </w:rPr>
        <w:t>Dhanoya</w:t>
      </w:r>
      <w:r>
        <w:rPr>
          <w:rFonts w:ascii="arial" w:eastAsia="arial" w:hAnsi="arial" w:cs="arial"/>
          <w:color w:val="000000"/>
          <w:sz w:val="20"/>
          <w:lang w:val="en-US" w:eastAsia="en-US" w:bidi="ar-SA"/>
        </w:rPr>
        <w:t>, leading to a finding that he was entirely at fault for the accident, also ring true here: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The plaintiff did not exercise a reasonable degree of care when he cycled into the crosswalk without looking for vehicles. He did not exercise the expected degree of care for his own safety. He assumed that there was no traffic and cycled into the crosswalk without looking. Had he looked, he would have seen the defendant's vehicle. Had he looked, the plaintiff would have made eye contact with Mr. Stephens who was alert to make contact. Had he looked, the plaintiff would not have proceeded into the crosswalk. Had he looked, this accident could have been avoided. The plaintiff is the author of his own misfortune.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Mr. Davis did not undertake any measures, let alone reasonable measures, to ensure that he was seen by vehicles who might be making such a left hand turn, particularly in light of the fact that he was acting in violation of the law by travelling on the sidewalk; as a result, he did not appreciate that the Jeyaratnam vehicle was turning into his path.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xml:space="preserve">  Mr. Davis did not exercise reasonable care by cycling on the sidewalk and entering Guelph Street from the sidewalk, in a manner that posed an immediate and unavoidable risk of collision with the Jeyaratnam vehicle. It was the breach of his statutory duty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his failure to exercise due care that caused the near collision with the Jeyaratnam vehicle that in turn caused him to startle and jump off his bicycle when there was, in fact, no need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While not necessary in light of my exclusion of Mr. Isse's written statement, in the context of the entire trial evidence, I will also briefly consider the ultimate reliability of Mr. Isse's statement if all aspects of it were to be admitted.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As the Court notes in Bradshaw at paras. 42-44, this is an entirely different analysis than that of the threshold reliability issue where the issue is only the trustworthiness of the statement. On the ultimate reliability issue, the matter is whether the statement should be given any weight, given a consideration of the statement in the context of the entire trial evidence: Khelawon at para. 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There are considerable concerns with the content of Mr. Isse's statement. Its exact meaning with regard to the two critical issues relating to liability is unclear. The first issue is the location of Mr. Davis and his bicycle, whether he was in the bike lane (Mr. Davis' version) or on the sidewalk (the defendants' version). Another critical factual issue is whether the Jeyaratnam vehicle struck Mr. Davis while he was on his bicycle (Mr. Davis' version) or whether Mr. Davis had jumped off the bicycle and only the bicycle carried on to hit the vehicle (the defendants' version).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With respect to these issues, Mr. Isse's evidence is far from clear:</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Isse says that he was behind the Jeyaratnam vehicle which was blocking his view of the cyclist. One would normally expect that as the Jeyaratnam vehicle moved off the Broadway Avenue lane, Mr. Isse would be looking forward to begin moving his taxi along the roadway. It is not clear what Mr. Isse's line of sight was when he says the Jeyaratnam vehicle moved across the eastbound lanes and "struck him";</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Isse's evidence is ambiguous as to the exact location of Mr. Davis upon impact. He says that it was "right in the middle of Guelph Street", and he was not sure if it was the curb or middle lane. This leaves open the possibility that Mr. Davis had come off the Broadway Avenue sidewalk and was proceeding across Guelph Street or that Mr. Davis was in the Broadway Avenue bike lane that crossed Guelph Street; and</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Isse's statement does not address the issue as to whether Mr. Davis was on his bicycle at the point of impact or whether he had jumped off seconds before he pushed his bicycle into the Jeyaratnam vehicle. His statement does refer to the cyclist hitting the ground, something that could arise in either scenario.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Having considered all of the trial evidence, and also considering the manner in which Mr. Isse's statement was obtained, and the ambiguities arising from the actual statement, I would have assigned no weight to the statement. Without cross-examination of Mr. Isse as to the true meaning of his statements, it would have been of little assistance in determining the issues as to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xml:space="preserve">  I conclude that Mr. Davis' actions were the sole cause of the accident and that he was negligent. To quote Dillon J. in </w:t>
      </w:r>
      <w:r>
        <w:rPr>
          <w:rFonts w:ascii="arial" w:eastAsia="arial" w:hAnsi="arial" w:cs="arial"/>
          <w:i/>
          <w:color w:val="000000"/>
          <w:sz w:val="20"/>
          <w:lang w:val="en-US" w:eastAsia="en-US" w:bidi="ar-SA"/>
        </w:rPr>
        <w:t>Dhanoya</w:t>
      </w:r>
      <w:r>
        <w:rPr>
          <w:rFonts w:ascii="arial" w:eastAsia="arial" w:hAnsi="arial" w:cs="arial"/>
          <w:color w:val="000000"/>
          <w:sz w:val="20"/>
          <w:lang w:val="en-US" w:eastAsia="en-US" w:bidi="ar-SA"/>
        </w:rPr>
        <w:t>, he was the author of his own misfortune.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Summary re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Given my conclusions on liability, Action No. M134574 is dismissed with costs in favour of the defendants. If any or both of the parties wish to seek a different costs result, they have liberty to apply. Any application should be filed within 45 days of the issuance of these reasons and I expect that counsel will then take reasonable steps after that time to set the matter down for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The issues arising with respect to the second accident (Action No. M158885) are considerably narrower than for the first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In this accident, Mr. Davis was travelling as a passenger in his friend, Rod Oliver's, vehicle on January 5, 2015 when it was rear-ended by another vehicle. Mr. Davis alleges that the defendant, Fatemah Alili, or another person driving her vehicle with her permission, caused this accident. The defendants dispute the allegations regarding identification of the person and vehicle that collided with Mr. Oliver's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There is little doubt that a collision occurred and I find that it did as a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xml:space="preserve">  I also conclude and find as a fact that Mr. Davis did sustain some very minor injuries as a result. It does not really matter to Mr. Davis who the tortfeasor was since s. 24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applies to provide compensation for Mr. Davis'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With respect to damages, the defence raises issue as to the severity of the impact and the extent of the injuries allegedly sustained by Mr. Davis as a result of this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Davis / Oliver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The accuracy of the events that evening have been assisted by reason that Mr. Oliver had a dash cam video recorder which was recording what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On January 5, 2015, Mr. Davis was a passenger in a front seat of Mr. Oliver's vehicle. The men were leaving Port Moody, BC after doing some stonework at a home in that community. They were travelling along Ioco Road about dinnertime, between 5:30-6:00 p.m. As is typically the case at that time of year and day, it was a dark and rainy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Mr. Oliver stopped the vehicle at some traffic lights on Ioco Road and he said something to the effect of "what is going on?" When Mr. Davis turned to his left to look backward, they were rear ended by another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Mr. Davis said he felt the collision and that it "snapped" his body forward. In his examination for discovery, he referred to his body moving, but not the wheels; rather, the vehicle just "rocked". Mr. Oliver describes the impact as a "jolt" and that the vehicle was "pushed".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Mr. Oliver exited the vehicle to speak to the driver in the lane immediately behind their vehicle. He later returned looking for a pen and paper, for the purpose of recording the driver and vehicle identification information as is normally done after an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When Mr. Oliver went up to the vehicle, he saw a woman looking at her lap with her hands on the steering wheel. Even though she came out of the vehicle at some point, she refused to provide her identification, saying that it "is nothing". This led Mr. Oliver to then make a written note of the vehicle and license number. That note refers to a white Buick with the license plate "536 WDR". In the video recording, Mr. Oliver makes reference to a Rendezvous.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Mr. Davis did not exit the vehicle and did not go back to look for any damage to either of the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Mr. Oliver returned to the vehicle about 1-2 minutes later and they continued to drive along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Mr. Oliver did not claim any injuries from the accident. He also could not attribute any specific damage to his vehicle, saying that he did not bother to make a claim with ICBC since there was already damage to the vehicle.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Alili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Ms. Alili is 58 years old and was therefore, about 54 years old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She is adamant that she was not involved in a motor vehicle accident on January 5, 2015 in Port Moody. She does not recall driving that evening and she has no recollection of another driver approaching her vehicle to talk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She acknowledges that, at the time of the accident, she was living in Port Moody. She also acknowledges then driving a light gray Buick Rendezvous with the license plate "536 WDR".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Sometime after January 5, 2015, Ms. Alili received a letter from ICBC about an accident. Later, an ICBC investigator came to her residence to inspect her Buick Rendezvous and take pictures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I do not find Ms. Alili to be a credible witness. She was very argumentative and defensive and I considered that she was being less than truthful in her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Liability re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xml:space="preserve">  Mr. Davis and Mr. Oliver were initially confused about their identification of the vehicle that had rear-ended their vehicle. They initially said that they had just passed this vehicle </w:t>
      </w:r>
      <w:r>
        <w:rPr>
          <w:rFonts w:ascii="arial" w:eastAsia="arial" w:hAnsi="arial" w:cs="arial"/>
          <w:i/>
          <w:color w:val="000000"/>
          <w:sz w:val="20"/>
          <w:lang w:val="en-US" w:eastAsia="en-US" w:bidi="ar-SA"/>
        </w:rPr>
        <w:t>before</w:t>
      </w:r>
      <w:r>
        <w:rPr>
          <w:rFonts w:ascii="arial" w:eastAsia="arial" w:hAnsi="arial" w:cs="arial"/>
          <w:color w:val="000000"/>
          <w:sz w:val="20"/>
          <w:lang w:val="en-US" w:eastAsia="en-US" w:bidi="ar-SA"/>
        </w:rPr>
        <w:t xml:space="preserve"> they were rear ended. However, after later discussing the matter between themselves and refreshing their recollection by watching the dash cam video, they said that it was a different vehicle and that this vehicle had passed them some five minutes </w:t>
      </w:r>
      <w:r>
        <w:rPr>
          <w:rFonts w:ascii="arial" w:eastAsia="arial" w:hAnsi="arial" w:cs="arial"/>
          <w:i/>
          <w:color w:val="000000"/>
          <w:sz w:val="20"/>
          <w:lang w:val="en-US" w:eastAsia="en-US" w:bidi="ar-SA"/>
        </w:rPr>
        <w:t>after</w:t>
      </w:r>
      <w:r>
        <w:rPr>
          <w:rFonts w:ascii="arial" w:eastAsia="arial" w:hAnsi="arial" w:cs="arial"/>
          <w:color w:val="000000"/>
          <w:sz w:val="20"/>
          <w:lang w:val="en-US" w:eastAsia="en-US" w:bidi="ar-SA"/>
        </w:rPr>
        <w:t xml:space="preserve"> the rear ending.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I acknowledge the defence's arguments to the effect that Mr. Davis and Mr. Oliver got together and tailored their evidence to fit the scenario that it was a Buick that hit them. However, having considered the matter, I have no such concerns, particularly given other support for their later and revised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Their revised scenario is supported by Mr. Davis' and Mr. Oliver's discussion on the recording where they refer, minutes after having been rear-ended, to seeing the woman drive by them on their right side such that Mr. Davis noticed that she was on her phone. In addition, the identification of the various vehicles in the video recording is supported by the report of Jakub Pokorny. Mr. Pokorny was asked to compare the characteristics of the two vehicles - the one originally identified and the later passing vehicle - to Ms. Alili's Buick Rendezvous. This analysis led Mr. Pokorny to conclude that the characteristics of the passing vehicle matched that of the Buick Rendezvous.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Considering the totality of the evidence, I conclude that Ms. Alili was the driver of the Buick Rendezvous when it rear ended Mr. Oliver's vehicle. I rely in particular on:</w:t>
      </w:r>
      <w:r>
        <w:rPr>
          <w:rFonts w:ascii="arial" w:eastAsia="arial" w:hAnsi="arial" w:cs="arial"/>
          <w:sz w:val="20"/>
          <w:lang w:val="en-US" w:eastAsia="en-US" w:bidi="ar-SA"/>
        </w:rPr>
        <w:cr/>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Oliver describes an interaction with a woman in the vehicle immediately behind him after the accident. His description of Ms. Alili - a short woman in her 50's with a medium build and with a Mediterranean or Middle-Eastern accent - corresponds to her appearance at this trial;</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Oliver made a contemporaneous note of the details of her vehicle - make and license number - immediately after the accident. Those details correspond directly to Ms. Alili's vehicle; and</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Minutes after their vehicle was rear ended, both Mr. Oliver and Mr. Davis noticed a vehicle pass them being driven by that same woman and in a vehicle with similar characteristics to the Buick Rendezvous.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Accordingly, I find that Ms. Alili was negligent in the operation of her vehicle which led to the collision with Mr. Oliver's vehicle.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Damages re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The degree of the impact is somewhat in dispute. The movement of the Oliver vehicle is apparent from the dash cam video. When both men are back in the vehicle and then drive away, neither of them asserts any injury; rather, they concentrate on their criticism of the woman driver who hit their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I conclude that Mr. Oliver exaggerated his description in referring to it as a "jolt", likely to assist the claim not of himself but that of his friend, Mr. Davis. I would describe it as a mild impact, rocking the car slightly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That said, the authorities are clear that even mild impacts can cause damage and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Mr. Davis said that, after the accident, he had a re-aggravation of his neck and back problems for a few days. There is no evidence from him that he missed any work or suffered any other consequences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No particular medical evidence was directed at the consequences of the second accident, save for the expert report dated January 29, 2019 of Dr. Malcolm Rondeau (his family doctor) confirming that an examination the next day revealed "severe" aggravation of Mr. Davis' pre-existing condition. This lack of specifics regarding this accident is understandable because the focus at this trial was significantly toward substantiating Mr. Davis' alleged injuries arising from the first accident, in the face of substantial issues raised by the defence as to what those injuries were and whether they arose from the first accident or other pre and post events in his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Mr. Davis' counsel in argument suggested that $10,000 was an appropriate amount of non-pecuniary damage arising from the second accident. The defence submits that non-pecuniary damages should not be awarded or, in the alternative, only minimal damages should be awarded in light of the very gentle nature of the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I conclude that Mr. Davis did suffer minor injuries which aggravated the pre-existing condition in his neck and back only slightly and only for a few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In the circumstances, I award $10,000 for non-pecuniary damages for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Mr. Davis is granted judgment against Ms. Alili in Action No. M15885 in the amount of $10,000 and with costs in his favour. As with the first accident, if any or both of the parties wish to seek a different costs result, they have liberty to apply within 45 days of the issuance of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S.C. FITZPATRICK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5" style="position:absolute;z-index:2517626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0"/>
          <w:headerReference w:type="default" r:id="rId71"/>
          <w:footerReference w:type="even" r:id="rId72"/>
          <w:footerReference w:type="default" r:id="rId73"/>
          <w:headerReference w:type="first" r:id="rId74"/>
          <w:footerReference w:type="first" r:id="rId7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6" w:history="1">
        <w:r>
          <w:rPr>
            <w:rFonts w:ascii="arial" w:eastAsia="arial" w:hAnsi="arial" w:cs="arial"/>
            <w:b/>
            <w:bCs/>
            <w:i/>
            <w:color w:val="0077CC"/>
            <w:kern w:val="32"/>
            <w:sz w:val="28"/>
            <w:szCs w:val="32"/>
            <w:u w:val="single"/>
            <w:shd w:val="clear" w:color="auto" w:fill="FFFFFF"/>
            <w:lang w:val="en-US" w:eastAsia="en-US" w:bidi="ar-SA"/>
          </w:rPr>
          <w:t>Deline v. Vancouver Talmud Torah Assn., [2020] B.C.J. No. 274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G.B. Gomery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20, 2019; February 21, 2020.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February 21, 2020.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S196137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[2020] B.C.J. No. 274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2020 BCSC 251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Toni Eugene Deline, Plaintiff, and Vancouver Talmud Torah Association,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(46 paras.)</w:t>
      </w:r>
    </w:p>
    <w:p>
      <w:pPr>
        <w:jc w:val="both"/>
        <w:rPr>
          <w:rFonts w:ascii="arial" w:eastAsia="arial" w:hAnsi="arial" w:cs="arial"/>
          <w:sz w:val="20"/>
          <w:lang w:val="en-US" w:eastAsia="en-US" w:bidi="ar-SA"/>
        </w:rPr>
      </w:pPr>
      <w:bookmarkStart w:id="12" w:name="Counsel_2"/>
      <w:bookmarkEnd w:id="1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6" style="position:absolute;z-index:251662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appearing on his own behalf: T. Deline.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L. Tsang.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 w:name="Judgment_2"/>
      <w:bookmarkEnd w:id="13"/>
      <w:r>
        <w:pict>
          <v:line id="_x0000_s1037" style="position:absolute;z-index:25171353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72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 w:name="G.B. GOMERY J. (orally)"/>
            <w:bookmarkEnd w:id="14"/>
            <w:r>
              <w:rPr>
                <w:rFonts w:ascii="arial" w:eastAsia="arial" w:hAnsi="arial" w:cs="arial"/>
                <w:b/>
                <w:color w:val="000000"/>
                <w:sz w:val="30"/>
                <w:lang w:val="en-US" w:eastAsia="en-US" w:bidi="ar-SA"/>
              </w:rPr>
              <w:t>G.B. GOMERY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Mr. Deline, is self-employed as a chess instructor. The defendant Vancouver Talmud Torah Association ("VTT") operates a Jewish day school in Vancouver. For many years, Mr. Deline contracted with VTT to provide chess instruction to its students on a part-time basis. The last time they had this arrangement was in the 2014/2015 school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July 2016, VTT invited Mr. Deline to provide chess instruction again in the 2016/2017 school year. Mr. Deline advised that he could not commit to it and offered to try to find someone who could. VTT invited him to get in touch if he happened to find someone who was interested.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Months later, Mr. Deline learned that an acquaintance, Mr. Chan, was considering the position at VTT. Mr. Deline did not have a good opinion of Mr. Chan. Soon afterwards, he received a text that he thought came from Mr. Chan. In fact, it came from a number that differed from Mr. Chan's telephone number by one digit, but Mr. Deline did not notice the discrepancy. The text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I'm terribly sorry Toni, but I can no longer vouch for the Jewish schooling as I recently converted to the faith of Islam.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Deline viewed this text as confirming that Mr. Chan should not work for VTT. On January 2 or 3, 2017, he showed Ms. Shecter of VTT the text message. Ms. Shecter took a photo of the text message and telephoned Mr. Chan to discuss it. During the call, Ms. Shecter noticed the discrepancy in telephone numbers. Mr. Chan told her that the telephone number from which the text was sent was not his number, and that he had not sent the text. She believed Mr. Chan.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VTT had retained Mr. Chan as a chess instructor, and it was not persuaded that it should terminate its relationship with him. It did not reply to a succession of emails from Mr. Deline offering to find another chess instructor. In the spring of 2017, Mr. Deline wrote to the head of school, Ms. Lowenstein, expressing his concerns about Mr. Chan. He described Mr. Chan as "a snake in the grass". He quoted "Chan's anti-Jewish text". In further correspondence, he told Ms. Lowenstein that he planned to sue Mr. Chan and expected that VTT would be named as a third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Lowenstein replied: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you know, VTT engaged James Chan as our one hour weekly chess instructor after you declined to continue providing after school instruction for our students due to other commitments. We have investigated the concerns raised in your emails, and have determined that to the extent they relate to VTT, they are unfounded. In particular, </w:t>
      </w:r>
      <w:r>
        <w:rPr>
          <w:rFonts w:ascii="arial" w:eastAsia="arial" w:hAnsi="arial" w:cs="arial"/>
          <w:color w:val="000000"/>
          <w:sz w:val="20"/>
          <w:u w:val="single"/>
          <w:lang w:val="en-US" w:eastAsia="en-US" w:bidi="ar-SA"/>
        </w:rPr>
        <w:t>we are satisfied that James did not send the text message described in your email</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Deline now accepts that VTT was correct and he was mistaken. Mr. Chan was not the author of the text message.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Mr. Deline commenced this action against VTT on July 19, 2019. He claims against VTT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theory of the claim is that VTT owed Mr. Deline a duty of care while he was helping it to find a replacement chess instructor, and it breached that duty of care by failing to advise him of the discrepancy in telephone numbers forthwith upon learning of it in early January 2017. Mr. Deline maintains that he has suffered loss and damage including money paid to a forensic investigator to establish that the text was not something he had personally concocted. He says that he would not have pursued the matter had VTT disclosed the discrepancy promptly.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VTT applied for summary judgment dismissing the action and the application came on for hearing before me on November 20, 2019. In the course of argument, Mr. Deline advised that he also intended to pursue claims against VTT and Ms. Lowenstein for defamation. In order that all of Mr. Deline's claims arising out of this incident may be addressed at once, I adjourned VTT's application for judgment and required Mr. Deline to deliver a notice of application seeking leave to amend and join Ms. Lowenstein as a defendant within two weeks. Mr. Deline did so and the application was argued before me today.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Mr. Deline's proposed defamation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Deline seeks leave to join Ms. Lowenstein, Ms. Shecter, and four unknown persons as defendants and to claim against all of the defendants for defamation. The proposed defamation claim centres on reports made to the Vancouver Police Department (the "VPD").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There is no dispute that the proposed claim is closely connected to the circumstances that found Mr. Deline's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The application should be allowed if the proposed pleading states a reasonable cause of action and otherwise complies with the rules governing pleadings. VTT says that it does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test of a reasonable cause of action is settled. The facts pleaded are taken to be true, and the pleading must be read generously; the claim will only fail if it is plain and obvious that is has no reasonable chance of success; </w:t>
      </w:r>
      <w:r>
        <w:rPr>
          <w:rFonts w:ascii="arial" w:eastAsia="arial" w:hAnsi="arial" w:cs="arial"/>
          <w:i/>
          <w:color w:val="000000"/>
          <w:sz w:val="20"/>
          <w:lang w:val="en-US" w:eastAsia="en-US" w:bidi="ar-SA"/>
        </w:rPr>
        <w:t>R. v. Imperial Tobacco Canada Ltd.</w:t>
      </w:r>
      <w:r>
        <w:rPr>
          <w:rFonts w:ascii="arial" w:eastAsia="arial" w:hAnsi="arial" w:cs="arial"/>
          <w:color w:val="000000"/>
          <w:sz w:val="20"/>
          <w:lang w:val="en-US" w:eastAsia="en-US" w:bidi="ar-SA"/>
        </w:rPr>
        <w:t xml:space="preserve">, </w:t>
      </w:r>
      <w:hyperlink r:id="rId77" w:history="1">
        <w:r>
          <w:rPr>
            <w:rFonts w:ascii="arial" w:eastAsia="arial" w:hAnsi="arial" w:cs="arial"/>
            <w:i/>
            <w:color w:val="0077CC"/>
            <w:sz w:val="20"/>
            <w:u w:val="single"/>
            <w:shd w:val="clear" w:color="auto" w:fill="FFFFFF"/>
            <w:lang w:val="en-US" w:eastAsia="en-US" w:bidi="ar-SA"/>
          </w:rPr>
          <w:t>2011 SCC 42</w:t>
        </w:r>
      </w:hyperlink>
      <w:r>
        <w:rPr>
          <w:rFonts w:ascii="arial" w:eastAsia="arial" w:hAnsi="arial" w:cs="arial"/>
          <w:color w:val="000000"/>
          <w:sz w:val="20"/>
          <w:lang w:val="en-US" w:eastAsia="en-US" w:bidi="ar-SA"/>
        </w:rPr>
        <w:t xml:space="preserve"> at para. 17. At para. 22, Chief Justice McLachlin, giving judgment for the court, observed: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incumbent on the claimant to clearly plead the facts upon which it relies in making its claim. A claimant is not entitled to rely on the possibility that new facts may turn up as the case progresses. The claimant may not be in a position to prove the facts at the time of the motion. It may only hope to be able to prove them. But plead them it must. The facts pleaded are the firm basis upon which the possibility of success of the claim must be evaluated.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Defamation proceedings are technical in nature and pleading dependent; </w:t>
      </w:r>
      <w:r>
        <w:rPr>
          <w:rFonts w:ascii="arial" w:eastAsia="arial" w:hAnsi="arial" w:cs="arial"/>
          <w:i/>
          <w:color w:val="000000"/>
          <w:sz w:val="20"/>
          <w:lang w:val="en-US" w:eastAsia="en-US" w:bidi="ar-SA"/>
        </w:rPr>
        <w:t>Nu Fibre Inc. v. Ishkanian</w:t>
      </w:r>
      <w:r>
        <w:rPr>
          <w:rFonts w:ascii="arial" w:eastAsia="arial" w:hAnsi="arial" w:cs="arial"/>
          <w:color w:val="000000"/>
          <w:sz w:val="20"/>
          <w:lang w:val="en-US" w:eastAsia="en-US" w:bidi="ar-SA"/>
        </w:rPr>
        <w:t xml:space="preserve">, </w:t>
      </w:r>
      <w:hyperlink r:id="rId78" w:history="1">
        <w:r>
          <w:rPr>
            <w:rFonts w:ascii="arial" w:eastAsia="arial" w:hAnsi="arial" w:cs="arial"/>
            <w:i/>
            <w:color w:val="0077CC"/>
            <w:sz w:val="20"/>
            <w:u w:val="single"/>
            <w:shd w:val="clear" w:color="auto" w:fill="FFFFFF"/>
            <w:lang w:val="en-US" w:eastAsia="en-US" w:bidi="ar-SA"/>
          </w:rPr>
          <w:t>2013 BCSC 1255</w:t>
        </w:r>
      </w:hyperlink>
      <w:r>
        <w:rPr>
          <w:rFonts w:ascii="arial" w:eastAsia="arial" w:hAnsi="arial" w:cs="arial"/>
          <w:color w:val="000000"/>
          <w:sz w:val="20"/>
          <w:lang w:val="en-US" w:eastAsia="en-US" w:bidi="ar-SA"/>
        </w:rPr>
        <w:t xml:space="preserve"> at para. 20. The law requires that a pleading of defamation specify "... the publication made by each defendant, the words published by that defendant, ... the time and place of the publication, the manner of the publication and to whom the publication was made. ..."; </w:t>
      </w:r>
      <w:r>
        <w:rPr>
          <w:rFonts w:ascii="arial" w:eastAsia="arial" w:hAnsi="arial" w:cs="arial"/>
          <w:i/>
          <w:color w:val="000000"/>
          <w:sz w:val="20"/>
          <w:lang w:val="en-US" w:eastAsia="en-US" w:bidi="ar-SA"/>
        </w:rPr>
        <w:t>Christian Advocacy Society of Greater Vancouver v. Arthur</w:t>
      </w:r>
      <w:r>
        <w:rPr>
          <w:rFonts w:ascii="arial" w:eastAsia="arial" w:hAnsi="arial" w:cs="arial"/>
          <w:color w:val="000000"/>
          <w:sz w:val="20"/>
          <w:lang w:val="en-US" w:eastAsia="en-US" w:bidi="ar-SA"/>
        </w:rPr>
        <w:t xml:space="preserve">, </w:t>
      </w:r>
      <w:hyperlink r:id="rId79" w:history="1">
        <w:r>
          <w:rPr>
            <w:rFonts w:ascii="arial" w:eastAsia="arial" w:hAnsi="arial" w:cs="arial"/>
            <w:i/>
            <w:color w:val="0077CC"/>
            <w:sz w:val="20"/>
            <w:u w:val="single"/>
            <w:shd w:val="clear" w:color="auto" w:fill="FFFFFF"/>
            <w:lang w:val="en-US" w:eastAsia="en-US" w:bidi="ar-SA"/>
          </w:rPr>
          <w:t>2013 BCSC 1542</w:t>
        </w:r>
      </w:hyperlink>
      <w:r>
        <w:rPr>
          <w:rFonts w:ascii="arial" w:eastAsia="arial" w:hAnsi="arial" w:cs="arial"/>
          <w:color w:val="000000"/>
          <w:sz w:val="20"/>
          <w:lang w:val="en-US" w:eastAsia="en-US" w:bidi="ar-SA"/>
        </w:rPr>
        <w:t xml:space="preserve"> at para. 108, citing </w:t>
      </w:r>
      <w:r>
        <w:rPr>
          <w:rFonts w:ascii="arial" w:eastAsia="arial" w:hAnsi="arial" w:cs="arial"/>
          <w:i/>
          <w:color w:val="000000"/>
          <w:sz w:val="20"/>
          <w:lang w:val="en-US" w:eastAsia="en-US" w:bidi="ar-SA"/>
        </w:rPr>
        <w:t>Cooper v. Hennan</w:t>
      </w:r>
      <w:r>
        <w:rPr>
          <w:rFonts w:ascii="arial" w:eastAsia="arial" w:hAnsi="arial" w:cs="arial"/>
          <w:color w:val="000000"/>
          <w:sz w:val="20"/>
          <w:lang w:val="en-US" w:eastAsia="en-US" w:bidi="ar-SA"/>
        </w:rPr>
        <w:t xml:space="preserve">, </w:t>
      </w:r>
      <w:hyperlink r:id="rId80" w:history="1">
        <w:r>
          <w:rPr>
            <w:rFonts w:ascii="arial" w:eastAsia="arial" w:hAnsi="arial" w:cs="arial"/>
            <w:i/>
            <w:color w:val="0077CC"/>
            <w:sz w:val="20"/>
            <w:u w:val="single"/>
            <w:shd w:val="clear" w:color="auto" w:fill="FFFFFF"/>
            <w:lang w:val="en-US" w:eastAsia="en-US" w:bidi="ar-SA"/>
          </w:rPr>
          <w:t>2005 ABQB 709</w:t>
        </w:r>
      </w:hyperlink>
      <w:r>
        <w:rPr>
          <w:rFonts w:ascii="arial" w:eastAsia="arial" w:hAnsi="arial" w:cs="arial"/>
          <w:color w:val="000000"/>
          <w:sz w:val="20"/>
          <w:lang w:val="en-US" w:eastAsia="en-US" w:bidi="ar-SA"/>
        </w:rPr>
        <w:t xml:space="preserve"> at para. 18 and </w:t>
      </w:r>
      <w:r>
        <w:rPr>
          <w:rFonts w:ascii="arial" w:eastAsia="arial" w:hAnsi="arial" w:cs="arial"/>
          <w:i/>
          <w:color w:val="000000"/>
          <w:sz w:val="20"/>
          <w:lang w:val="en-US" w:eastAsia="en-US" w:bidi="ar-SA"/>
        </w:rPr>
        <w:t>Brown on Defamation</w:t>
      </w:r>
      <w:r>
        <w:rPr>
          <w:rFonts w:ascii="arial" w:eastAsia="arial" w:hAnsi="arial" w:cs="arial"/>
          <w:color w:val="000000"/>
          <w:sz w:val="20"/>
          <w:lang w:val="en-US" w:eastAsia="en-US" w:bidi="ar-SA"/>
        </w:rPr>
        <w:t xml:space="preserve"> (loose-leaf) 2nd ed., vol. 1 (Toronto: Carswell, 1999) at 19-31.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Defamation is not one tort but two: libel and slander are different. Libel involves a defamatory communication by written words. Slander involves a defamatory communication by spoken words, though if the spoken words are broadcast, the slander becomes a libel; </w:t>
      </w:r>
      <w:r>
        <w:rPr>
          <w:rFonts w:ascii="arial" w:eastAsia="arial" w:hAnsi="arial" w:cs="arial"/>
          <w:i/>
          <w:color w:val="000000"/>
          <w:sz w:val="20"/>
          <w:lang w:val="en-US" w:eastAsia="en-US" w:bidi="ar-SA"/>
        </w:rPr>
        <w:t>Libel and Slander Act</w:t>
      </w:r>
      <w:r>
        <w:rPr>
          <w:rFonts w:ascii="arial" w:eastAsia="arial" w:hAnsi="arial" w:cs="arial"/>
          <w:color w:val="000000"/>
          <w:sz w:val="20"/>
          <w:lang w:val="en-US" w:eastAsia="en-US" w:bidi="ar-SA"/>
        </w:rPr>
        <w:t xml:space="preserve">, </w:t>
      </w:r>
      <w:hyperlink r:id="rId81" w:history="1">
        <w:r>
          <w:rPr>
            <w:rFonts w:ascii="arial" w:eastAsia="arial" w:hAnsi="arial" w:cs="arial"/>
            <w:i/>
            <w:color w:val="0077CC"/>
            <w:sz w:val="20"/>
            <w:u w:val="single"/>
            <w:shd w:val="clear" w:color="auto" w:fill="FFFFFF"/>
            <w:lang w:val="en-US" w:eastAsia="en-US" w:bidi="ar-SA"/>
          </w:rPr>
          <w:t>R.S.B.C. 1996, c. 263, s. 2</w:t>
        </w:r>
      </w:hyperlink>
      <w:r>
        <w:rPr>
          <w:rFonts w:ascii="arial" w:eastAsia="arial" w:hAnsi="arial" w:cs="arial"/>
          <w:color w:val="000000"/>
          <w:sz w:val="20"/>
          <w:lang w:val="en-US" w:eastAsia="en-US" w:bidi="ar-SA"/>
        </w:rPr>
        <w:t xml:space="preserve">. Libel is actionable without proof of special damage. Slander requires proof of special damage which must be pleaded "unless the words are actionable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xml:space="preserve"> because they accuse persons of unfitness in the way of their work or trade, charge them with a criminal offence, impute to them a loathsome or contagious disease or, in the case of a woman, impute to her unchastity"; </w:t>
      </w:r>
      <w:r>
        <w:rPr>
          <w:rFonts w:ascii="arial" w:eastAsia="arial" w:hAnsi="arial" w:cs="arial"/>
          <w:i/>
          <w:color w:val="000000"/>
          <w:sz w:val="20"/>
          <w:lang w:val="en-US" w:eastAsia="en-US" w:bidi="ar-SA"/>
        </w:rPr>
        <w:t>Brown on Defamation</w:t>
      </w:r>
      <w:r>
        <w:rPr>
          <w:rFonts w:ascii="arial" w:eastAsia="arial" w:hAnsi="arial" w:cs="arial"/>
          <w:color w:val="000000"/>
          <w:sz w:val="20"/>
          <w:lang w:val="en-US" w:eastAsia="en-US" w:bidi="ar-SA"/>
        </w:rPr>
        <w:t xml:space="preserve"> at 1-56; </w:t>
      </w:r>
      <w:r>
        <w:rPr>
          <w:rFonts w:ascii="arial" w:eastAsia="arial" w:hAnsi="arial" w:cs="arial"/>
          <w:i/>
          <w:color w:val="000000"/>
          <w:sz w:val="20"/>
          <w:lang w:val="en-US" w:eastAsia="en-US" w:bidi="ar-SA"/>
        </w:rPr>
        <w:t>Sahyoun v. Ho</w:t>
      </w:r>
      <w:r>
        <w:rPr>
          <w:rFonts w:ascii="arial" w:eastAsia="arial" w:hAnsi="arial" w:cs="arial"/>
          <w:color w:val="000000"/>
          <w:sz w:val="20"/>
          <w:lang w:val="en-US" w:eastAsia="en-US" w:bidi="ar-SA"/>
        </w:rPr>
        <w:t xml:space="preserve">, </w:t>
      </w:r>
      <w:hyperlink r:id="rId82" w:history="1">
        <w:r>
          <w:rPr>
            <w:rFonts w:ascii="arial" w:eastAsia="arial" w:hAnsi="arial" w:cs="arial"/>
            <w:i/>
            <w:color w:val="0077CC"/>
            <w:sz w:val="20"/>
            <w:u w:val="single"/>
            <w:shd w:val="clear" w:color="auto" w:fill="FFFFFF"/>
            <w:lang w:val="en-US" w:eastAsia="en-US" w:bidi="ar-SA"/>
          </w:rPr>
          <w:t>2015 BCSC 392</w:t>
        </w:r>
      </w:hyperlink>
      <w:r>
        <w:rPr>
          <w:rFonts w:ascii="arial" w:eastAsia="arial" w:hAnsi="arial" w:cs="arial"/>
          <w:color w:val="000000"/>
          <w:sz w:val="20"/>
          <w:lang w:val="en-US" w:eastAsia="en-US" w:bidi="ar-SA"/>
        </w:rPr>
        <w:t xml:space="preserve"> at para. 116. I should add that social norms have changed enough that I doubt that slanderous imputations of unchastity are still actionable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For the following reasons, I conclude that Mr. Deline's proposed pleading is deficient and fails to state a reasonable cause of action against VTT or any of the proposed defendants. I begin with the claim against VTT.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proposed amendments refer broadly to defamatory comments by VTT and the proposed defendants. They only particularize the defamation by referring to paragraphs in the existing pleading as follows:</w:t>
      </w:r>
      <w:r>
        <w:rPr>
          <w:rFonts w:ascii="arial" w:eastAsia="arial" w:hAnsi="arial" w:cs="arial"/>
          <w:sz w:val="20"/>
          <w:lang w:val="en-US" w:eastAsia="en-US" w:bidi="ar-SA"/>
        </w:rPr>
        <w:cr/>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occasions of the defamatory words and actions formed a pattern of misconduct and include, but are not necessarily limited to, those referred to heretofore in paras. 14,19, 20 and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reference in the proposed paragraph 47 to "a pattern of misconduct" does not satisfy the requirements of a defamation pleading.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Paragraphs 14, 19, 20 and 23 of the existing pleading state:</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April 6, 2017 VTT contacted the Vancouver Police Department, hereafter the VPD, accusing the Plaintiff of libel. VTT also falsely asserted or inferred that the only possible reason the Plaintiff had raised complaints about Mr. Chan, was that the Plaintiff was mentally ill, paranoid and Islamophobic. VTT failed to adequately, or at ail, inform the VPD of the cited text, of VTTs discovery of the one-digit phone number difference, or of VTT's failure to advise the Plaintiff of their discovery of the one-digit difference. The investigating VPD officer, who did not contact the Plaintiff, tagged VPD File VA 2017-62974 as, "Mental Health Related".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or about, September 2017, the Plaintiff mailed a letter to a VTT teacher he has known since 1999, politely complaining VTT was withholding pertinent information about the cited text and leaving him no choice but legal action. The teacher showed the letter to VTT, who then either:</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truthfully and fully advised the teacher about the subject matters related to one-digit phone number difference and then colluded with said teacher to withhold pertinent information from the VPD while asserting the Plaintiff was paranoid, or, alternately,</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by withholding pertinent information deceived the teacher, inducing her into making a misleading police report which alleged the Plaintiff was paranoid.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October 4, 2017 VTT complained to the VPD that the Plaintiff was a paranoid Islamophobic who had harassed a VTT teacher (VPD File No. VA 2017-204316). Again, VTT failed to adequately, or at all, inform the VPD of the cited text, of VTTs discovery of the one-digit phone number difference, or of VTTs failure to advise the Plaintiff of their discovery of the one-digit difference.</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VTT circulated a security alert about the Plaintiff. The Plaintiff, is not now, nor has ever been, a danger to VTT or any person connected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Paragraphs 19 and 23 do not properly plead defamatory communications by VTT to a third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Paragraphs 14 and 20 provide the substance of alleged communications of defamatory words. Both paragraphs identify the publisher as VTT and the recipient as VPD. They provide the date and sets out the substance of allegedly defamatory communications. They do not state whether the alleged communication to VPD was oral or in writing. The proposed pleading does not identify whether the claim is for libel or slander. This is a fatal deficiency.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Reading between the lines of paragraphs 14 and 20, it appears likely that the alleged communications were oral and the claim is for slander. It is not specifically pleaded that the communications called into question Mr. Deline's fitness for his work or trade or were otherwise actionable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Accordingly, if the claim is for slander, it requires a plea of special damages. There is a pleading of special damages of $4,864.04 in expenses incurred by Mr. Deline to retain the forensic investigator and to retain a lawyer to send a letter to VTT. On the face of the pleading, neither expenditure had anything to do with what was said to VPD. These expenditures could not constitute special damages consequent on a slander and it follows that there is no proper pleading of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conclude that the proposed pleading does not state a reasonable cause of action against VTT.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As for proposed defendants John Doe #2 and Jane Doe #2, they are identified in paragraph 42 of the proposed pleading as the individuals who communicated to VPD. The claim against them fails with the failure of the claim against VTT.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As concerns the remaining proposed defendants, it is important to bear in mind that a pleading that a defendant is civilly responsible for defamatory words must specify how the defendant published the words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Proposed paragraph 41 states the claim against John Doe #1 and Jane Doe #1. It states:</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John Doe #1 and Jane Doe #1 are persons whose identities are currently unknown to the Plaintiff and who conducted the investigation referred to in Cathy Lowenstein's email to the Plaintiff dated April 7,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This is a reference to a communication pleaded at paragraph 15 of the present pleading, which states:</w:t>
      </w:r>
      <w:r>
        <w:rPr>
          <w:rFonts w:ascii="arial" w:eastAsia="arial" w:hAnsi="arial" w:cs="arial"/>
          <w:sz w:val="20"/>
          <w:lang w:val="en-US" w:eastAsia="en-US" w:bidi="ar-SA"/>
        </w:rPr>
        <w:cr/>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April 7, 2017 the VTT Head of School emailed the Plaintiff. She baldly stated Mr. Chan did not send the text the Plaintiff had "described". She withheld the one-digit phone number difference and made no reference whatsoever to any problem respecting any phone number. This began to cause the Plaintiff to think VTT might believe he had faked, fabricated, or had some other nefarious involvement with the anti-Semitic cited 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Ms. Lowenstein's email of April 7, 2017, is not allegedly defamatory. The proposed pleading does not identify John Doe #1 and Jane Doe #1 as participants in a defamatory communication.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proposed pleadings only mention Ms. Lowenstein and Ms. Shecter in a few places. First, it is alleged that Ms. Lowenstein sent Mr. Deline the email described in paragraph 15 of the existing pleading, but this email was not defamatory.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Second, it is alleged that Ms. Shecter "abetted the defamation by wilfully and materially misrepresenting her interactions to Jane Doe 1, John Doe 1 and others". This would not make Ms. Shecter a party to the allegedly defamatory communications pleaded in paragraphs 14 and 20, even if they formed part of a properly pleaded claim for defamation. It is not pleaded that Ms. Shecter's communications to John Doe 1 and Jane Doe 1 were themselves defamatory.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Finally, at proposed paragraph 48, the proposed pleading states:</w:t>
      </w:r>
      <w:r>
        <w:rPr>
          <w:rFonts w:ascii="arial" w:eastAsia="arial" w:hAnsi="arial" w:cs="arial"/>
          <w:sz w:val="20"/>
          <w:lang w:val="en-US" w:eastAsia="en-US" w:bidi="ar-SA"/>
        </w:rPr>
        <w:cr/>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acted with ill will and malice. They either knew the defamatory allegations were false or displayed a reckless disregard or indifference for the truth. The Defendants, jointly and severally, sought to wrongfully discredit the Plaintiff in order to protect the reputations of Defendants VTT, Lowenstein and Shecter respecting the hiring of Mr. Chan. The effort was headed by Defendant Lowenstein.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allegations that Ms. Lowenstein headed the effort and that she and Ms. Shechter "sought to wrongfully discredit" Mr. Deline fails to state how they actually participated in defaming Mr. Deline through allegedly defamatory communications to the VPD.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short, even if a claim for defamation were properly pleaded against VTT, John Doe #2, and Jane Doe #2, there would not be a properly pleaded claim against any of Ms. Lowenstein, Ms. Shecter, John Doe #1 and Jane Doe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In argument, Mr. Deline accepted that his proposed pleading may not be technically correct. He asked for a second chance to plead, and for an opportunity to examine VTT, Ms. Lowenstein and Ms. Shecter for discovery. If the only deficiency in his pleading were an inability to specify the exact words spoken concerning him, his request would be supported by authority; </w:t>
      </w:r>
      <w:r>
        <w:rPr>
          <w:rFonts w:ascii="arial" w:eastAsia="arial" w:hAnsi="arial" w:cs="arial"/>
          <w:i/>
          <w:color w:val="000000"/>
          <w:sz w:val="20"/>
          <w:lang w:val="en-US" w:eastAsia="en-US" w:bidi="ar-SA"/>
        </w:rPr>
        <w:t>Central Minera Corp. v. Lavarack</w:t>
      </w:r>
      <w:r>
        <w:rPr>
          <w:rFonts w:ascii="arial" w:eastAsia="arial" w:hAnsi="arial" w:cs="arial"/>
          <w:color w:val="000000"/>
          <w:sz w:val="20"/>
          <w:lang w:val="en-US" w:eastAsia="en-US" w:bidi="ar-SA"/>
        </w:rPr>
        <w:t xml:space="preserve">, </w:t>
      </w:r>
      <w:hyperlink r:id="rId83" w:history="1">
        <w:r>
          <w:rPr>
            <w:rFonts w:ascii="arial" w:eastAsia="arial" w:hAnsi="arial" w:cs="arial"/>
            <w:i/>
            <w:color w:val="0077CC"/>
            <w:sz w:val="20"/>
            <w:u w:val="single"/>
            <w:shd w:val="clear" w:color="auto" w:fill="FFFFFF"/>
            <w:lang w:val="en-US" w:eastAsia="en-US" w:bidi="ar-SA"/>
          </w:rPr>
          <w:t>2001 BCSC 349</w:t>
        </w:r>
      </w:hyperlink>
      <w:r>
        <w:rPr>
          <w:rFonts w:ascii="arial" w:eastAsia="arial" w:hAnsi="arial" w:cs="arial"/>
          <w:color w:val="000000"/>
          <w:sz w:val="20"/>
          <w:lang w:val="en-US" w:eastAsia="en-US" w:bidi="ar-SA"/>
        </w:rPr>
        <w:t xml:space="preserve"> at paras. 12-14. The deficiencies in this case are more fundamental and concern the nature and existence of a cause of action against VTT and the proposed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am mindful that Mr. Deline is representing himself and is not legally trained. He is intelligent and well-spoken. It is clear from the history of this matter that he has been contemplating and researching his proposed defamation action for some time. VTT's application response sets out the governing legal principles and the objections to his proposed pleading, and he had it two or so weeks ago. Mr. Deline tells me that, if his application to bring his defamation claim in this action fails, he can advance it in a separate action. He says that he has looked into and is not concerned by the possibility of a limitations defence. In these circumstances, I do not think that justice requires that he be given an opportunity to revise his pleading for the purpose of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light of my conclusion that the proposed pleading does not state a reasonable cause of action against VTT or any of the proposed defendants, I need not address VTT's argument that the proposed claims would constitute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 xml:space="preserve">VTT's application to dismiss the </w:t>
      </w:r>
      <w:r>
        <w:rPr>
          <w:rFonts w:ascii="arial" w:eastAsia="arial" w:hAnsi="arial" w:cs="arial"/>
          <w:b/>
          <w:i/>
          <w:color w:val="000000"/>
          <w:sz w:val="20"/>
          <w:u w:val="single"/>
          <w:lang w:val="en-US" w:eastAsia="en-US" w:bidi="ar-SA"/>
        </w:rPr>
        <w:t>negligence</w:t>
      </w:r>
      <w:r>
        <w:rPr>
          <w:rFonts w:ascii="arial" w:eastAsia="arial" w:hAnsi="arial" w:cs="arial"/>
          <w:b/>
          <w:color w:val="000000"/>
          <w:sz w:val="20"/>
          <w:u w:val="single"/>
          <w:lang w:val="en-US" w:eastAsia="en-US" w:bidi="ar-SA"/>
        </w:rPr>
        <w:t xml:space="preserv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VTT's application for summary judgment is brought pursuant to </w:t>
      </w:r>
      <w:r>
        <w:rPr>
          <w:rFonts w:ascii="arial" w:eastAsia="arial" w:hAnsi="arial" w:cs="arial"/>
          <w:i/>
          <w:color w:val="000000"/>
          <w:sz w:val="20"/>
          <w:lang w:val="en-US" w:eastAsia="en-US" w:bidi="ar-SA"/>
        </w:rPr>
        <w:t>Supreme Court Civil Rule</w:t>
      </w:r>
      <w:r>
        <w:rPr>
          <w:rFonts w:ascii="arial" w:eastAsia="arial" w:hAnsi="arial" w:cs="arial"/>
          <w:color w:val="000000"/>
          <w:sz w:val="20"/>
          <w:lang w:val="en-US" w:eastAsia="en-US" w:bidi="ar-SA"/>
        </w:rPr>
        <w:t xml:space="preserve"> 9-6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Rule 9-6 requires me to review the evidence to determine whether Mr. Deline is bound to lose, but I cannot address or resolve factual controversies. Speaking for the Court, Chief Justice Bauman outlined the approach I must take in </w:t>
      </w:r>
      <w:r>
        <w:rPr>
          <w:rFonts w:ascii="arial" w:eastAsia="arial" w:hAnsi="arial" w:cs="arial"/>
          <w:i/>
          <w:color w:val="000000"/>
          <w:sz w:val="20"/>
          <w:lang w:val="en-US" w:eastAsia="en-US" w:bidi="ar-SA"/>
        </w:rPr>
        <w:t>Beach Estate v. Beach</w:t>
      </w:r>
      <w:r>
        <w:rPr>
          <w:rFonts w:ascii="arial" w:eastAsia="arial" w:hAnsi="arial" w:cs="arial"/>
          <w:color w:val="000000"/>
          <w:sz w:val="20"/>
          <w:lang w:val="en-US" w:eastAsia="en-US" w:bidi="ar-SA"/>
        </w:rPr>
        <w:t xml:space="preserve">, </w:t>
      </w:r>
      <w:hyperlink r:id="rId84" w:history="1">
        <w:r>
          <w:rPr>
            <w:rFonts w:ascii="arial" w:eastAsia="arial" w:hAnsi="arial" w:cs="arial"/>
            <w:i/>
            <w:color w:val="0077CC"/>
            <w:sz w:val="20"/>
            <w:u w:val="single"/>
            <w:shd w:val="clear" w:color="auto" w:fill="FFFFFF"/>
            <w:lang w:val="en-US" w:eastAsia="en-US" w:bidi="ar-SA"/>
          </w:rPr>
          <w:t>2019 BCCA 277</w:t>
        </w:r>
      </w:hyperlink>
      <w:r>
        <w:rPr>
          <w:rFonts w:ascii="arial" w:eastAsia="arial" w:hAnsi="arial" w:cs="arial"/>
          <w:color w:val="000000"/>
          <w:sz w:val="20"/>
          <w:lang w:val="en-US" w:eastAsia="en-US" w:bidi="ar-SA"/>
        </w:rPr>
        <w:t xml:space="preserve"> at paras. 48-49: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[48] ... Rule 9-6 is a challenge on a limited review of evidence. A defendant can succeed on a Rule 9-6 application by showing the case pleaded by the plaintiff is unsound or by adducing sworn evidence that gives a complete answer to the plaintiff's case: </w:t>
      </w:r>
      <w:r>
        <w:rPr>
          <w:rFonts w:ascii="arial" w:eastAsia="arial" w:hAnsi="arial" w:cs="arial"/>
          <w:i/>
          <w:color w:val="000000"/>
          <w:sz w:val="20"/>
          <w:lang w:val="en-US" w:eastAsia="en-US" w:bidi="ar-SA"/>
        </w:rPr>
        <w:t>B &amp; L Holdings Inc. v. SNFW Fitness BC Ltd.</w:t>
      </w:r>
      <w:r>
        <w:rPr>
          <w:rFonts w:ascii="arial" w:eastAsia="arial" w:hAnsi="arial" w:cs="arial"/>
          <w:color w:val="000000"/>
          <w:sz w:val="20"/>
          <w:lang w:val="en-US" w:eastAsia="en-US" w:bidi="ar-SA"/>
        </w:rPr>
        <w:t xml:space="preserve">, </w:t>
      </w:r>
      <w:hyperlink r:id="rId85" w:history="1">
        <w:r>
          <w:rPr>
            <w:rFonts w:ascii="arial" w:eastAsia="arial" w:hAnsi="arial" w:cs="arial"/>
            <w:i/>
            <w:color w:val="0077CC"/>
            <w:sz w:val="20"/>
            <w:u w:val="single"/>
            <w:shd w:val="clear" w:color="auto" w:fill="FFFFFF"/>
            <w:lang w:val="en-US" w:eastAsia="en-US" w:bidi="ar-SA"/>
          </w:rPr>
          <w:t>2018 BCCA 221</w:t>
        </w:r>
      </w:hyperlink>
      <w:r>
        <w:rPr>
          <w:rFonts w:ascii="arial" w:eastAsia="arial" w:hAnsi="arial" w:cs="arial"/>
          <w:color w:val="000000"/>
          <w:sz w:val="20"/>
          <w:lang w:val="en-US" w:eastAsia="en-US" w:bidi="ar-SA"/>
        </w:rPr>
        <w:t xml:space="preserve"> at para. 46, quoting </w:t>
      </w:r>
      <w:r>
        <w:rPr>
          <w:rFonts w:ascii="arial" w:eastAsia="arial" w:hAnsi="arial" w:cs="arial"/>
          <w:i/>
          <w:color w:val="000000"/>
          <w:sz w:val="20"/>
          <w:lang w:val="en-US" w:eastAsia="en-US" w:bidi="ar-SA"/>
        </w:rPr>
        <w:t>Progressive Construction Ltd. v. Newton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(1981), 25 B.C.L.R. 330</w:t>
      </w:r>
      <w:r>
        <w:rPr>
          <w:rFonts w:ascii="arial" w:eastAsia="arial" w:hAnsi="arial" w:cs="arial"/>
          <w:color w:val="000000"/>
          <w:sz w:val="20"/>
          <w:lang w:val="en-US" w:eastAsia="en-US" w:bidi="ar-SA"/>
        </w:rPr>
        <w:t xml:space="preserve"> at 335; </w:t>
      </w:r>
      <w:r>
        <w:rPr>
          <w:rFonts w:ascii="arial" w:eastAsia="arial" w:hAnsi="arial" w:cs="arial"/>
          <w:i/>
          <w:color w:val="000000"/>
          <w:sz w:val="20"/>
          <w:lang w:val="en-US" w:eastAsia="en-US" w:bidi="ar-SA"/>
        </w:rPr>
        <w:t>International Taoist Church of Canada v. Ching Chong Taoist Association of Hong Kong Ltd.</w:t>
      </w:r>
      <w:r>
        <w:rPr>
          <w:rFonts w:ascii="arial" w:eastAsia="arial" w:hAnsi="arial" w:cs="arial"/>
          <w:color w:val="000000"/>
          <w:sz w:val="20"/>
          <w:lang w:val="en-US" w:eastAsia="en-US" w:bidi="ar-SA"/>
        </w:rPr>
        <w:t xml:space="preserve">, </w:t>
      </w:r>
      <w:hyperlink r:id="rId86" w:history="1">
        <w:r>
          <w:rPr>
            <w:rFonts w:ascii="arial" w:eastAsia="arial" w:hAnsi="arial" w:cs="arial"/>
            <w:i/>
            <w:color w:val="0077CC"/>
            <w:sz w:val="20"/>
            <w:u w:val="single"/>
            <w:shd w:val="clear" w:color="auto" w:fill="FFFFFF"/>
            <w:lang w:val="en-US" w:eastAsia="en-US" w:bidi="ar-SA"/>
          </w:rPr>
          <w:t>2011 BCCA 149</w:t>
        </w:r>
      </w:hyperlink>
      <w:r>
        <w:rPr>
          <w:rFonts w:ascii="arial" w:eastAsia="arial" w:hAnsi="arial" w:cs="arial"/>
          <w:color w:val="000000"/>
          <w:sz w:val="20"/>
          <w:lang w:val="en-US" w:eastAsia="en-US" w:bidi="ar-SA"/>
        </w:rPr>
        <w:t xml:space="preserve"> at para 14. Such evidence generally is adduced in the form of an affidavit. If the court is satisfied that the plaintiff is bound to lose or the claim has no chance of success, the defendant must succeed on the Rule 9-6 application: </w:t>
      </w:r>
      <w:r>
        <w:rPr>
          <w:rFonts w:ascii="arial" w:eastAsia="arial" w:hAnsi="arial" w:cs="arial"/>
          <w:i/>
          <w:color w:val="000000"/>
          <w:sz w:val="20"/>
          <w:lang w:val="en-US" w:eastAsia="en-US" w:bidi="ar-SA"/>
        </w:rPr>
        <w:t>Canada v. Lameman</w:t>
      </w:r>
      <w:r>
        <w:rPr>
          <w:rFonts w:ascii="arial" w:eastAsia="arial" w:hAnsi="arial" w:cs="arial"/>
          <w:color w:val="000000"/>
          <w:sz w:val="20"/>
          <w:lang w:val="en-US" w:eastAsia="en-US" w:bidi="ar-SA"/>
        </w:rPr>
        <w:t xml:space="preserve">, </w:t>
      </w:r>
      <w:hyperlink r:id="rId87" w:history="1">
        <w:r>
          <w:rPr>
            <w:rFonts w:ascii="arial" w:eastAsia="arial" w:hAnsi="arial" w:cs="arial"/>
            <w:i/>
            <w:color w:val="0077CC"/>
            <w:sz w:val="20"/>
            <w:u w:val="single"/>
            <w:shd w:val="clear" w:color="auto" w:fill="FFFFFF"/>
            <w:lang w:val="en-US" w:eastAsia="en-US" w:bidi="ar-SA"/>
          </w:rPr>
          <w:t>2008 SCC 14</w:t>
        </w:r>
      </w:hyperlink>
      <w:r>
        <w:rPr>
          <w:rFonts w:ascii="arial" w:eastAsia="arial" w:hAnsi="arial" w:cs="arial"/>
          <w:color w:val="000000"/>
          <w:sz w:val="20"/>
          <w:lang w:val="en-US" w:eastAsia="en-US" w:bidi="ar-SA"/>
        </w:rPr>
        <w:t xml:space="preserve"> at paras. 10-11. Conversely, if the plaintiff submits evidence contradicting the defendant's evidence in some material respect or if the defendant's evidence in support of the Rule 9-6 application fails to meet all of the causes of action raised by the plaintiff's pleadings, the application must be dismissed: </w:t>
      </w:r>
      <w:r>
        <w:rPr>
          <w:rFonts w:ascii="arial" w:eastAsia="arial" w:hAnsi="arial" w:cs="arial"/>
          <w:i/>
          <w:color w:val="000000"/>
          <w:sz w:val="20"/>
          <w:lang w:val="en-US" w:eastAsia="en-US" w:bidi="ar-SA"/>
        </w:rPr>
        <w:t>B &amp; L Holdings Inc</w:t>
      </w:r>
      <w:r>
        <w:rPr>
          <w:rFonts w:ascii="arial" w:eastAsia="arial" w:hAnsi="arial" w:cs="arial"/>
          <w:color w:val="000000"/>
          <w:sz w:val="20"/>
          <w:lang w:val="en-US" w:eastAsia="en-US" w:bidi="ar-SA"/>
        </w:rPr>
        <w:t xml:space="preserve">. at para. 46, quoting </w:t>
      </w:r>
      <w:r>
        <w:rPr>
          <w:rFonts w:ascii="arial" w:eastAsia="arial" w:hAnsi="arial" w:cs="arial"/>
          <w:i/>
          <w:color w:val="000000"/>
          <w:sz w:val="20"/>
          <w:lang w:val="en-US" w:eastAsia="en-US" w:bidi="ar-SA"/>
        </w:rPr>
        <w:t>Progressive Construction Ltd</w:t>
      </w:r>
      <w:r>
        <w:rPr>
          <w:rFonts w:ascii="arial" w:eastAsia="arial" w:hAnsi="arial" w:cs="arial"/>
          <w:color w:val="000000"/>
          <w:sz w:val="20"/>
          <w:lang w:val="en-US" w:eastAsia="en-US" w:bidi="ar-SA"/>
        </w:rPr>
        <w:t>. at 335.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[49] Although an application under Rule 9-6 invokes the court's consideration of evidence, it is not a summary trial: </w:t>
      </w:r>
      <w:r>
        <w:rPr>
          <w:rFonts w:ascii="arial" w:eastAsia="arial" w:hAnsi="arial" w:cs="arial"/>
          <w:i/>
          <w:color w:val="000000"/>
          <w:sz w:val="20"/>
          <w:lang w:val="en-US" w:eastAsia="en-US" w:bidi="ar-SA"/>
        </w:rPr>
        <w:t>Century Services Inc. v. LeRoy</w:t>
      </w:r>
      <w:r>
        <w:rPr>
          <w:rFonts w:ascii="arial" w:eastAsia="arial" w:hAnsi="arial" w:cs="arial"/>
          <w:color w:val="000000"/>
          <w:sz w:val="20"/>
          <w:lang w:val="en-US" w:eastAsia="en-US" w:bidi="ar-SA"/>
        </w:rPr>
        <w:t xml:space="preserve">, </w:t>
      </w:r>
      <w:hyperlink r:id="rId88" w:history="1">
        <w:r>
          <w:rPr>
            <w:rFonts w:ascii="arial" w:eastAsia="arial" w:hAnsi="arial" w:cs="arial"/>
            <w:i/>
            <w:color w:val="0077CC"/>
            <w:sz w:val="20"/>
            <w:u w:val="single"/>
            <w:shd w:val="clear" w:color="auto" w:fill="FFFFFF"/>
            <w:lang w:val="en-US" w:eastAsia="en-US" w:bidi="ar-SA"/>
          </w:rPr>
          <w:t>2015 BCCA 120</w:t>
        </w:r>
      </w:hyperlink>
      <w:r>
        <w:rPr>
          <w:rFonts w:ascii="arial" w:eastAsia="arial" w:hAnsi="arial" w:cs="arial"/>
          <w:color w:val="000000"/>
          <w:sz w:val="20"/>
          <w:lang w:val="en-US" w:eastAsia="en-US" w:bidi="ar-SA"/>
        </w:rPr>
        <w:t xml:space="preserve"> at para. 32. The judge is not permitted to weigh evidence on a Rule 9-6 application beyond determining whether it is incontrovertible: any further weighing may only be done in a trial: </w:t>
      </w:r>
      <w:r>
        <w:rPr>
          <w:rFonts w:ascii="arial" w:eastAsia="arial" w:hAnsi="arial" w:cs="arial"/>
          <w:i/>
          <w:color w:val="000000"/>
          <w:sz w:val="20"/>
          <w:lang w:val="en-US" w:eastAsia="en-US" w:bidi="ar-SA"/>
        </w:rPr>
        <w:t>Tran v. Le</w:t>
      </w:r>
      <w:r>
        <w:rPr>
          <w:rFonts w:ascii="arial" w:eastAsia="arial" w:hAnsi="arial" w:cs="arial"/>
          <w:color w:val="000000"/>
          <w:sz w:val="20"/>
          <w:lang w:val="en-US" w:eastAsia="en-US" w:bidi="ar-SA"/>
        </w:rPr>
        <w:t xml:space="preserve">, </w:t>
      </w:r>
      <w:hyperlink r:id="rId89" w:history="1">
        <w:r>
          <w:rPr>
            <w:rFonts w:ascii="arial" w:eastAsia="arial" w:hAnsi="arial" w:cs="arial"/>
            <w:i/>
            <w:color w:val="0077CC"/>
            <w:sz w:val="20"/>
            <w:u w:val="single"/>
            <w:shd w:val="clear" w:color="auto" w:fill="FFFFFF"/>
            <w:lang w:val="en-US" w:eastAsia="en-US" w:bidi="ar-SA"/>
          </w:rPr>
          <w:t>2017 BCCA 222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Skybridge Investments Ltd. v. Metro Motors Ltd.</w:t>
      </w:r>
      <w:r>
        <w:rPr>
          <w:rFonts w:ascii="arial" w:eastAsia="arial" w:hAnsi="arial" w:cs="arial"/>
          <w:color w:val="000000"/>
          <w:sz w:val="20"/>
          <w:lang w:val="en-US" w:eastAsia="en-US" w:bidi="ar-SA"/>
        </w:rPr>
        <w:t xml:space="preserve">, </w:t>
      </w:r>
      <w:hyperlink r:id="rId90" w:history="1">
        <w:r>
          <w:rPr>
            <w:rFonts w:ascii="arial" w:eastAsia="arial" w:hAnsi="arial" w:cs="arial"/>
            <w:i/>
            <w:color w:val="0077CC"/>
            <w:sz w:val="20"/>
            <w:u w:val="single"/>
            <w:shd w:val="clear" w:color="auto" w:fill="FFFFFF"/>
            <w:lang w:val="en-US" w:eastAsia="en-US" w:bidi="ar-SA"/>
          </w:rPr>
          <w:t>2006 BCCA 500</w:t>
        </w:r>
      </w:hyperlink>
      <w:r>
        <w:rPr>
          <w:rFonts w:ascii="arial" w:eastAsia="arial" w:hAnsi="arial" w:cs="arial"/>
          <w:color w:val="000000"/>
          <w:sz w:val="20"/>
          <w:lang w:val="en-US" w:eastAsia="en-US" w:bidi="ar-SA"/>
        </w:rPr>
        <w:t xml:space="preserve"> at paras. 8-12.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my opinion, there is no material dispute in the evidence bearing on whether VTT owed Mr. Deline a duty of care that required it to notify him of the one digit discrepancy Ms. Shecter noticed between Mr. Chan's telephone number and that of the sender of the text message.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Part 1 (Statement of Facts) of his Amended Notice of Civil Claim, Mr. Deline pleads:</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1999, VTT contracted the Plaintiff as a part-time chess instructor. In July 2016, the Plaintiff could not commit for the next school year and offered to try to find a replacement instructor. On or about July 18, 2016, VTT accepted that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Part 3 (Legal Basis) of his Amended Notice of Civil Claim, Mr. Deline pleads:</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VTT owed the Plaintiff a private legal duty of care. No party should allow harm to befall someone engaged in helping them.</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Upon accepting the Plaintiff's offer to find a replacement instructor, VTT owed the Plaintiff a similar legal duty of care under the law of agency.</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circumstances those legal duties of care plainly included informing the Plaintiff of the one-digit phone number difference in a forthwith and forthright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Deline's communications with VTT surrounding his "offer to find a replacement instructor" took place by email in mid-July, 2016. The following is obvious from a review of the correspondence. Notwithstanding the pleading of offer and acceptance, Mr. Deline did not contract with VTT to find it a replacement chess instructor. The most that can be said is that he volunteered, without obligation, to "try to find you someone who can do it asap but it may not be easy or even possible". VTT did not appoint Mr. Deline as its agent to find a replacement chess instructor. By January 2017, half-way through the school year, whatever role Mr. Deline might have taken on in assisting VTT to find a replacement chess instructor for the year was spent.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All this is clear from the following extracts from an email string between Mr. Deline and VTT's Admission Manager, Ms. Kalvari.</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July 11, 2016: Ms. Kalvari to Mr. Deline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Our new building will be ready for the 16/17 school year</w:t>
      </w:r>
      <w:r>
        <w:rPr>
          <w:rFonts w:ascii="arial" w:eastAsia="arial" w:hAnsi="arial" w:cs="arial"/>
          <w:color w:val="000000"/>
          <w:sz w:val="20"/>
          <w:lang w:val="en-US" w:eastAsia="en-US" w:bidi="ar-SA"/>
        </w:rPr>
        <w:t xml:space="preserve"> so we will no longer be short of space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Please let me know if you or Dale are interested in running a Chess program for students after school</w:t>
      </w:r>
      <w:r>
        <w:rPr>
          <w:rFonts w:ascii="arial" w:eastAsia="arial" w:hAnsi="arial" w:cs="arial"/>
          <w:color w:val="000000"/>
          <w:sz w:val="20"/>
          <w:lang w:val="en-US" w:eastAsia="en-US" w:bidi="ar-SA"/>
        </w:rPr>
        <w:t xml:space="preserve"> - 3:30 pm-4:30 pm. The school is now working on a revenue share of 70% (for your) / 30% (for VTT) with all our school program vendors and most are charging $12/$15 per child per session (week).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Get back to me as soon as you can as Jennifer plans on sending out information later this week</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July 11, 2016: Mr. Deline to Ms. Kalvari</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for chess, which day(s)? I was planning on having dinner with Dale this week and will discuss it with him.</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July 11, 2016: Ms. Kalvari to Mr. Deline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Jennifer mentioned the revenue share is actually 80 (for you) / 20 (for us) ... not 70/30 as I previously thought.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July 14, 2016: Mr. Deline to Ms. Kalvari</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Dale has advised me he cannot because of health. I will need a few more days to let you know what, if anything, can be done.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July 18, 2016: Ms. Kalvari to Mr. Deline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Just wondered if you'd made a decision regarding Chess at VTT.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We want to sent out our school programs info asap and were just waiting to hear back from you and finalize details if Chess did go ahead</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July 18, 2016: Mr. Deline to Ms. Kalvari</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things are for me as much as I might like to I cannot commit to it. </w:t>
      </w:r>
      <w:r>
        <w:rPr>
          <w:rFonts w:ascii="arial" w:eastAsia="arial" w:hAnsi="arial" w:cs="arial"/>
          <w:color w:val="000000"/>
          <w:sz w:val="20"/>
          <w:u w:val="single"/>
          <w:lang w:val="en-US" w:eastAsia="en-US" w:bidi="ar-SA"/>
        </w:rPr>
        <w:t>I will try to find you someone who can do it asap but it may not be easy or even possible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Thanks for the opportunity.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July 18, 2016: Ms. Kalvari to Mr. Deline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Thanks for letting me know.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If you do happen to find someone whose interested, please be in touch</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[Underlining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Chan approached and was retained by VTT as a chess instructor for the 2016/2017 school year independently of Mr. Deline. Mr. Deline first expressed his concerns about Mr. Chan in speaking with Ms. Schecter on January 2 or 3, 2017. At that point, he was not assisting VTT to find a replacement chess instructor. He was trying to get VTT to terminate the chess instructor they had hired.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these circumstances, Mr. Deline and VTT were strangers in law. They were not parties to any recognized legal relationship, such as principal and agent. They were not in association by any agreement or common understanding. Mr. Deline did not owe VTT a duty to share his concerns about Mr. Chan, whether or not they were well founded. VTT did not owe Mr. Deline a duty to respond to or correct unsolicited communications from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This is a full answer to Mr. Deline's claim. I should add, however, that even if a duty were owed, in my view it must have been satisfied by Ms. Lowenstein's email to Mr. Deline on April 7, 2017, that "we are satisfied that [Mr. Chan] did not send the text message described in your email". In oral submissions, Mr. Deline analogized the situation to that of a teacher with a child, stating that "it is not enough to tell the child that they're wrong, you have to make them understand". But Mr. Deline was not in the position of a child under instruction by VTT. He was an independent adult trying to persuade VTT that it had made a mistake.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Mr. Deline's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against VTT is legally misconceived. It is bound to fail and must therefore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Deline's application and this action are dismissed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G.B. GOMERY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8" style="position:absolute;z-index:2517637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1"/>
          <w:headerReference w:type="default" r:id="rId92"/>
          <w:footerReference w:type="even" r:id="rId93"/>
          <w:footerReference w:type="default" r:id="rId94"/>
          <w:headerReference w:type="first" r:id="rId95"/>
          <w:footerReference w:type="first" r:id="rId9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7" w:history="1">
        <w:r>
          <w:rPr>
            <w:rFonts w:ascii="arial" w:eastAsia="arial" w:hAnsi="arial" w:cs="arial"/>
            <w:b/>
            <w:bCs/>
            <w:i/>
            <w:color w:val="0077CC"/>
            <w:kern w:val="32"/>
            <w:sz w:val="28"/>
            <w:szCs w:val="32"/>
            <w:u w:val="single"/>
            <w:shd w:val="clear" w:color="auto" w:fill="FFFFFF"/>
            <w:lang w:val="en-US" w:eastAsia="en-US" w:bidi="ar-SA"/>
          </w:rPr>
          <w:t>Fines v. Johnson, [2020] B.C.J. No. 424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A.P.A. Mayer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4-7, 10-11 and 13, 2020.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16, 2020.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M51154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Kamloops</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[2020] B.C.J. No. 424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2020 BCSC 386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Colleen Mae Fines, Plaintiff, and Patrick Joseph Johnson,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(179 paras.)</w:t>
      </w:r>
    </w:p>
    <w:p>
      <w:pPr>
        <w:jc w:val="both"/>
        <w:rPr>
          <w:rFonts w:ascii="arial" w:eastAsia="arial" w:hAnsi="arial" w:cs="arial"/>
          <w:sz w:val="20"/>
          <w:lang w:val="en-US" w:eastAsia="en-US" w:bidi="ar-SA"/>
        </w:rPr>
      </w:pPr>
      <w:bookmarkStart w:id="15" w:name="Counsel_3"/>
      <w:bookmarkEnd w:id="1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9" style="position:absolute;z-index:2516633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E.C. Hughes, J.A. Jakel.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E.A. Harris, J.M. Brown.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6" w:name="Judgment_3"/>
      <w:bookmarkEnd w:id="16"/>
      <w:r>
        <w:pict>
          <v:line id="_x0000_s1040" style="position:absolute;z-index:25171456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 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Pre-Accident Background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Impacts of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Impact of the Accident on Ms. Fines' Educational and Vocational Plans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CREDIBILITY AND RELIABILITY OF MS. FINES'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MEDICAL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Hughes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Etheridge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Riar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Defence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CAUSATION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Discussion and Conclusion on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Discussion and Conclusion on Non Pecuniary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Past Loss of Earning Capacity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Discussion and Conclusion on Past Loss of Earning Capacity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Loss of Future Earning Capacity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Discussion and Conclusion on Future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 OF FUTURE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Discussion and Conclusion on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LOSS OF HOUSEKEEPING/HANDYMAN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 TRUST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DID MS. FINES FAIL TO MITIGATE HER DAMAGES?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 and Conclusion on Failure to Mitigate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7" w:name="A.P.A. MAYER J."/>
            <w:bookmarkEnd w:id="17"/>
            <w:r>
              <w:rPr>
                <w:rFonts w:ascii="arial" w:eastAsia="arial" w:hAnsi="arial" w:cs="arial"/>
                <w:b/>
                <w:color w:val="000000"/>
                <w:sz w:val="30"/>
                <w:lang w:val="en-US" w:eastAsia="en-US" w:bidi="ar-SA"/>
              </w:rPr>
              <w:t>A.P.A. MAYER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Colleen Mae Fines was injured in a motor vehicle accident that occurred on July 1, 2013 in a supermarket parking lot in Kamloops, British Columbia when her vehicle was struck on the left by the vehicle driven by the defendant Patrick Joseph Johnson (the "Accident"). Mr. Johnson is now deceased and the defence of this case was handled by ICBC, pursuant to its role as Mr. Johnson's insurer.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Ms. Fines claims that due to the injuries she sustained in the Accident, which include injury to her neck, right shoulder and upper back, and the related symptoms, that her social and recreational activities and vocational opportunities have been severely impacted. She seeks damages for pain and suffering, past and future income earning capacity, special damages, costs of future care and loss of housekeeping capacity. She also advances an in-trust claim for assistance provided to her by her daughter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ICBC has admitted liability for the Accident. It admits that Ms. Fines sustained soft tissue injuries to her neck and upper back and suffers from resulting chronic pain. It denies that the Accident resulted in injury to Ms. Fines' right shoulder or that this injury contributed to a subsequent injury to her left shoulder when Ms. Fines slipped on some stairs. Further, it denies that the Accident caused Major Depressive Disorder, Somatic Symptom Disorder and Unspecified Anxiety Disorder, as is alleged, although it does not dispute that Ms. Fines suffers from some symptoms of depression that result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ICBC disputes the amount of damages claimed by Ms. Fines under the various heads of damages. In addition, ICBC alleges that Ms. Fines has failed to mitigate the extent of her damages by completing recommended cognitive behavioral psychotherapy treatments and that as a result, a deduction to any damages award should be made across-the-board.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 summary of the issues for determination is as follows:</w:t>
      </w:r>
      <w:r>
        <w:rPr>
          <w:rFonts w:ascii="arial" w:eastAsia="arial" w:hAnsi="arial" w:cs="arial"/>
          <w:sz w:val="20"/>
          <w:lang w:val="en-US" w:eastAsia="en-US" w:bidi="ar-SA"/>
        </w:rPr>
        <w:cr/>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Accident caused Ms. Fines' right shoulder injury and whether this injury caused or contributed to the subsequent injury to Ms. Fines' left shoulder;</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are Ms. Fines' non-pecuniary and income loss damages suffered as a result of the Accident;</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Ms. Fines is entitled to the disputed special damages;</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Ms. Fines is entitled to damages for costs of future care and loss of housekeeping capacity;</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Ms. Fines' daughter is entitled to the amount claimed "in-trust" for her; and</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any of the amounts awarded to Ms. Fines should be reduced as a result of a 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Following is a summary of relevant background facts provided through the testimony of Ms. Fines and lay witnesses.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Pre-Accident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Fines is currently 45 years old and was 39 years old at the time of the Accident. She has been a social worker with the Ministry of Children and Family Development in Merritt since 2015. She grew up in Prince Rupert, British Columbia and married in 1994. After her marriage, Ms. Fines and her then husband had three children including two daughters, who are currently 24 and 23 years old, and a 17 year old son. Only Ms. Fines' middle daughter was living with her full-time at the time of the Accident and she now lives with her son and fiancé in Merritt. Her first marriage, which she described as verbally and financially abusive, ended in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While in Prince Rupert Ms. Fines had a diverse work background which included operating a video business she had started with a friend, and working in a bakery, a bank, a pharmacy and at a transition house as a drug and alcohol counsellor. Ms. Fines sought to improve her employment prospects and took a number of on-line courses during her first marriage and afterwards.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2012 Ms. Fines was admitted into the social work program at Thompson Rivers University in Kamloops. After she relocated from Prince Rupert to Kamloops she worked part-time while in school as a community support worker with the John Howard Society. She obtained her Bachelors in Social Work ("BSW") degree nine months after the Accident, in April 2014. She obtained high grades during her studies although her grades declined somewhat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Fines led a very physically active life in the years before the Accident including regularly playing squash, kayaking, hiking, camping, skiing and running. She took pride in her homes that were always clean, completed landscaping, home repair and renovation work and performed some vehicle maintenance. She sought to be self-sufficient both for reasons of personal interest and financial necessity.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2009, Ms. Fines rekindled a romance with her high-school years' boyfriend, who was living in Williams Lake at the time their relationship restarted but eventually relocated to Kamloops to be closer to his family. Ms. Fines and her then boyfriend enjoyed doing a number of physical activities together including squash, hiking and skiing.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Prior to the Accident Ms. Fines had been involved in four previous minor MVAs. She had injured her right shoulder twice - the first time while figure skating in 2003 and then while playing floor hockey in 2010. She had various surgeries or treatments to her left and right knees. She had psoriatic arthritis of her hands and feet from the age of 17. There is no evidence that any of these previous incidents, injuries and conditions relate to any of the symptoms that arose after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Impacts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During the Accident Ms. Fines' vehicle was "T-Boned" by the vehicle driven by Mr. Johnson. At the time that her vehicle was hit, she had her left hand on the steering wheel and her right hand on the gearshift lever. Although her vehicle was damaged, it was still drivable.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Fines did not immediately feel injured after the Accident but felt out of sorts and was unable to drive. Her daughter, who she had come to pick up from work, drove home. As the evening progressed Ms. Fines noticed increasing pain in her neck and right shoulder and developed bruising in her ribs, pain in her lower back and left hips and dizziness. In a report to a doctor at a walk-in clinic the day after the Accident, on July 2, 2013, Ms. Fines complained of pain over the left side of her neck, left ribs and right shoulder, together with restricted movement in the right shoulder and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By the time of trial, some of Ms. Fines' post-Accident symptoms had improved. She only experiences occasional dizziness when her neck and back pain are bad. Her symptoms of rib, lower back and left hip pain and occasional left and right arm numbness have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Many of Ms. Fines' symptoms persist. Her current symptoms include chronic neck pain radiating to the back of her skull and into her upper back. She suffers from headaches up to three times per week. Her neck and back pain is aggravated when she sits at her desk for an extended period or during long drives. She experiences intermittent pain in her right shoulder and has a reduced ability to use her right arm at or above shoulder height. Her pain symptoms affect her ability to fall asleep and remain asleep throughout the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Fines suffers from some psychological symptoms including anxiety when driving through intersections or walking in busy crowds and suffers from depression. She occasionally has trouble with concentration and short-term memory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Fines is no longer able to participate in the same type of physical activities that she once enjoyed. She now only hikes on flat groomed trails and can only jog short distances. She has only gone kayaking a handful of times and now requires assistance loading her kayak onto her vehicle's roof. She has only gone camping one time compared with more regular pre-Accident camping trips. She has gone biking but doing so hurts her shoulders. She has stopped downhill skiing, playing squash, fishing and swimming.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Her reduced ability to participate in physical activities to the extent she previously did has affected her relationship with her children and contributed to the demise of her relationship with her high-school boyfriend, which ended in February 2016. In addition, as a result of her reduced level of physical activity and poorer eating habits, Ms. Fines gained a significant amount of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Fines started a new relationship in March 2016 and is now engaged to be married. She lives with her fiancé and son in Merritt.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Fines no longer maintains her home to the same level of cleanliness that she did prior to the Accident. After the Accident, her daughter drove her to work, one and one-half hours each way from Kamloops to Enderby, for a period of approximately four weeks and took over the majority of household tasks including cooking and cleaning. At this time, Ms. Fines is able to perform most household tasks, although with some discomfort. Her son and fiancé assist with shopping, cleaning and heavy lifting at their home in Merritt.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Ms. Fines continues to experience occasional pain in her neck and right shoulder while at work which requires frequent stretching and breaks. She has made some minor modifications to her work environment including moving her case files from an upper to a lower shelf but nothing else of significance. She is concerned that she would not be capable of dealing with child protection matters (removals from care) in the field due to her shoulder injury and neck pain. She struggles with fatigue at the end of the workday. Her colleague testified that she appears to be struggling both physically and emotionally and is behind on her work as a child protection worker - although she does her best to carry out the essential duties of her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February of 2019, Ms. Fines sustained a minor injury to her left shoulder when she slipped on some icy stairs outside her apartment. She testified that she was holding on to the left railing with her left hand and not both railings, as she would have done if her right shoulder had not been injured in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Impact of the Accident on Ms. Fines' Educational and Vocational Plans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July 2014, after completing her BSW in April 2014, Ms. Fines took a job as a social worker with the Splatsin First Nation in Enderby, British Columbia. In April 2015 she commenced work with the Friendship Aboriginal Society in Kamloops. In July 2015 she was hired as a child protection worker with the Ministry of Children &amp; Family Development ("MCFD") in Merritt, British Columbia. She moved from Kamloops to Merritt for this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Since moving to Merritt Ms. Fines tried other positions with MCFD including working as a child protection worker in Ashcroft in 2017. She testified that she did so in an effort to reduce pain related symptoms arising from her job requirements, which included extended periods of sitting while working on case files or driving to visit clients. Her efforts were not successful and Ms. Fines eventually returned to work as a child protection worker full-time in Merritt and tried a new position working with children with special needs. In February 2019 she returned to her previous job as a child protection worker.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Fines testified that before the Accident, she planned to work as a social worker for a short time after she obtained her BSW in April 2014 and then start a full-time Masters in Social Work ("MSW") program, starting in September 2014 and finishing in the summer of 2015. She testified that it was her intention to fund her masters' degree by working part-time as a counsellor, approximately 10-15 hours per week and with student loans, scholarships and bursaries.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Ms. Fines testified that after completing her masters, she planned to obtain full-time employment as a social worker and work ten hours per week, after hours, as a private counsellor. With respect to her intention to work as a private counsellor, she testified that she had started to build relationships with local First Nations' communities with a view to obtaining private counselling work with them after she completed her MSW.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Ms. Fines testified that because of her post-Accident symptoms she was initially unable to both work as a social worker and commence MSW studies in 2014 as she had planned. Ms. Fines eventually started a part-time MSW program in Merritt in 2018. She has taken some courses for which she obtained high grades. She testified that because of her symptoms she has not been able to complete this program, from which she is currently on leave.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Credibility and Reliability of Ms. Fines'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ICBC submits that Ms. Fines' evidence should treated with caution. That is, they suggest that Ms. Fines was not a wholly credible or reliable witness. In support of this submission, ICBC says that Ms. Fines was evasive and argumentative during cross-examination. In addition, ICBC says that Ms. Fines overstated her income loss resulting from days of work missed to attend at medical treatments and was untruthful in her income in income tax filings and scholarship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my view, Ms. Fines was generally a credible witness and attempted to answer the questions put to her honestly. In a few cases Ms. Fines was unable to explain why medical practitioners recorded improvements to her symptoms after the Accident, which did not accord with Ms. Fines' testimony at trial regarding the severity of her symptoms at the relevant times. In those cases, I have treated Ms. Fines' evidence with some caution.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Medical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Hughes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Fines tendered four expert reports from Dr. Scott Hughes prepared in 2015, 2017 and 2019. Dr. Hughes was qualified as an expert in the area of orthopedic surgery and musculoskeletal disorders.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Dr. Hughes first examined Ms. Fines in December 2013 and performed the first of two right shoulder surgeries to Ms. Fines' right rotator cuff in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his 2015 report, Dr. Hughes stated that in his opinion it was more likely than not that the Accident caused a right shoulder rotator cuff tear. His prognosis at that time was that the chances of Ms. Fines' shoulder recovering to "near full function" was good but considered that she would experience a 10-15% deficit in pre-injury right shoulder function. He recommended that Ms. Fines avoid repetitive shoulder level height and above activity and lifting, carrying, pushing and pulling of weights, in excess of what she comfortably tolerated at physical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his follow up 2017 report Dr. Hughes stated that in his opinion, given Ms. Fines' on-going symptoms, that she had likely reached a clinical plateau. He considered that the pain she was experiencing, both to her shoulder and neck, were likely multifactorial and were chronic - although in this respect he deferred to an expert in pain management and rehabilitation. He revised his assessment of the extent of Ms. Fines right shoulder injury stating that he now considered she had a 25% deficit in pre-injury shoulder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Dr. Hughes completed a further repair to Ms. Fines' right shoulder rotator cuff in May 2018. At trial, he testified that it was most likely that the further repair, which was to a different location on Ms. Fines' rotator cuff, was likely an area which had been injured in the Accident but was not diagnosed prior to the first surgery in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the patient history recorded in his October 2019 report Dr. Hughes recorded for April 22, 2018 that Ms. Fines "continued to do extremely well in the postoperative period and was working hard and very compliant". He recorded for March 25, 2019 that she "continued to make excellent gains with respect to her postoperative rehabilitation" and "was dramatically improving with respect to her overall pain profile, and strength" and "was back to doing most of her activities both day by day activities as well as recreational activities with much less functional restriction."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his October 2019 report, Dr. Hughes stated that from a functional standpoint Ms. Fines was "dramatically improved but likely left with a 10-15% deficit in pre-injury shoulder function. He considered that this likely would cause earlier "fatiguability" of the right shoulder muscles and symptomology with repeated overhead use and weakness with heavy manual duties. In his opinion, Ms. Fines had improved with respect to her overall pain profile and her day-to-day functioning. He repeated his earlier advice that she avoid significant repetitive overhead activities or heavy manual overhead lifting.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his November 2019 report, Dr. Hughes included his opinion that Ms. Fines' left shoulder injury resulted from an effort on her part to protect her right arm from further injury when she slipped on some icy stairs. At trial, it was apparent that Dr. Hughes' opinion was in part based on his misunderstanding of the manner in which Ms. Fines grabbed onto a handrail when she slipped on the stairs outside her apartment. Dr. Hughes incorrectly assumed that she had reached across her body with her left arm to grab the right-side handrail when she had actually reached to the left railing with her left hand as she fell. As well, Dr. Hughes confirmed in response to a question from the court that his opinion regarding the mechanism of Ms. Fines' left shoulder injury was not a medical opinion. In any case, Dr. Hughes opinion was that the prognosis for recovery for Ms. Fines' left shoulder injury was very good.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Etheridge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Ms. Fines tendered two expert reports from Dr. Etheridge prepared in 2017 and 2019. Dr. Etheridge was qualified as an expert in the area of musculoskeletal problems and diagnosis, anesthesia and interventional pain blocks including nerve blocks and rhizotomy, orthopedic surgery and musculoskeletal disorders.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his 2017 report Dr. Etheridge provided his opinion that Ms. Fines sustained the following injuries as a result of the Accident: soft tissue injury to the left side of her neck - classified as a WAD type II injury; soft tissue injuries to joint capsules in her cervical spine; on-going cervicogenic and occipital headaches caused by ongoing pain in her cervical spine and overlying muscles; right shoulder rotator cuff tear; and, soft tissue injuries to her lower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 Etheridge reported that Ms. Fines had on-going symptoms including left side neck pain and occipital headaches, upper back pain and ongoing right shoulder pain with decreased range of motion. Despite these on-going symptoms, Dr. Etheridge was of the opinion that Ms. Fines was able to perform the duties of her job and that her recreational and homemaking activities were moderately limited. He considered that there was a substantial possibility that her neck pain, which is aggravated by prolonged deskwork and driving, would continue into the future and would affect her ability to perform the essential duties of her job in the long 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2017 Dr. Etheridge suggested that Ms. Fines could benefit from future facet joint rhizotomies to cauterize the nerves causing neck pain - which could provide pain relief for an average of 12 months. In his opinion, Ms. Fines could continue to use over the counter pain medication periodically.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June 2019 Dr. Etheridge administered a rhizotomy treatment to Ms. Fines'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his September 2019 update report Dr. Etheridge noted that Ms. Fines reported that her headaches, neck, upper back and right shoulder pain had decreased in severity, with the level of pain reported to her right shoulder at a nuisance level. He found that she had decreased right-side neck rotation with increased left side neck pain but normal range of motion for her right shoulder and moderately restricted left side shoulder movement.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At trial, Dr. Etheridge confirmed that in general, Ms. Fines appeared to be substantially better in 2019 than when he first saw her in 2017 and agreed that every one of her previous complaints either had improved or had resolved. He noted that following the rhizotomy treatment she had no facet joint pain in her cervical spine but had on-going myofascial pain affecting her neck and upper back muscles.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his 2019 report, Dr. Etheridge referenced Ms. Fines' report that by the end of her workday her pain decreases her ability to perform academic duties, housekeeping and yard work and leisure activities. He did not consider that these limitations would significantly change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With respect to ongoing treatment, Dr. Etheridge recommended further rhizotomy treatments that would help with headaches, neck and back pain. In his opinion, such treatments could provide pain relief for between six months and three years. He did not provide an opinion regarding how long these treatments would be required. Although in his 2019 report Dr. Etheridge stated that Ms. Fines would require 4-6 weeks to recover from the pain and discomfort associated with each rhizotomy treatment, his evidence at trial was that a 2-4 week recovery period was also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At trial, Dr. Etheridge confirmed that nerve pain that is initially eliminated after a rhizotomy treatment, would slowly increase over time as the cauterized nerves healed, until a new treatment is provided.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Riar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Ms. Fines tendered two expert reports from Dr. Kulwant Riar prepared in 2017 and 2019. Dr. Riar was qualified as an expert psychiatrist.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both of his reports, Dr. Riar provided his opinion that because of the Accident Ms. Fines suffers from Somatic Symptom Disorder, Major Depressive Disorder and Unspecified Anxiety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his 2017 report Dr. Riar recommended that Ms. Fines do active exercise rather than relying on passive treatment as she had primarily been doing to date. In addition, he recommended that she be prescribed with an adequate dosage of anti-depressants and that she participate in between 12 and 14 cognitive behavioral psychotherapy sessions.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As at 2017, Dr. Riar did not consider Ms. Fines to be disabled, although he expressed his opinion that some of her activities of daily living were restricted due to ongoing depression, anxiety and her somatic symptom disorder. In his opinion, Ms. Fines would likely achieve remission from her psychiatric conditions in the future if she followed treatment recommendations, although he could not say when.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his 2019 report, Dr. Riar stated "[a]s far as disability, for the last couple of years, although she has been functioning in personal and professional life, some aspects of her life are limited due to ongoing pain and emotional symptoms. Her overall functioning is quite precarious, [due] to any added stress which can deteriorate her psychiatric disorders and functioning; likely rendering her disabled."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With respect to her psychiatric prognosis, Dr. Riar's opinion was that Ms. Fines had not received optimal psychiatric care. Although he was somewhat equivocal in his report, his opinion was that there is a good chance that Ms. Fines will recover from anxiety and depression in time and that this will result in an improvement in her somatic symptom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assumptions relied upon by Dr. Riar supporting his diagnosis of major depressive disorder, somatic symptom disorder and unspecified anxiety disorder were significantly challenged on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Dr. Riar diagnosed Ms. Fines with major depressive disorder by applying the DSM V diagnostic criterion. He agreed on cross-examination that there was no evidence that Ms. Fines had suffered from five symptoms in a two-week period, which is a requirement for diagnosis of this disorder under the DSM V. With respect to the specific criterion he relied upon, Dr. Riar agreed that there was no evidence to support a finding that Ms. Fines was depressed most of the day nearly every day. He also agreed that there was no evidence that Ms. Fines lacked interest or took no pleasure in all activities. He did not know if Ms. Fines gained or lost more than 5% of her body weight in a month. He did not have a basis for finding that Ms. Fines was fatigued every day. Finally, he agreed that he did not have a basis for concluding that Ms. Fines suffered from a loss of concentration every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Dr. Riar suffered from similar problems with respect to the objective findings required to support a diagnosis of somatic symptom disorder and unspecified anxiety disorder under the DSM V. For example, he admitted that he did not specifically inquire whether Ms. Fines spent significant periods of time catastrophizing about her symptoms, which is a requirement under the DSM V. According to Dr. Riar, he simply looked at Ms. Fines and at her patient records and tried to "figure it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With respect to Dr. Riar's diagnosis of unspecified anxiety disorder, he testified that such a diagnosis involves a finding of clinically significant distress or disorder. When asked during cross-examination what evidence he relied upon to make such a finding, Dr. Riar referred to paras. 22 to 23 of his July 2017 report. In my view, although those paragraphs refer to Ms. Fines experiencing some nervousness and anxiety driving and being in large crowds, they do not specify significant distress or disorder. In addition, Dr. Riar agreed on cross-examination that many of the symptoms of anxiety that he considered existed might have been present before the Accident given that Ms. Fines displayed pre-Accident symptoms of obsessive-compulsive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Dr. Riar admitted on cross-examination that during his assessment of Ms. Fines, he was not aware that after the Accident Ms. Fines' daughter had attempted suicide and Ms. Fines was concerned she may attempt suicide again, that her son's cousin had committed suicide resulting in her son's temporary drug use and depression or that Ms. Fines' mother-in-law to be had recently passed away. He confirmed that knowledge of these events might have changed his opinion that the Accident caused the psychiatric disorders he identified.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Finally, on cross-examination Dr. Riar confirmed that in his opinion Ms. Fines would have benefitted from the various treatments he recommended including cognitive behavioral psychotherapy, active exercise rather than passive therapy, and a continual course of anti-depressants (Cymbalta) of 60mg per dose rather than the 30mg doses which Ms. Fines had previous been taking on an on-and-off basis.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Defence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ICBC tendered expert evidence from Dr. Kendall and Dr. McGraw, who are both orthopedic surgeons and were qualified to provide opinion evidence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Dr. McGraw's opinion was that Ms. Fines sustained a whiplash injury to her neck (WAD Type II), a soft tissue injury to thoracic spine, a right shoulder rotator cuff tear and bruised ribs during the Accident. His opinion was that the long-term prognosis for Ms. Fines' neck and thoracic spine was good although it was unclear if she would ever be free from associated pain. He noted that the bruising to Ms. Fines' ribs and low back pain had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his report of October 2019, Dr. Kendall expressed his opinion that Ms. Fines suffered a soft tissue injury to her neck and upper back in the Accident. In his view, the three possible causes of Ms. Fines' right shoulder, rotator cuff tear include the following: a pre-existing asymptomatic injury - which he considered to be most likely; a tear which occurred at the time of the Accident - which he considered to be less likely but possible; and, a tear which occurred later and is unrelated to the Accident - which he considered to be the least likely.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his report, Dr. Kendall states that a basis for his opinion that it is less likely that the right shoulder rotator cuff tear occurred during the Accident is because Ms. Fines did not report any shoulder pain shortly after the Accident. I note that later in his report Dr. Kendall goes on to state that "it appears that she did indeed have pain arising from this cuff tear, as the first surgery did improve her symptoms somewhat".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Ms. Fines must establish on a balance of probabilities that Mr. Johnson's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materially contributed to her injuries. Mr. Johnson's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need not be the sole cause of her injuries so long as it is part of the cause beyond the range of </w:t>
      </w:r>
      <w:r>
        <w:rPr>
          <w:rFonts w:ascii="arial" w:eastAsia="arial" w:hAnsi="arial" w:cs="arial"/>
          <w:i/>
          <w:color w:val="000000"/>
          <w:sz w:val="20"/>
          <w:lang w:val="en-US" w:eastAsia="en-US" w:bidi="ar-SA"/>
        </w:rPr>
        <w:t>de minimus</w:t>
      </w:r>
      <w:r>
        <w:rPr>
          <w:rFonts w:ascii="arial" w:eastAsia="arial" w:hAnsi="arial" w:cs="arial"/>
          <w:color w:val="000000"/>
          <w:sz w:val="20"/>
          <w:lang w:val="en-US" w:eastAsia="en-US" w:bidi="ar-SA"/>
        </w:rPr>
        <w:t xml:space="preserve">. Causation need not be determined by scientific precision: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30"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paras. 13-17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Farrant v. Laktin</w:t>
      </w:r>
      <w:r>
        <w:rPr>
          <w:rFonts w:ascii="arial" w:eastAsia="arial" w:hAnsi="arial" w:cs="arial"/>
          <w:color w:val="000000"/>
          <w:sz w:val="20"/>
          <w:lang w:val="en-US" w:eastAsia="en-US" w:bidi="ar-SA"/>
        </w:rPr>
        <w:t xml:space="preserve">, </w:t>
      </w:r>
      <w:hyperlink r:id="rId98" w:history="1">
        <w:r>
          <w:rPr>
            <w:rFonts w:ascii="arial" w:eastAsia="arial" w:hAnsi="arial" w:cs="arial"/>
            <w:i/>
            <w:color w:val="0077CC"/>
            <w:sz w:val="20"/>
            <w:u w:val="single"/>
            <w:shd w:val="clear" w:color="auto" w:fill="FFFFFF"/>
            <w:lang w:val="en-US" w:eastAsia="en-US" w:bidi="ar-SA"/>
          </w:rPr>
          <w:t>2011 BCCA 336</w:t>
        </w:r>
      </w:hyperlink>
      <w:r>
        <w:rPr>
          <w:rFonts w:ascii="arial" w:eastAsia="arial" w:hAnsi="arial" w:cs="arial"/>
          <w:color w:val="000000"/>
          <w:sz w:val="20"/>
          <w:lang w:val="en-US" w:eastAsia="en-US" w:bidi="ar-SA"/>
        </w:rPr>
        <w:t xml:space="preserve"> at para.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99"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at para. 9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xml:space="preserve">], the Supreme Court of Canada affirmed the "but for" causation test, which is a factual determination that is to be applied in a robust common sense fashion. There is no need for scientific evidence of the precise contribution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made to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I am satisfied that the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xml:space="preserve">' robust and common sense approach to the "but for" test applies. Accordingly, Ms. Fines must establish on a balance of probabilities that her physical and psychological injuries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Johnson.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Discussion and Conclusion on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find that in the Accident Ms. Fines sustained a soft tissue (whiplash) injury to the left side of her neck and soft tissue injuries to joint capsules in her cervical spine. I also find that as a result of these injuries Ms. Fines suffers from symptoms including on-going headaches which occur approximately three times per week, chronic neck pain and sleep disturbance. In my view this position is supported by the evidence of Ms. Fines, the lay witnesses and both Ms. Fines' and ICBC's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With respect to the cause of Ms. Fines right shoulder injury, I prefer the opinion evidence of Dr. Hughes over that of Dr. Kendall that it is more likely than not that the Accident caused the tears in Ms. Fines' right shoulder rotator cuff which required two surgeries to effect necessary repairs. Dr. Kendall's opinion, that it was more likely that the right shoulder rotator cuff injury was an asymptomatic pre-Accident injury, is not supported by the evidence adduced at trial that Ms. Fines was not suffering right shoulder pain just before the Accident but did immediately afterwards. In addition, it was Dr. Hughes' evidence that when he completed the first surgical repair to Ms. Fines' rotator cuff, the damaged tissues did not appear to be show old damage. Finally, Dr. Hughes' opinion that the Accident caused Ms. Fines' right shoulder injury is supported by the opinion evidence of Drs. McGraw and Ethridge,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accept Dr. Hughes' opinion evidence at trial that the second right shoulder surgery, completed in 2018, was to a portion of Ms. Fines' rotator cuff injured in the Accident and not diagnosed at the time of the first surgery in 2014. Dr. Hughes, as the surgeon that completed the repairs in 2014 and 2018, is in my view in the best position to make this finding. In addition, there is no evidence of an incident occurring after the Accident which would have caused a further tear.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summary, I find on a balance of probabilities that the Accident caused Ms. Fines' right shoulder rotator cuff injury which resulted in two surgeries. I accept Dr. Etheridge's opinion that Ms. Fines suffers from a 10-15% deficit in pre-injury, right shoulder function. In addition I accept Dr. Hughes' opinion that in order to avoid further injury or pain Ms. Fines is now required to avoid repetitive right shoulder movement at shoulder level height and above and activities such as lifting, carrying, pushing and pulling of weights in excess of what she can comfortably tolerate at physical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With respect to the left shoulder injury Ms. Fines sustained in 2019, I find on a balance of probabilities that but for the Accident Ms. Fines would have used both her right and left arm when walking down the stairs outside her apartment. I accept her evidence that she did not hold onto the railing with her right arm in order to protect her right shoulder from potential further injury. Accordingly, I find on a balance of probabilities that but for her right shoulder injury Ms. Fines would not have sustained the subsequent injury to her left shoulder. Again, the evidence of Dr. Hughes and Ms. Fines indicates that the injury to Ms. Fines' left shoulder was relatively minor and that her left shoulder is not permanently impaired.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With respect to Dr. Riar's diagnosis of Major Depressive Disorder, Somatic Symptom Disorder and Unspecified Anxiety Disorder, I am not satisfied on a balance of probabilities that these specific diagnoses are correct. With all due respect to Dr. Riar, in my view he relied upon assumptions rather than objective findings with respect to many of the required diagnostic criteria set out in the DSM V manual. In addition, Dr. Riar was not advised of many of the other significant stresses in Ms. Fines' life after the Accident that may have contributed to her symptoms. He admitted that had he known about these stresses it might have affected his opinion that the Accident caused all of Ms. Fines' psychiatric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 am satisfied on the evidence of Ms. Fines and the lay witnesses, that as a result of the Accident Ms. Fines suffered and continues to suffer from symptoms of depression and anxiety, although not to the extent that these symptoms could be described as debilitating.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Non-pecuniary damages compensate a plaintiff for pain, suffering, loss of enjoyment of life and loss of amenities. The compensation awarded should be fair to all parties. Although comparable cases serve as a rough guide in determining fairness, each case depends on its own unique facts: </w:t>
      </w:r>
      <w:r>
        <w:rPr>
          <w:rFonts w:ascii="arial" w:eastAsia="arial" w:hAnsi="arial" w:cs="arial"/>
          <w:i/>
          <w:color w:val="000000"/>
          <w:sz w:val="20"/>
          <w:lang w:val="en-US" w:eastAsia="en-US" w:bidi="ar-SA"/>
        </w:rPr>
        <w:t>Benavides v. Doe</w:t>
      </w:r>
      <w:r>
        <w:rPr>
          <w:rFonts w:ascii="arial" w:eastAsia="arial" w:hAnsi="arial" w:cs="arial"/>
          <w:color w:val="000000"/>
          <w:sz w:val="20"/>
          <w:lang w:val="en-US" w:eastAsia="en-US" w:bidi="ar-SA"/>
        </w:rPr>
        <w:t xml:space="preserve">, </w:t>
      </w:r>
      <w:hyperlink r:id="rId100" w:history="1">
        <w:r>
          <w:rPr>
            <w:rFonts w:ascii="arial" w:eastAsia="arial" w:hAnsi="arial" w:cs="arial"/>
            <w:i/>
            <w:color w:val="0077CC"/>
            <w:sz w:val="20"/>
            <w:u w:val="single"/>
            <w:shd w:val="clear" w:color="auto" w:fill="FFFFFF"/>
            <w:lang w:val="en-US" w:eastAsia="en-US" w:bidi="ar-SA"/>
          </w:rPr>
          <w:t>2015 BCSC 1831</w:t>
        </w:r>
      </w:hyperlink>
      <w:r>
        <w:rPr>
          <w:rFonts w:ascii="arial" w:eastAsia="arial" w:hAnsi="arial" w:cs="arial"/>
          <w:color w:val="000000"/>
          <w:sz w:val="20"/>
          <w:lang w:val="en-US" w:eastAsia="en-US" w:bidi="ar-SA"/>
        </w:rPr>
        <w:t xml:space="preserve"> at para. 94; aff'd by </w:t>
      </w:r>
      <w:r>
        <w:rPr>
          <w:rFonts w:ascii="arial" w:eastAsia="arial" w:hAnsi="arial" w:cs="arial"/>
          <w:i/>
          <w:color w:val="000000"/>
          <w:sz w:val="20"/>
          <w:lang w:val="en-US" w:eastAsia="en-US" w:bidi="ar-SA"/>
        </w:rPr>
        <w:t>Benavides v. Insurance Corporation of British Columbia</w:t>
      </w:r>
      <w:r>
        <w:rPr>
          <w:rFonts w:ascii="arial" w:eastAsia="arial" w:hAnsi="arial" w:cs="arial"/>
          <w:color w:val="000000"/>
          <w:sz w:val="20"/>
          <w:lang w:val="en-US" w:eastAsia="en-US" w:bidi="ar-SA"/>
        </w:rPr>
        <w:t xml:space="preserve">, </w:t>
      </w:r>
      <w:hyperlink r:id="rId101" w:history="1">
        <w:r>
          <w:rPr>
            <w:rFonts w:ascii="arial" w:eastAsia="arial" w:hAnsi="arial" w:cs="arial"/>
            <w:i/>
            <w:color w:val="0077CC"/>
            <w:sz w:val="20"/>
            <w:u w:val="single"/>
            <w:shd w:val="clear" w:color="auto" w:fill="FFFFFF"/>
            <w:lang w:val="en-US" w:eastAsia="en-US" w:bidi="ar-SA"/>
          </w:rPr>
          <w:t>2017 BCCA 15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Factors to be considered in assessing non-pecuniary damages include the age of the plaintiff, nature of the injury, severity and duration of pain, disability, emotional suffering, loss or impairment of life, impairment of family, marital and social relationships, impairment of physical and mental abilities and loss of lifestyle: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102"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at para. 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Ms. Fines submits that non-pecuniary damages in the range of $150,000 to $175,000 are appropriate in the circumstances and relies upon the following cases:</w:t>
      </w:r>
      <w:r>
        <w:rPr>
          <w:rFonts w:ascii="arial" w:eastAsia="arial" w:hAnsi="arial" w:cs="arial"/>
          <w:sz w:val="20"/>
          <w:lang w:val="en-US" w:eastAsia="en-US" w:bidi="ar-SA"/>
        </w:rPr>
        <w:cr/>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Noftle v. Bartosch</w:t>
      </w:r>
      <w:r>
        <w:rPr>
          <w:rFonts w:ascii="arial" w:eastAsia="arial" w:hAnsi="arial" w:cs="arial"/>
          <w:color w:val="000000"/>
          <w:sz w:val="20"/>
          <w:lang w:val="en-US" w:eastAsia="en-US" w:bidi="ar-SA"/>
        </w:rPr>
        <w:t xml:space="preserve">, </w:t>
      </w:r>
      <w:hyperlink r:id="rId103" w:history="1">
        <w:r>
          <w:rPr>
            <w:rFonts w:ascii="arial" w:eastAsia="arial" w:hAnsi="arial" w:cs="arial"/>
            <w:i/>
            <w:color w:val="0077CC"/>
            <w:sz w:val="20"/>
            <w:u w:val="single"/>
            <w:shd w:val="clear" w:color="auto" w:fill="FFFFFF"/>
            <w:lang w:val="en-US" w:eastAsia="en-US" w:bidi="ar-SA"/>
          </w:rPr>
          <w:t>[2018] B.C.J. No. 884</w:t>
        </w:r>
      </w:hyperlink>
      <w:r>
        <w:rPr>
          <w:rFonts w:ascii="arial" w:eastAsia="arial" w:hAnsi="arial" w:cs="arial"/>
          <w:color w:val="000000"/>
          <w:sz w:val="20"/>
          <w:lang w:val="en-US" w:eastAsia="en-US" w:bidi="ar-SA"/>
        </w:rPr>
        <w:t xml:space="preserve"> [$170,000]</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Cornish v. Khunkhun</w:t>
      </w:r>
      <w:r>
        <w:rPr>
          <w:rFonts w:ascii="arial" w:eastAsia="arial" w:hAnsi="arial" w:cs="arial"/>
          <w:color w:val="000000"/>
          <w:sz w:val="20"/>
          <w:lang w:val="en-US" w:eastAsia="en-US" w:bidi="ar-SA"/>
        </w:rPr>
        <w:t xml:space="preserve">, </w:t>
      </w:r>
      <w:hyperlink r:id="rId104" w:history="1">
        <w:r>
          <w:rPr>
            <w:rFonts w:ascii="arial" w:eastAsia="arial" w:hAnsi="arial" w:cs="arial"/>
            <w:i/>
            <w:color w:val="0077CC"/>
            <w:sz w:val="20"/>
            <w:u w:val="single"/>
            <w:shd w:val="clear" w:color="auto" w:fill="FFFFFF"/>
            <w:lang w:val="en-US" w:eastAsia="en-US" w:bidi="ar-SA"/>
          </w:rPr>
          <w:t>[2015] B.C.J. No. 60</w:t>
        </w:r>
      </w:hyperlink>
      <w:r>
        <w:rPr>
          <w:rFonts w:ascii="arial" w:eastAsia="arial" w:hAnsi="arial" w:cs="arial"/>
          <w:color w:val="000000"/>
          <w:sz w:val="20"/>
          <w:lang w:val="en-US" w:eastAsia="en-US" w:bidi="ar-SA"/>
        </w:rPr>
        <w:t xml:space="preserve"> [$160,000]</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Williams v. Sekhon</w:t>
      </w:r>
      <w:r>
        <w:rPr>
          <w:rFonts w:ascii="arial" w:eastAsia="arial" w:hAnsi="arial" w:cs="arial"/>
          <w:color w:val="000000"/>
          <w:sz w:val="20"/>
          <w:lang w:val="en-US" w:eastAsia="en-US" w:bidi="ar-SA"/>
        </w:rPr>
        <w:t xml:space="preserve">, </w:t>
      </w:r>
      <w:hyperlink r:id="rId105" w:history="1">
        <w:r>
          <w:rPr>
            <w:rFonts w:ascii="arial" w:eastAsia="arial" w:hAnsi="arial" w:cs="arial"/>
            <w:i/>
            <w:color w:val="0077CC"/>
            <w:sz w:val="20"/>
            <w:u w:val="single"/>
            <w:shd w:val="clear" w:color="auto" w:fill="FFFFFF"/>
            <w:lang w:val="en-US" w:eastAsia="en-US" w:bidi="ar-SA"/>
          </w:rPr>
          <w:t>[2019] B.C.J No. 1691</w:t>
        </w:r>
      </w:hyperlink>
      <w:r>
        <w:rPr>
          <w:rFonts w:ascii="arial" w:eastAsia="arial" w:hAnsi="arial" w:cs="arial"/>
          <w:color w:val="000000"/>
          <w:sz w:val="20"/>
          <w:lang w:val="en-US" w:eastAsia="en-US" w:bidi="ar-SA"/>
        </w:rPr>
        <w:t xml:space="preserve"> [$135,000]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ICBC submits that non-pecuniary damages, before a reduction for a failure to mitigate, of $80,000 are appropriate and relies upon the following cases:</w:t>
      </w:r>
      <w:r>
        <w:rPr>
          <w:rFonts w:ascii="arial" w:eastAsia="arial" w:hAnsi="arial" w:cs="arial"/>
          <w:sz w:val="20"/>
          <w:lang w:val="en-US" w:eastAsia="en-US" w:bidi="ar-SA"/>
        </w:rPr>
        <w:cr/>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Gaudreault v. Gobiel</w:t>
      </w:r>
      <w:r>
        <w:rPr>
          <w:rFonts w:ascii="arial" w:eastAsia="arial" w:hAnsi="arial" w:cs="arial"/>
          <w:color w:val="000000"/>
          <w:sz w:val="20"/>
          <w:lang w:val="en-US" w:eastAsia="en-US" w:bidi="ar-SA"/>
        </w:rPr>
        <w:t xml:space="preserve">, </w:t>
      </w:r>
      <w:hyperlink r:id="rId106" w:history="1">
        <w:r>
          <w:rPr>
            <w:rFonts w:ascii="arial" w:eastAsia="arial" w:hAnsi="arial" w:cs="arial"/>
            <w:i/>
            <w:color w:val="0077CC"/>
            <w:sz w:val="20"/>
            <w:u w:val="single"/>
            <w:shd w:val="clear" w:color="auto" w:fill="FFFFFF"/>
            <w:lang w:val="en-US" w:eastAsia="en-US" w:bidi="ar-SA"/>
          </w:rPr>
          <w:t>2015 BCSC 483</w:t>
        </w:r>
      </w:hyperlink>
      <w:r>
        <w:rPr>
          <w:rFonts w:ascii="arial" w:eastAsia="arial" w:hAnsi="arial" w:cs="arial"/>
          <w:color w:val="000000"/>
          <w:sz w:val="20"/>
          <w:lang w:val="en-US" w:eastAsia="en-US" w:bidi="ar-SA"/>
        </w:rPr>
        <w:t xml:space="preserve"> [$75,000]</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Mir Tabatabaei v. Kular</w:t>
      </w:r>
      <w:r>
        <w:rPr>
          <w:rFonts w:ascii="arial" w:eastAsia="arial" w:hAnsi="arial" w:cs="arial"/>
          <w:color w:val="000000"/>
          <w:sz w:val="20"/>
          <w:lang w:val="en-US" w:eastAsia="en-US" w:bidi="ar-SA"/>
        </w:rPr>
        <w:t xml:space="preserve">, </w:t>
      </w:r>
      <w:hyperlink r:id="rId107" w:history="1">
        <w:r>
          <w:rPr>
            <w:rFonts w:ascii="arial" w:eastAsia="arial" w:hAnsi="arial" w:cs="arial"/>
            <w:i/>
            <w:color w:val="0077CC"/>
            <w:sz w:val="20"/>
            <w:u w:val="single"/>
            <w:shd w:val="clear" w:color="auto" w:fill="FFFFFF"/>
            <w:lang w:val="en-US" w:eastAsia="en-US" w:bidi="ar-SA"/>
          </w:rPr>
          <w:t>2015 BCSC 295</w:t>
        </w:r>
      </w:hyperlink>
      <w:r>
        <w:rPr>
          <w:rFonts w:ascii="arial" w:eastAsia="arial" w:hAnsi="arial" w:cs="arial"/>
          <w:color w:val="000000"/>
          <w:sz w:val="20"/>
          <w:lang w:val="en-US" w:eastAsia="en-US" w:bidi="ar-SA"/>
        </w:rPr>
        <w:t xml:space="preserve"> [$75,000]</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Blackman v. Dha</w:t>
      </w:r>
      <w:r>
        <w:rPr>
          <w:rFonts w:ascii="arial" w:eastAsia="arial" w:hAnsi="arial" w:cs="arial"/>
          <w:color w:val="000000"/>
          <w:sz w:val="20"/>
          <w:lang w:val="en-US" w:eastAsia="en-US" w:bidi="ar-SA"/>
        </w:rPr>
        <w:t xml:space="preserve">, </w:t>
      </w:r>
      <w:hyperlink r:id="rId108" w:history="1">
        <w:r>
          <w:rPr>
            <w:rFonts w:ascii="arial" w:eastAsia="arial" w:hAnsi="arial" w:cs="arial"/>
            <w:i/>
            <w:color w:val="0077CC"/>
            <w:sz w:val="20"/>
            <w:u w:val="single"/>
            <w:shd w:val="clear" w:color="auto" w:fill="FFFFFF"/>
            <w:lang w:val="en-US" w:eastAsia="en-US" w:bidi="ar-SA"/>
          </w:rPr>
          <w:t>2015 BCSC 698</w:t>
        </w:r>
      </w:hyperlink>
      <w:r>
        <w:rPr>
          <w:rFonts w:ascii="arial" w:eastAsia="arial" w:hAnsi="arial" w:cs="arial"/>
          <w:color w:val="000000"/>
          <w:sz w:val="20"/>
          <w:lang w:val="en-US" w:eastAsia="en-US" w:bidi="ar-SA"/>
        </w:rPr>
        <w:t xml:space="preserve"> [$80,000]</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Burtwell v. McCaffrey</w:t>
      </w:r>
      <w:r>
        <w:rPr>
          <w:rFonts w:ascii="arial" w:eastAsia="arial" w:hAnsi="arial" w:cs="arial"/>
          <w:color w:val="000000"/>
          <w:sz w:val="20"/>
          <w:lang w:val="en-US" w:eastAsia="en-US" w:bidi="ar-SA"/>
        </w:rPr>
        <w:t xml:space="preserve">, </w:t>
      </w:r>
      <w:hyperlink r:id="rId109" w:history="1">
        <w:r>
          <w:rPr>
            <w:rFonts w:ascii="arial" w:eastAsia="arial" w:hAnsi="arial" w:cs="arial"/>
            <w:i/>
            <w:color w:val="0077CC"/>
            <w:sz w:val="20"/>
            <w:u w:val="single"/>
            <w:shd w:val="clear" w:color="auto" w:fill="FFFFFF"/>
            <w:lang w:val="en-US" w:eastAsia="en-US" w:bidi="ar-SA"/>
          </w:rPr>
          <w:t>2013 BCSC 886</w:t>
        </w:r>
      </w:hyperlink>
      <w:r>
        <w:rPr>
          <w:rFonts w:ascii="arial" w:eastAsia="arial" w:hAnsi="arial" w:cs="arial"/>
          <w:color w:val="000000"/>
          <w:sz w:val="20"/>
          <w:lang w:val="en-US" w:eastAsia="en-US" w:bidi="ar-SA"/>
        </w:rPr>
        <w:t xml:space="preserve"> [$80,000]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It is not necessary for me to review the details of the cases cited by counsel in these reasons. I have considered the similarities and differences between the cases cited by counsel and the case at bar.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Discussion and Conclusion on Non 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My findings with respect to the injuries Ms. Fines sustained in the Accident and the injuries to her left shoulder have been set out earlier in my reasons and there is no need to repeat them. In my view the most significant permanent impact of the injuries Ms. Fines sustained is the permanent impairment to right shoulder function, of 10-15% from pre-Accident levels and her ongoing neck pain, which has become chronic, and the associated headaches and fatigue.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Ms. Fines' evidence at trial was that after the Accident and to date she continues to suffer from significant pain and pain related symptoms including headaches, and loss of restful sleep and associated fatigue.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 accept that within a short time after the Accident Ms. Fines experienced significant pain to her neck, back and right shoulder. The medical evidence calls into question the extent to which some of those pain symptoms persist. The most recent reports of both Dr. Hughes and Dr. Etheridge suggest that Ms. Fines' pain levels have significantly decreased and is not debilitating. I find that Ms. Fines' pain symptoms have improved since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 am conscious of Dr. Etheridge's opinion that the reduction in neck pain results from the successful rhizotomy treatment Ms. Fines received in June 2019 is not permanent and that over time this pain will return until she receives another rhizotomy treatment. I find it significant that Ms. Fines will require additional rhizotomy treatments, which themselves will involve pain and a period of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Unfortunately, Dr. Etheridge did not provide any evidence with respect to how long Ms. Fines will require rhizotomy treatments to manage her neck pain. Dr. Kendall provided evidence during cross-examination that pain generally decreases with age - or stated somewhat differently, that an individual's ability to deal with pain improves over time. For the purposes of assessing Ms. Fines' damages, I have assumed that within ten years her pain related symptoms will improve to a level where they are no longer impacting her vocational or recreational pursuits and that she will no longer require rhizotomy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With respect to Ms. Fines' symptoms of depression and anxiety I am not satisfied that these conditions arise solely from the Accident. Dr. Riar's evidence and the evidence of Ms. Fines' son suggest that Ms. Fines displayed obsessive-compulsive behaviour, which includes symptoms similar to anxiety, before the Accident. In addition, Ms. Fines has experienced significant non-Accident related personal stresses in her life since the Accident and by her own evidence and those of her colleagues, works in a high-stress, emotionally challenging profession. In any case Dr. Riar's prognosis, although somewhat guarded, was that with further treatment there is a good chance that Ms. Fines' symptoms of anxiety and depression will resolve over time. I assume with treatment these symptoms will resolve within five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 find that Ms. Fines' Accident-related symptoms have impacted her ability to advance her plans to complete a MSW as quickly as she had planned. I will deal with the extent of delay in more detail later in my reasons. I also find that her symptoms have had a negative effect on her performance at work. Finally, I find that her symptoms have had a negative impact on her self-esteem and sense of self-worth.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addition, I find that Ms. Fines' symptoms have resulted in a reduced ability to carry out physical activities including, most significantly, her ability to participate in sports and exercise, and to a lesser extent her ability to complete home and auto maintenance. I am satisfied that Ms. Fines' reduced ability to participate in the same level of physical activity with her children has had an impact on her relationship with them. This has likely also had a negative impact on Ms. Fines' self-esteem and sense of self-worth.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 am not satisfied that Ms. Fines' Accident-related symptoms and physical limitations have permanently affected her ability to engage in meaningful relationships. Although in February of 2016 Ms. Fines stopped seeing the boyfriend she had at the time of the Accident, she started a new relationship a short time later and is now engaged to her new partner.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With respect to my assessment of an award for non-pecuniary damages, in my view many of the cases relied upon by Ms. Fines occupy the higher end of the spectrum for non-pecuniary damage awards for similar injuries. The cases relied upon by ICBC are in my view at the lower range and the damages awarded in those cases are not sufficient to address the pain, suffering and loss of enjoyment of life suffered by Ms. Fines.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In the end, determination of an award for non-pecuniary damages involves an assessment of all of the relevant factors and consideration of fairness to the plaintiff and the defendant. Having reviewed the cases provided by the parties and considering Ms. Fines' particular circumstances I assess Ms. Fines' non-pecuniary damages at $110,000.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Past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Ms. Fines testified that but for the Accident, she would have worked part-time until she completed her BSW, then full-time as a social worker until she started her MSW studies in September 2014, which she expected to complete by the summer of 2015. She further testified that she would have worked part-time as a private counsellor while completing her MSW and then afterwards would have found full-time work as a social worker and worked up to ten hours per week as a private counsellor.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Ms. Fines seeks damages for past loss of earning capacity under three main categories. The first category of loss is for days which Ms. Fines says she was unable to work, as a result of the Accident, with the John Howard Society, Splatsin First Nation, Friendship Society and MCFD - for a total loss of $36,251.30. The second category concerns alleged income loss from November 2015 (which I believe is after Ms. Fines would have completed a practicum as part of her MSW) to the date of trial of $7,773.58 resulting from the loss of ability to obtain an MSW degree and thereby earn a higher monthly income. The third category concerns an alleged loss of income from November 2015 to the date of trial of $221,506.56, resulting from the loss of ability to work as a private counsellor with an MSW degree.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ICBC submits that there is only evidentiary support for $28,024 in past income loss arising from Ms. Fines' inability to work because of Accident-related illness or attendance at medical treatments. They submit that there is no evidence that but for the Accident, Ms. Fines would have earned more at MCFD than she did even if she had obtained an MSW. Finally, they submit that Ms. Fines' claim that she would have worked as a private counsellor for ten hours a week earning $120/hr is mere speculation.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Compensation for past and future loss of earning capacity is to be based on what the plaintiff would have, not could have, earned but for the injury that was sustained: </w:t>
      </w:r>
      <w:r>
        <w:rPr>
          <w:rFonts w:ascii="arial" w:eastAsia="arial" w:hAnsi="arial" w:cs="arial"/>
          <w:i/>
          <w:color w:val="000000"/>
          <w:sz w:val="20"/>
          <w:lang w:val="en-US" w:eastAsia="en-US" w:bidi="ar-SA"/>
        </w:rPr>
        <w:t>Ibbitson v. Cooper</w:t>
      </w:r>
      <w:r>
        <w:rPr>
          <w:rFonts w:ascii="arial" w:eastAsia="arial" w:hAnsi="arial" w:cs="arial"/>
          <w:color w:val="000000"/>
          <w:sz w:val="20"/>
          <w:lang w:val="en-US" w:eastAsia="en-US" w:bidi="ar-SA"/>
        </w:rPr>
        <w:t xml:space="preserve">, </w:t>
      </w:r>
      <w:hyperlink r:id="rId110" w:history="1">
        <w:r>
          <w:rPr>
            <w:rFonts w:ascii="arial" w:eastAsia="arial" w:hAnsi="arial" w:cs="arial"/>
            <w:i/>
            <w:color w:val="0077CC"/>
            <w:sz w:val="20"/>
            <w:u w:val="single"/>
            <w:shd w:val="clear" w:color="auto" w:fill="FFFFFF"/>
            <w:lang w:val="en-US" w:eastAsia="en-US" w:bidi="ar-SA"/>
          </w:rPr>
          <w:t>2012 BCCA 249</w:t>
        </w:r>
      </w:hyperlink>
      <w:r>
        <w:rPr>
          <w:rFonts w:ascii="arial" w:eastAsia="arial" w:hAnsi="arial" w:cs="arial"/>
          <w:color w:val="000000"/>
          <w:sz w:val="20"/>
          <w:lang w:val="en-US" w:eastAsia="en-US" w:bidi="ar-SA"/>
        </w:rPr>
        <w:t xml:space="preserve"> at para. 19;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111"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at para. 30; </w:t>
      </w:r>
      <w:r>
        <w:rPr>
          <w:rFonts w:ascii="arial" w:eastAsia="arial" w:hAnsi="arial" w:cs="arial"/>
          <w:i/>
          <w:color w:val="000000"/>
          <w:sz w:val="20"/>
          <w:lang w:val="en-US" w:eastAsia="en-US" w:bidi="ar-SA"/>
        </w:rPr>
        <w:t>M.B. v. British Columbia</w:t>
      </w:r>
      <w:r>
        <w:rPr>
          <w:rFonts w:ascii="arial" w:eastAsia="arial" w:hAnsi="arial" w:cs="arial"/>
          <w:color w:val="000000"/>
          <w:sz w:val="20"/>
          <w:lang w:val="en-US" w:eastAsia="en-US" w:bidi="ar-SA"/>
        </w:rPr>
        <w:t xml:space="preserve">, </w:t>
      </w:r>
      <w:hyperlink r:id="rId112" w:history="1">
        <w:r>
          <w:rPr>
            <w:rFonts w:ascii="arial" w:eastAsia="arial" w:hAnsi="arial" w:cs="arial"/>
            <w:i/>
            <w:color w:val="0077CC"/>
            <w:sz w:val="20"/>
            <w:u w:val="single"/>
            <w:shd w:val="clear" w:color="auto" w:fill="FFFFFF"/>
            <w:lang w:val="en-US" w:eastAsia="en-US" w:bidi="ar-SA"/>
          </w:rPr>
          <w:t>2003 SCC 53</w:t>
        </w:r>
      </w:hyperlink>
      <w:r>
        <w:rPr>
          <w:rFonts w:ascii="arial" w:eastAsia="arial" w:hAnsi="arial" w:cs="arial"/>
          <w:color w:val="000000"/>
          <w:sz w:val="20"/>
          <w:lang w:val="en-US" w:eastAsia="en-US" w:bidi="ar-SA"/>
        </w:rPr>
        <w:t xml:space="preserve"> at para. 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A claim for past income loss is actually a claim for past loss of earning capacity. That is, a claim for the loss of the value of the work that the injured party would have performed but was unable to perform because of the injury. Loss of earning capacity rather than the loss of actual income is to be considered, although loss of income may provide some basis in determining the value of loss of capacity: </w:t>
      </w:r>
      <w:r>
        <w:rPr>
          <w:rFonts w:ascii="arial" w:eastAsia="arial" w:hAnsi="arial" w:cs="arial"/>
          <w:i/>
          <w:color w:val="000000"/>
          <w:sz w:val="20"/>
          <w:lang w:val="en-US" w:eastAsia="en-US" w:bidi="ar-SA"/>
        </w:rPr>
        <w:t>Mojahedi v. Friesen</w:t>
      </w:r>
      <w:r>
        <w:rPr>
          <w:rFonts w:ascii="arial" w:eastAsia="arial" w:hAnsi="arial" w:cs="arial"/>
          <w:color w:val="000000"/>
          <w:sz w:val="20"/>
          <w:lang w:val="en-US" w:eastAsia="en-US" w:bidi="ar-SA"/>
        </w:rPr>
        <w:t xml:space="preserve">, </w:t>
      </w:r>
      <w:hyperlink r:id="rId113" w:history="1">
        <w:r>
          <w:rPr>
            <w:rFonts w:ascii="arial" w:eastAsia="arial" w:hAnsi="arial" w:cs="arial"/>
            <w:i/>
            <w:color w:val="0077CC"/>
            <w:sz w:val="20"/>
            <w:u w:val="single"/>
            <w:shd w:val="clear" w:color="auto" w:fill="FFFFFF"/>
            <w:lang w:val="en-US" w:eastAsia="en-US" w:bidi="ar-SA"/>
          </w:rPr>
          <w:t>2016 BCSC 1225</w:t>
        </w:r>
      </w:hyperlink>
      <w:r>
        <w:rPr>
          <w:rFonts w:ascii="arial" w:eastAsia="arial" w:hAnsi="arial" w:cs="arial"/>
          <w:color w:val="000000"/>
          <w:sz w:val="20"/>
          <w:lang w:val="en-US" w:eastAsia="en-US" w:bidi="ar-SA"/>
        </w:rPr>
        <w:t xml:space="preserve"> at para. 73 referring to </w:t>
      </w:r>
      <w:r>
        <w:rPr>
          <w:rFonts w:ascii="arial" w:eastAsia="arial" w:hAnsi="arial" w:cs="arial"/>
          <w:i/>
          <w:color w:val="000000"/>
          <w:sz w:val="20"/>
          <w:lang w:val="en-US" w:eastAsia="en-US" w:bidi="ar-SA"/>
        </w:rPr>
        <w:t>Rowe</w:t>
      </w:r>
      <w:r>
        <w:rPr>
          <w:rFonts w:ascii="arial" w:eastAsia="arial" w:hAnsi="arial" w:cs="arial"/>
          <w:color w:val="000000"/>
          <w:sz w:val="20"/>
          <w:lang w:val="en-US" w:eastAsia="en-US" w:bidi="ar-SA"/>
        </w:rPr>
        <w:t xml:space="preserve"> at para.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The burden of proof of actual past events is proof on a balance of probabilities. An assessment of loss of both past and future earning capacity involves consideration of hypothetical events. A plaintiff is not required to prove these hypothetical events on a balance of probabilities. A hypothetical possibility can be considered so long as there is a real and substantial possibility that it would have occurred, or will occur, and is not mere speculation: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 </w:t>
      </w:r>
      <w:r>
        <w:rPr>
          <w:rFonts w:ascii="arial" w:eastAsia="arial" w:hAnsi="arial" w:cs="arial"/>
          <w:i/>
          <w:color w:val="000000"/>
          <w:sz w:val="20"/>
          <w:lang w:val="en-US" w:eastAsia="en-US" w:bidi="ar-SA"/>
        </w:rPr>
        <w:t>Morlan v. Barrett</w:t>
      </w:r>
      <w:r>
        <w:rPr>
          <w:rFonts w:ascii="arial" w:eastAsia="arial" w:hAnsi="arial" w:cs="arial"/>
          <w:color w:val="000000"/>
          <w:sz w:val="20"/>
          <w:lang w:val="en-US" w:eastAsia="en-US" w:bidi="ar-SA"/>
        </w:rPr>
        <w:t xml:space="preserve">, </w:t>
      </w:r>
      <w:hyperlink r:id="rId114" w:history="1">
        <w:r>
          <w:rPr>
            <w:rFonts w:ascii="arial" w:eastAsia="arial" w:hAnsi="arial" w:cs="arial"/>
            <w:i/>
            <w:color w:val="0077CC"/>
            <w:sz w:val="20"/>
            <w:u w:val="single"/>
            <w:shd w:val="clear" w:color="auto" w:fill="FFFFFF"/>
            <w:lang w:val="en-US" w:eastAsia="en-US" w:bidi="ar-SA"/>
          </w:rPr>
          <w:t>2012 BCCA 66</w:t>
        </w:r>
      </w:hyperlink>
      <w:r>
        <w:rPr>
          <w:rFonts w:ascii="arial" w:eastAsia="arial" w:hAnsi="arial" w:cs="arial"/>
          <w:color w:val="000000"/>
          <w:sz w:val="20"/>
          <w:lang w:val="en-US" w:eastAsia="en-US" w:bidi="ar-SA"/>
        </w:rPr>
        <w:t xml:space="preserve"> at para. 38; </w:t>
      </w:r>
      <w:r>
        <w:rPr>
          <w:rFonts w:ascii="arial" w:eastAsia="arial" w:hAnsi="arial" w:cs="arial"/>
          <w:i/>
          <w:color w:val="000000"/>
          <w:sz w:val="20"/>
          <w:lang w:val="en-US" w:eastAsia="en-US" w:bidi="ar-SA"/>
        </w:rPr>
        <w:t>Grewal v. Naumann</w:t>
      </w:r>
      <w:r>
        <w:rPr>
          <w:rFonts w:ascii="arial" w:eastAsia="arial" w:hAnsi="arial" w:cs="arial"/>
          <w:color w:val="000000"/>
          <w:sz w:val="20"/>
          <w:lang w:val="en-US" w:eastAsia="en-US" w:bidi="ar-SA"/>
        </w:rPr>
        <w:t xml:space="preserve">, </w:t>
      </w:r>
      <w:hyperlink r:id="rId115" w:history="1">
        <w:r>
          <w:rPr>
            <w:rFonts w:ascii="arial" w:eastAsia="arial" w:hAnsi="arial" w:cs="arial"/>
            <w:i/>
            <w:color w:val="0077CC"/>
            <w:sz w:val="20"/>
            <w:u w:val="single"/>
            <w:shd w:val="clear" w:color="auto" w:fill="FFFFFF"/>
            <w:lang w:val="en-US" w:eastAsia="en-US" w:bidi="ar-SA"/>
          </w:rPr>
          <w:t>2017 BCCA 158</w:t>
        </w:r>
      </w:hyperlink>
      <w:r>
        <w:rPr>
          <w:rFonts w:ascii="arial" w:eastAsia="arial" w:hAnsi="arial" w:cs="arial"/>
          <w:color w:val="000000"/>
          <w:sz w:val="20"/>
          <w:lang w:val="en-US" w:eastAsia="en-US" w:bidi="ar-SA"/>
        </w:rPr>
        <w:t xml:space="preserve"> at paras. 48 - 49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The amount of past or future income loss may be proven using the "earnings approach" or the "capital asset" approach. The former will be more useful when a loss is more easily measureable - for example where a plaintiff's income is not expected to fluctuate, up or down, over time. The latter is more useful when the loss is not easily measured: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116"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Discussion and Conclusion on Past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In this case Ms. Fines essentially submits a calculation for past loss of earnings capacity, an earnings approach assessment, based on her best possible employment and earnings scenario from the date of the Accident to the date of trial. She seeks damages for past loss of earning capacity based on this calculation.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As I have already noted, ICBC accepts that a portion of Ms. Fines' damages for past loss of earning capacity can be determined by calculating lost income for the days she was unable to work. It submits that adding a wage loss differential (that is, the difference between earnings with a BSW and an MSW) and assuming a loss of private counselling income as Ms. Fines submits will result in an excessive award that bears no resemblance to statistical earnings data for persons with an MSW.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As the authorities make clear, compensation for past loss of earning capacity is based on what the plaintiff would have, not could have, earned but for an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 find that there is a real and substantial possibility that but for the Accident Ms. Fines would have continued to work part-time until she completed her BSW in May 2014, then worked as a social worker full-time until she started her MSW in September 2014, and then worked part-time until she finished her MSW (along with the required practicum) by November 2015. I also find that there is a real and substantial possibility that after obtaining her MSW that Ms. Fines would have found full-time employment as a social worker and commenced efforts to start building a business as a part-time private counsellor.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 accept Ms. Fines' evidence that because of the combination of her physical and psychological symptoms caused by the Accident, that she has been unable to complete her MSW at this time. I will discuss my findings whether it is likely that she will be unable to do so forever later in my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There is uncertainty with respect to how much more Ms. Fines would have earned to the date of trial working as a full-time social worker if she had obtained her MSW in November 2015 as she had planned. For example, assuming that but for the Accident Ms. Fines would have obtained a position with MCFD, the evidence did not establish when or if she would have obtained a position with MCFD reserved for those with an MSW. Therefore it is not clear whether, if she had obtained her MSW, this would have resulted in greater earnings than she has made as a social worker with a BSW.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There is also significant uncertainty regarding Ms. Fines' potential earnings as a part-time private counsellor. Ms. Fines' calculation of loss of private counselling income assumes that almost immediately after obtaining her MSW she would have immediately started at ten hours per week of private counselling and earned $120/hour for this work. In my view there was no evidence adduced at trial to allow me to determine how long it would have taken Ms. Fines to build up to ten hours of private counselling work per week. There was insufficient evidence at trial to support Ms. Fines' position that she would have earned $120/hour for such work. The evidence at trial provided by one of Ms. Fines' colleagues, that private counsellors charge $120/hour, is anecdotal. In addition, I am not satisfied that Ms. Fines has included all potential overhead charges to be off-set against potential income as a private counsellor. She has applied an 8% deduction in this respect which in my view is artificially 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Despite my uncertainties with respect to losses resulting from a wage loss differential and loss of private counselling income, an assessment of damages for past loss of income earning capacity is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For the purposes of my assessment of damages I assume that Ms. Fines lost employment income of approximately $33,000 due to an inability to work caused by the Accident. I have not included any amount for lost income due to Ms. Fines attendance at trial as such losses are not claimable (see </w:t>
      </w:r>
      <w:r>
        <w:rPr>
          <w:rFonts w:ascii="arial" w:eastAsia="arial" w:hAnsi="arial" w:cs="arial"/>
          <w:i/>
          <w:color w:val="000000"/>
          <w:sz w:val="20"/>
          <w:lang w:val="en-US" w:eastAsia="en-US" w:bidi="ar-SA"/>
        </w:rPr>
        <w:t>Willing v. Ayles</w:t>
      </w:r>
      <w:r>
        <w:rPr>
          <w:rFonts w:ascii="arial" w:eastAsia="arial" w:hAnsi="arial" w:cs="arial"/>
          <w:color w:val="000000"/>
          <w:sz w:val="20"/>
          <w:lang w:val="en-US" w:eastAsia="en-US" w:bidi="ar-SA"/>
        </w:rPr>
        <w:t xml:space="preserve">, </w:t>
      </w:r>
      <w:hyperlink r:id="rId117" w:history="1">
        <w:r>
          <w:rPr>
            <w:rFonts w:ascii="arial" w:eastAsia="arial" w:hAnsi="arial" w:cs="arial"/>
            <w:i/>
            <w:color w:val="0077CC"/>
            <w:sz w:val="20"/>
            <w:u w:val="single"/>
            <w:shd w:val="clear" w:color="auto" w:fill="FFFFFF"/>
            <w:lang w:val="en-US" w:eastAsia="en-US" w:bidi="ar-SA"/>
          </w:rPr>
          <w:t>2009 BCSC 1035</w:t>
        </w:r>
      </w:hyperlink>
      <w:r>
        <w:rPr>
          <w:rFonts w:ascii="arial" w:eastAsia="arial" w:hAnsi="arial" w:cs="arial"/>
          <w:color w:val="000000"/>
          <w:sz w:val="20"/>
          <w:lang w:val="en-US" w:eastAsia="en-US" w:bidi="ar-SA"/>
        </w:rPr>
        <w:t>, at paras. 192-193).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For the purposes of my assessment of losses arising from an alleged wage differential, I assume that had Ms. Fines obtained her MSW in November 2015, as she had planned, she would have earned an additional $5,000 in salary before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Finally, on the assumption that Ms. Fines would have started private counselling work starting in January 2016 averaging 3.5 hours per week in 2016 and seven hours per week each year thereafter, that she would have been able to charge $100/hr and that her overhead costs would have been 15% of gross earnings, I estimate that but for the Accident, Ms. Fines would have earned $102,510 in private counselling income before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In total this would result in past wage loss, before tax, totalling $140,510. If income tax of 35% is assumed the net amount would be $91,331.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In summary, I find that there is a real and substantial possibility that but for the Accident Ms. Fines would have earned an additional $91,331 after tax, before trial.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Ms. Fines submits that she is currently not able and will never be able to complete an MSW as a result of her inability to sit and study for prolonged periods of time. She submits that her ongoing pain, fatigue and functional deficits prevent her from working outside of her regular MCFD hours. On this basis, she contends that she will suffer future income losses, which includes the wage differential loss discussed earlier in my reasons, eventually rising to $14,000/year until she reaches 65 years of age and retires from full-time work and a loss of earnings from private counselling, of $57,600/year until age 65 and $144,000/year from 65 to 70 years of 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In addition, Ms. Fines submits that she will incur further income losses on the assumption that she will miss three weeks of work per year to recover from annual rhizotomy treatment and a further two weeks per year due to pain and headaches - both to the age of 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In total, Ms. Fines claims damages for loss of future earning capacity of $1,637,787.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ICBC submits that Ms. Fines' claim for loss of future earning capacity is significantly inflated. They submit that the calculation completed by Ms. Fines' expert economist, Mark Szekely (who I qualified as an expert witness at trial) relies on a number of unverified assumptions, including the assumption with respect to Ms. Fines' potential earnings as a private counsellor and the assumption that she would work until after the age of 65. ICBC contends that Mr. Szekely's wage loss calculations bear no resemblance to the statistical averages for female counsellors with a Master's degree.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In addition, ICBC submits that if I find that Ms. Fines' future earning capacity is impaired as a result of her not having her MSW degree, which they do not concede, that at most Ms. Fines should receive damages equivalent to one-years' salary. ICBC submits that this will enable Ms. Fines to go back to school full-time, obtain her MSW degree and then continue to work on a full-time basis as a social worker and part-time as a private counsellor, as she had originally planned.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Discussion and Conclusion on Future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 consider that Ms. Fines' proposed methodology for assessing her damages for loss of future earning capacity, which is in essence an income approach, is inappropriate in the circumstances. As I stated above concerning Ms. Fines' submissions with respect to past wage loss, Ms. Fines submits a calculation of damages for loss of future earnings capacity based on the best possible scenario for her possible earnings had the Accident not occurred. In my view, there are too many uncertainties with respect to what may happen to Ms. Fines' employment and employment prospects in the future to justify an income approach assessment to this head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A claim for loss of future earning capacity raises two key questions: 1) has the plaintiff's earning capacity been impaired by his or her injuries; and, if so 2) what compensation should be awarded for the resulting financial harm that will accrue over time? The assessment of loss must be based on the evidence, and not on an application of a purely mathematical calculation. The appropriate means of assessment will vary from case to case: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36"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Pallos v. Insurance Corp. of British Columbia</w:t>
      </w:r>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Pett v. Pett</w:t>
      </w:r>
      <w:r>
        <w:rPr>
          <w:rFonts w:ascii="arial" w:eastAsia="arial" w:hAnsi="arial" w:cs="arial"/>
          <w:color w:val="000000"/>
          <w:sz w:val="20"/>
          <w:lang w:val="en-US" w:eastAsia="en-US" w:bidi="ar-SA"/>
        </w:rPr>
        <w:t xml:space="preserve">, </w:t>
      </w:r>
      <w:hyperlink r:id="rId119" w:history="1">
        <w:r>
          <w:rPr>
            <w:rFonts w:ascii="arial" w:eastAsia="arial" w:hAnsi="arial" w:cs="arial"/>
            <w:i/>
            <w:color w:val="0077CC"/>
            <w:sz w:val="20"/>
            <w:u w:val="single"/>
            <w:shd w:val="clear" w:color="auto" w:fill="FFFFFF"/>
            <w:lang w:val="en-US" w:eastAsia="en-US" w:bidi="ar-SA"/>
          </w:rPr>
          <w:t>2009 BCCA 232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The essential task of the court is to compare the likely future of the plaintiff's working life if the accident had not happened with the plaintiff's likely future working life after the accident: </w:t>
      </w:r>
      <w:r>
        <w:rPr>
          <w:rFonts w:ascii="arial" w:eastAsia="arial" w:hAnsi="arial" w:cs="arial"/>
          <w:i/>
          <w:color w:val="000000"/>
          <w:sz w:val="20"/>
          <w:lang w:val="en-US" w:eastAsia="en-US" w:bidi="ar-SA"/>
        </w:rPr>
        <w:t>Gregory v. Insurance Corp. of British Columbia</w:t>
      </w:r>
      <w:r>
        <w:rPr>
          <w:rFonts w:ascii="arial" w:eastAsia="arial" w:hAnsi="arial" w:cs="arial"/>
          <w:color w:val="000000"/>
          <w:sz w:val="20"/>
          <w:lang w:val="en-US" w:eastAsia="en-US" w:bidi="ar-SA"/>
        </w:rPr>
        <w:t xml:space="preserve">, </w:t>
      </w:r>
      <w:hyperlink r:id="rId120"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The principles that apply in assessing loss of future earning capacity were summarized by Low J.A. in </w:t>
      </w:r>
      <w:r>
        <w:rPr>
          <w:rFonts w:ascii="arial" w:eastAsia="arial" w:hAnsi="arial" w:cs="arial"/>
          <w:i/>
          <w:color w:val="000000"/>
          <w:sz w:val="20"/>
          <w:lang w:val="en-US" w:eastAsia="en-US" w:bidi="ar-SA"/>
        </w:rPr>
        <w:t>Reilly v. Lynn</w:t>
      </w:r>
      <w:r>
        <w:rPr>
          <w:rFonts w:ascii="arial" w:eastAsia="arial" w:hAnsi="arial" w:cs="arial"/>
          <w:color w:val="000000"/>
          <w:sz w:val="20"/>
          <w:lang w:val="en-US" w:eastAsia="en-US" w:bidi="ar-SA"/>
        </w:rPr>
        <w:t xml:space="preserve">, </w:t>
      </w:r>
      <w:hyperlink r:id="rId121" w:history="1">
        <w:r>
          <w:rPr>
            <w:rFonts w:ascii="arial" w:eastAsia="arial" w:hAnsi="arial" w:cs="arial"/>
            <w:i/>
            <w:color w:val="0077CC"/>
            <w:sz w:val="20"/>
            <w:u w:val="single"/>
            <w:shd w:val="clear" w:color="auto" w:fill="FFFFFF"/>
            <w:lang w:val="en-US" w:eastAsia="en-US" w:bidi="ar-SA"/>
          </w:rPr>
          <w:t>2003 BCCA 49</w:t>
        </w:r>
      </w:hyperlink>
      <w:r>
        <w:rPr>
          <w:rFonts w:ascii="arial" w:eastAsia="arial" w:hAnsi="arial" w:cs="arial"/>
          <w:color w:val="000000"/>
          <w:sz w:val="20"/>
          <w:lang w:val="en-US" w:eastAsia="en-US" w:bidi="ar-SA"/>
        </w:rPr>
        <w:t xml:space="preserve"> at para. 101: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[101] The relevant principles may be briefly summarized. The standard of proof in relation to future events is simple probability, not the balance of probabilities, and hypothetical events are to be given weight according to their relative likelihood: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30"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27. A plaintiff is entitled to compensation for real and substantial possibilities of loss, which are to be quantified by estimating the chance of the loss occurring: </w:t>
      </w:r>
      <w:r>
        <w:rPr>
          <w:rFonts w:ascii="arial" w:eastAsia="arial" w:hAnsi="arial" w:cs="arial"/>
          <w:i/>
          <w:color w:val="000000"/>
          <w:sz w:val="20"/>
          <w:lang w:val="en-US" w:eastAsia="en-US" w:bidi="ar-SA"/>
        </w:rPr>
        <w:t>Athey v. Leonati, supra</w:t>
      </w:r>
      <w:r>
        <w:rPr>
          <w:rFonts w:ascii="arial" w:eastAsia="arial" w:hAnsi="arial" w:cs="arial"/>
          <w:color w:val="000000"/>
          <w:sz w:val="20"/>
          <w:lang w:val="en-US" w:eastAsia="en-US" w:bidi="ar-SA"/>
        </w:rPr>
        <w:t xml:space="preserve">, at para. 27, </w:t>
      </w:r>
      <w:r>
        <w:rPr>
          <w:rFonts w:ascii="arial" w:eastAsia="arial" w:hAnsi="arial" w:cs="arial"/>
          <w:i/>
          <w:color w:val="000000"/>
          <w:sz w:val="20"/>
          <w:lang w:val="en-US" w:eastAsia="en-US" w:bidi="ar-SA"/>
        </w:rPr>
        <w:t>Steenblok v. Funk</w:t>
      </w:r>
      <w:r>
        <w:rPr>
          <w:rFonts w:ascii="arial" w:eastAsia="arial" w:hAnsi="arial" w:cs="arial"/>
          <w:color w:val="000000"/>
          <w:sz w:val="20"/>
          <w:lang w:val="en-US" w:eastAsia="en-US" w:bidi="ar-SA"/>
        </w:rPr>
        <w:t xml:space="preserve"> </w:t>
      </w:r>
      <w:hyperlink r:id="rId122" w:history="1">
        <w:r>
          <w:rPr>
            <w:rFonts w:ascii="arial" w:eastAsia="arial" w:hAnsi="arial" w:cs="arial"/>
            <w:i/>
            <w:color w:val="0077CC"/>
            <w:sz w:val="20"/>
            <w:u w:val="single"/>
            <w:shd w:val="clear" w:color="auto" w:fill="FFFFFF"/>
            <w:lang w:val="en-US" w:eastAsia="en-US" w:bidi="ar-SA"/>
          </w:rPr>
          <w:t>(1990), 46 B.C.L.R. (2d) 133</w:t>
        </w:r>
      </w:hyperlink>
      <w:r>
        <w:rPr>
          <w:rFonts w:ascii="arial" w:eastAsia="arial" w:hAnsi="arial" w:cs="arial"/>
          <w:color w:val="000000"/>
          <w:sz w:val="20"/>
          <w:lang w:val="en-US" w:eastAsia="en-US" w:bidi="ar-SA"/>
        </w:rPr>
        <w:t xml:space="preserve"> at 135 (C.A.). The valuation of the loss of earning capacity may involve a comparison of what the plaintiff would probably have earned but for the accident with what he will probably earn in his injured condition: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123"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93 (S.C.). However, that is not the end of the inquiry; the overall fairness and reasonableness of the award must be considered: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124"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11; </w:t>
      </w:r>
      <w:r>
        <w:rPr>
          <w:rFonts w:ascii="arial" w:eastAsia="arial" w:hAnsi="arial" w:cs="arial"/>
          <w:i/>
          <w:color w:val="000000"/>
          <w:sz w:val="20"/>
          <w:lang w:val="en-US" w:eastAsia="en-US" w:bidi="ar-SA"/>
        </w:rPr>
        <w:t>Ryder v. Paquette</w:t>
      </w:r>
      <w:r>
        <w:rPr>
          <w:rFonts w:ascii="arial" w:eastAsia="arial" w:hAnsi="arial" w:cs="arial"/>
          <w:color w:val="000000"/>
          <w:sz w:val="20"/>
          <w:lang w:val="en-US" w:eastAsia="en-US" w:bidi="ar-SA"/>
        </w:rPr>
        <w:t xml:space="preserve">, </w:t>
      </w:r>
      <w:hyperlink r:id="rId125" w:history="1">
        <w:r>
          <w:rPr>
            <w:rFonts w:ascii="arial" w:eastAsia="arial" w:hAnsi="arial" w:cs="arial"/>
            <w:i/>
            <w:color w:val="0077CC"/>
            <w:sz w:val="20"/>
            <w:u w:val="single"/>
            <w:shd w:val="clear" w:color="auto" w:fill="FFFFFF"/>
            <w:lang w:val="en-US" w:eastAsia="en-US" w:bidi="ar-SA"/>
          </w:rPr>
          <w:t>[1995] B.C.J. No. 644</w:t>
        </w:r>
      </w:hyperlink>
      <w:r>
        <w:rPr>
          <w:rFonts w:ascii="arial" w:eastAsia="arial" w:hAnsi="arial" w:cs="arial"/>
          <w:color w:val="000000"/>
          <w:sz w:val="20"/>
          <w:lang w:val="en-US" w:eastAsia="en-US" w:bidi="ar-SA"/>
        </w:rPr>
        <w:t xml:space="preserve"> (C.A.) (Q.L.). Moreover, the task of the Court is to assess the losses, not to calculate them mathematically: </w:t>
      </w:r>
      <w:r>
        <w:rPr>
          <w:rFonts w:ascii="arial" w:eastAsia="arial" w:hAnsi="arial" w:cs="arial"/>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126"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(C.A.). Finally, since the course of future events is unknown, allowance must be made for the contingency that the assumptions upon which the award is based may prove to be wrong: </w:t>
      </w:r>
      <w:r>
        <w:rPr>
          <w:rFonts w:ascii="arial" w:eastAsia="arial" w:hAnsi="arial" w:cs="arial"/>
          <w:i/>
          <w:color w:val="000000"/>
          <w:sz w:val="20"/>
          <w:lang w:val="en-US" w:eastAsia="en-US" w:bidi="ar-SA"/>
        </w:rPr>
        <w:t>Milina v. Bartsch, supra</w:t>
      </w:r>
      <w:r>
        <w:rPr>
          <w:rFonts w:ascii="arial" w:eastAsia="arial" w:hAnsi="arial" w:cs="arial"/>
          <w:color w:val="000000"/>
          <w:sz w:val="20"/>
          <w:lang w:val="en-US" w:eastAsia="en-US" w:bidi="ar-SA"/>
        </w:rPr>
        <w:t>, at 79.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Although she has had difficulty performing her job duties Ms. Fines has been able to complete her studies and obtain work as a social worker. In my view the evidence does not establish that as a result of her Accident-related symptoms, that Ms. Fines is at risk of losing her job, or will otherwise be unable to continue to work as a social worker with MCFD. I agree with the submissions of ICBC that the evidence does support a finding that Ms. Fines has missed an excessive amount of work since the Accident. Although Ms. Fines testified that she has had some difficulties with her current supervisor, there is no evidence of any disciplinary action or other performance based complaints from her supervisors.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In addition, at this point it appears that only minimal accommodation has been made for Ms. Fines at her workplace, including moving her case files to a lower shelf. In my view, to the extent that Ms. Fines has any limitations (for example reaching, lifting and sitting or driving for extended periods of time) her employer will likely make reasonable efforts to accommodate her, so long as her limitations do not prevent Ms. Fines satisfying the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occupational requirements of her job. By way of example, the evidence suggests that a sit-stand desk may help relieve Ms. Fines' neck and back pain. In addition, there was evidence adduced at trial that there are other types of jobs available to Ms. Fines as a social worker with MCFD that do not involve the same requirements for extended periods of sitting at her desk or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In my view, the main question with respect to future loss of earning capacity is whether there is a real and substantial possibility that Ms. Fines will be unable to obtain her MSW in the future and if so, for how long. The next question to be answered is what Ms. Fines could have earned but for the accident, compared with her likely earnings in her injured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Despite the injuries she sustained in the Accident Ms. Fines was able to complete her BSW coursework at Thomson Rivers University. In addition, although she found it difficult (she testified that she worked out of necessity to pay the bills), she was able to continue to work on a part-time basis with the John Howard Society while completing her degree. Although her grades dipped slightly after the Accident, Ms. Fines' continued to perform well in her academic pursuits. This included presenting a paper at a conference in 2014 - which I note she did as she still intended to complete an MSW at that time. Finally, after an extended break from her studies Ms. Fines was able to complete two courses towards her MSW degree in 2018. She took these courses on a part-time basis while she continued to work with MCFD in Merritt and obtained good grades.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Ms. Fines concedes, and I find, that Ms. Fines has the intellectual ability to complete a MSW.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As I have outlined above both Dr. Hughes and Dr. Etheridge were of the opinion that Ms. Fines' condition had significantly improved between 2017 and the later part of 2019. Neither of these experts provided an opinion that she was, or is, unable to attend at school on a part-time or a full-time basis. Nonetheless, I am satisfied that as a result of her current Accident related physical symptoms and psychological symptoms, that Ms. Fines was not capable of taking all of the necessary courses to complete her MSW until some time shortly after she recovered from her first rhizotomy treatment in late 2019.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With respect to Ms. Fines' submission that her inability to sit and study for prolonged periods prevents her from taking masters' courses, I am not satisfied that there is a real and substantial possibility that this will always be the case. In my view Ms. Fines is a strong capable person who has overcome many obstacles in her past. I consider that that Ms. Fines will likely be able to develop strategies to allow her to complete her studies even if her pain symptoms persist.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Although I am satisfied that Ms. Fines symptoms of depression have impacted Ms. Fines recovery from her physical symptoms and have otherwise reduced her ability to work and study I do not consider that there is a real and substantial possibility that these symptoms will continue forever. I accept the evidence of Dr. Riar that with further treatment, in particular cognitive behavioral psychotherapy, that Ms. Fines' depression and anxiety, will improve. I expect that Ms. Fines will take the necessary steps to obtain treatment for her psychological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In summary, although I have found that as a result of the Accident Ms. Fines has been unable to complete her MSW to date I am not satisfied that she will not be able to do so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 note parenthetically, that Ms. Fines' evidence, which I have accepted, is that before the Accident she planned to stop working full-time while she completed her MSW.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Assessment of damages for loss of future income capacity on a loss of capital approach is not an exact science. In my view an award that provides Ms. Fines' with the financial resources to stop working, seek additional medical treatment and to complete her MSW is reasonable and fair. I conclude that an appropriate award should reflect the real and substantial possibility that Ms. Fines will experience a further delay of one-year and nine months in achieving the Master's degree. This assumes that Ms. Fines' symptoms will continue to improve with further treatment and that she will be in a position to commence a full-time MSW program in September 2020, which she will be able to complete in 2021. Based on Ms. Fines' gross pre-tax income in 2019 of approximately $80,000 this results in $140,000 in pre-tax income loss from the date of trial to September 2020.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 also consider it reasonable to include an amount of damages to reflect Ms. Fines' loss of earnings from private counselling from trial through until September of 2020, which I assess at $25,200.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 am not satisfied that there is a real and substantial possibility that Ms. Fines will be required to take two weeks off per year as a result of pain and headaches. I am satisfied that she will suffer an income loss resulting from the requirement that she take time off for future rhizotomy treatments. In my view, there is insufficient evidence on which I can reasonably conclude that Ms. Fines will require rhizotomy treatments until she is 65 years old. I accept Dr. Kendall's evidence that it is likely Ms. Fines' neck pain will improve over time which may reduce or eliminate the requirement for these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For the purposes of my assessment of damages, I find that there is a real and substantial possibility that Ms. Fines will require and will receive rhizotomy treatments for a further ten years, until age 55, and that she will require two weeks leave from work time per year to recover from each of the required treatments. Utilizing the calculation for income loss included in Ms. Fines' closing submissions as a guide, I assess the present value of Ms. Fines' future income losses, resulting from a requirement to miss work for rhizotomy treatments, to be $25,000.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Deducting income tax at the rate of 35% from the gross amount for future income loss of $190,200 results in an award of $123,630. I assess Ms. Fines' damages for loss of future income earning capacity to be $123,630.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Ms. Fines seeks damages of $270,850 for the costs of her future care relying on the reports of Mary Jo Mulgrew. Ms. Mulgrew was qualified as an expert occupational therapist with expertise in functional capacity assessment and quantifying current and future rehabilitation and care costs. Mark Szekely completed the calculation of the present value of future care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ICBC accepts that some of the cost of future care items set out in the report of Ms. Mulgrew are appropriate but disputes a number of items claimed by Ms. Fines.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A plaintiff is entitled to compensation for the cost of future care based on what is reasonably necessary to restore her to her pre-Accident condition in so far as that is possible. When full restoration is not achievable, the court must strive to assure full compensation through the provision of adequate future care. The award is to be based on what is reasonably necessary on the medical evidence to preserve and promote the plaintiff's mental and physical health: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123"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Williams v. Low</w:t>
      </w:r>
      <w:r>
        <w:rPr>
          <w:rFonts w:ascii="arial" w:eastAsia="arial" w:hAnsi="arial" w:cs="arial"/>
          <w:color w:val="000000"/>
          <w:sz w:val="20"/>
          <w:lang w:val="en-US" w:eastAsia="en-US" w:bidi="ar-SA"/>
        </w:rPr>
        <w:t xml:space="preserve">, </w:t>
      </w:r>
      <w:hyperlink r:id="rId127" w:history="1">
        <w:r>
          <w:rPr>
            <w:rFonts w:ascii="arial" w:eastAsia="arial" w:hAnsi="arial" w:cs="arial"/>
            <w:i/>
            <w:color w:val="0077CC"/>
            <w:sz w:val="20"/>
            <w:u w:val="single"/>
            <w:shd w:val="clear" w:color="auto" w:fill="FFFFFF"/>
            <w:lang w:val="en-US" w:eastAsia="en-US" w:bidi="ar-SA"/>
          </w:rPr>
          <w:t>2000 BCSC 345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Spehar v. Beazley</w:t>
      </w:r>
      <w:r>
        <w:rPr>
          <w:rFonts w:ascii="arial" w:eastAsia="arial" w:hAnsi="arial" w:cs="arial"/>
          <w:color w:val="000000"/>
          <w:sz w:val="20"/>
          <w:lang w:val="en-US" w:eastAsia="en-US" w:bidi="ar-SA"/>
        </w:rPr>
        <w:t xml:space="preserve">, </w:t>
      </w:r>
      <w:hyperlink r:id="rId128" w:history="1">
        <w:r>
          <w:rPr>
            <w:rFonts w:ascii="arial" w:eastAsia="arial" w:hAnsi="arial" w:cs="arial"/>
            <w:i/>
            <w:color w:val="0077CC"/>
            <w:sz w:val="20"/>
            <w:u w:val="single"/>
            <w:shd w:val="clear" w:color="auto" w:fill="FFFFFF"/>
            <w:lang w:val="en-US" w:eastAsia="en-US" w:bidi="ar-SA"/>
          </w:rPr>
          <w:t>2002 BCSC 1104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Gignac v. Insurance Corporation of British Columbia</w:t>
      </w:r>
      <w:r>
        <w:rPr>
          <w:rFonts w:ascii="arial" w:eastAsia="arial" w:hAnsi="arial" w:cs="arial"/>
          <w:color w:val="000000"/>
          <w:sz w:val="20"/>
          <w:lang w:val="en-US" w:eastAsia="en-US" w:bidi="ar-SA"/>
        </w:rPr>
        <w:t xml:space="preserve">, </w:t>
      </w:r>
      <w:hyperlink r:id="rId129" w:history="1">
        <w:r>
          <w:rPr>
            <w:rFonts w:ascii="arial" w:eastAsia="arial" w:hAnsi="arial" w:cs="arial"/>
            <w:i/>
            <w:color w:val="0077CC"/>
            <w:sz w:val="20"/>
            <w:u w:val="single"/>
            <w:shd w:val="clear" w:color="auto" w:fill="FFFFFF"/>
            <w:lang w:val="en-US" w:eastAsia="en-US" w:bidi="ar-SA"/>
          </w:rPr>
          <w:t>2012 BCCA 351</w:t>
        </w:r>
      </w:hyperlink>
      <w:r>
        <w:rPr>
          <w:rFonts w:ascii="arial" w:eastAsia="arial" w:hAnsi="arial" w:cs="arial"/>
          <w:color w:val="000000"/>
          <w:sz w:val="20"/>
          <w:lang w:val="en-US" w:eastAsia="en-US" w:bidi="ar-SA"/>
        </w:rPr>
        <w:t xml:space="preserve"> at paras. 29-30.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The test for determining the appropriate award under the heading of cost of future care is an objective one based on medical evidence. For an award of future care: (1) there must be a medical justification for claims for cost of future care and (2) the claims must be reasonable: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at 84; </w:t>
      </w:r>
      <w:r>
        <w:rPr>
          <w:rFonts w:ascii="arial" w:eastAsia="arial" w:hAnsi="arial" w:cs="arial"/>
          <w:i/>
          <w:color w:val="000000"/>
          <w:sz w:val="20"/>
          <w:lang w:val="en-US" w:eastAsia="en-US" w:bidi="ar-SA"/>
        </w:rPr>
        <w:t>Tsalamandris v. McLeod</w:t>
      </w:r>
      <w:r>
        <w:rPr>
          <w:rFonts w:ascii="arial" w:eastAsia="arial" w:hAnsi="arial" w:cs="arial"/>
          <w:color w:val="000000"/>
          <w:sz w:val="20"/>
          <w:lang w:val="en-US" w:eastAsia="en-US" w:bidi="ar-SA"/>
        </w:rPr>
        <w:t xml:space="preserve">, </w:t>
      </w:r>
      <w:hyperlink r:id="rId130" w:history="1">
        <w:r>
          <w:rPr>
            <w:rFonts w:ascii="arial" w:eastAsia="arial" w:hAnsi="arial" w:cs="arial"/>
            <w:i/>
            <w:color w:val="0077CC"/>
            <w:sz w:val="20"/>
            <w:u w:val="single"/>
            <w:shd w:val="clear" w:color="auto" w:fill="FFFFFF"/>
            <w:lang w:val="en-US" w:eastAsia="en-US" w:bidi="ar-SA"/>
          </w:rPr>
          <w:t>2012 BCCA 239</w:t>
        </w:r>
      </w:hyperlink>
      <w:r>
        <w:rPr>
          <w:rFonts w:ascii="arial" w:eastAsia="arial" w:hAnsi="arial" w:cs="arial"/>
          <w:color w:val="000000"/>
          <w:sz w:val="20"/>
          <w:lang w:val="en-US" w:eastAsia="en-US" w:bidi="ar-SA"/>
        </w:rPr>
        <w:t xml:space="preserve"> at paras. 62-63.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It is not necessary for a medical expert to testify in support of each item of support that is claimed but there must be some evidentiary link between a physician's assessment of pain, disability and recommended treatment and the care recommended by a qualified health care professional: </w:t>
      </w:r>
      <w:r>
        <w:rPr>
          <w:rFonts w:ascii="arial" w:eastAsia="arial" w:hAnsi="arial" w:cs="arial"/>
          <w:i/>
          <w:color w:val="000000"/>
          <w:sz w:val="20"/>
          <w:lang w:val="en-US" w:eastAsia="en-US" w:bidi="ar-SA"/>
        </w:rPr>
        <w:t>Gregory v. Insurance Corporation of British Columbia</w:t>
      </w:r>
      <w:r>
        <w:rPr>
          <w:rFonts w:ascii="arial" w:eastAsia="arial" w:hAnsi="arial" w:cs="arial"/>
          <w:color w:val="000000"/>
          <w:sz w:val="20"/>
          <w:lang w:val="en-US" w:eastAsia="en-US" w:bidi="ar-SA"/>
        </w:rPr>
        <w:t xml:space="preserve">, </w:t>
      </w:r>
      <w:hyperlink r:id="rId120"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 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Future care costs are "justified" if they are both medically necessary and likely to be incurred by the plaintiff. The award of damages is thus a matter of prediction as to what will happen in the future. If a plaintiff has not used a particular item or service in the past it may be inappropriate to include its cost in a future care award. However, if the evidence shows that previously rejected services will not be (able to be) rejected in the future, the plaintiff can recover for such services: </w:t>
      </w:r>
      <w:r>
        <w:rPr>
          <w:rFonts w:ascii="arial" w:eastAsia="arial" w:hAnsi="arial" w:cs="arial"/>
          <w:i/>
          <w:color w:val="000000"/>
          <w:sz w:val="20"/>
          <w:lang w:val="en-US" w:eastAsia="en-US" w:bidi="ar-SA"/>
        </w:rPr>
        <w:t>Izony v. Weidlich</w:t>
      </w:r>
      <w:r>
        <w:rPr>
          <w:rFonts w:ascii="arial" w:eastAsia="arial" w:hAnsi="arial" w:cs="arial"/>
          <w:color w:val="000000"/>
          <w:sz w:val="20"/>
          <w:lang w:val="en-US" w:eastAsia="en-US" w:bidi="ar-SA"/>
        </w:rPr>
        <w:t xml:space="preserve">, </w:t>
      </w:r>
      <w:hyperlink r:id="rId131" w:history="1">
        <w:r>
          <w:rPr>
            <w:rFonts w:ascii="arial" w:eastAsia="arial" w:hAnsi="arial" w:cs="arial"/>
            <w:i/>
            <w:color w:val="0077CC"/>
            <w:sz w:val="20"/>
            <w:u w:val="single"/>
            <w:shd w:val="clear" w:color="auto" w:fill="FFFFFF"/>
            <w:lang w:val="en-US" w:eastAsia="en-US" w:bidi="ar-SA"/>
          </w:rPr>
          <w:t>2006 BCSC 1315</w:t>
        </w:r>
      </w:hyperlink>
      <w:r>
        <w:rPr>
          <w:rFonts w:ascii="arial" w:eastAsia="arial" w:hAnsi="arial" w:cs="arial"/>
          <w:color w:val="000000"/>
          <w:sz w:val="20"/>
          <w:lang w:val="en-US" w:eastAsia="en-US" w:bidi="ar-SA"/>
        </w:rPr>
        <w:t xml:space="preserve"> at para. 74; </w:t>
      </w:r>
      <w:r>
        <w:rPr>
          <w:rFonts w:ascii="arial" w:eastAsia="arial" w:hAnsi="arial" w:cs="arial"/>
          <w:i/>
          <w:color w:val="000000"/>
          <w:sz w:val="20"/>
          <w:lang w:val="en-US" w:eastAsia="en-US" w:bidi="ar-SA"/>
        </w:rPr>
        <w:t>O'Connell v. Yung</w:t>
      </w:r>
      <w:r>
        <w:rPr>
          <w:rFonts w:ascii="arial" w:eastAsia="arial" w:hAnsi="arial" w:cs="arial"/>
          <w:color w:val="000000"/>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2012 BCCA 57</w:t>
        </w:r>
      </w:hyperlink>
      <w:r>
        <w:rPr>
          <w:rFonts w:ascii="arial" w:eastAsia="arial" w:hAnsi="arial" w:cs="arial"/>
          <w:color w:val="000000"/>
          <w:sz w:val="20"/>
          <w:lang w:val="en-US" w:eastAsia="en-US" w:bidi="ar-SA"/>
        </w:rPr>
        <w:t xml:space="preserve"> at paras. 55, 60, and 68-70.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xml:space="preserve">  The extent, if any, to which a future care costs award should be adjusted for contingencies depends on the specific care needs of the plaintiff. In some cases, negative contingencies are offset by positive contingencies and therefore a contingency adjustment is not required. In other cases however, the award should be reduced based on the prospect of improvement in the plaintiff's condition or increased based on the prospect that additional care will be required. Each case falls to be determined on its particular facts: </w:t>
      </w:r>
      <w:r>
        <w:rPr>
          <w:rFonts w:ascii="arial" w:eastAsia="arial" w:hAnsi="arial" w:cs="arial"/>
          <w:i/>
          <w:color w:val="000000"/>
          <w:sz w:val="20"/>
          <w:lang w:val="en-US" w:eastAsia="en-US" w:bidi="ar-SA"/>
        </w:rPr>
        <w:t>Gilbert v. Bottle</w:t>
      </w:r>
      <w:r>
        <w:rPr>
          <w:rFonts w:ascii="arial" w:eastAsia="arial" w:hAnsi="arial" w:cs="arial"/>
          <w:color w:val="000000"/>
          <w:sz w:val="20"/>
          <w:lang w:val="en-US" w:eastAsia="en-US" w:bidi="ar-SA"/>
        </w:rPr>
        <w:t xml:space="preserve">, </w:t>
      </w:r>
      <w:hyperlink r:id="rId133" w:history="1">
        <w:r>
          <w:rPr>
            <w:rFonts w:ascii="arial" w:eastAsia="arial" w:hAnsi="arial" w:cs="arial"/>
            <w:i/>
            <w:color w:val="0077CC"/>
            <w:sz w:val="20"/>
            <w:u w:val="single"/>
            <w:shd w:val="clear" w:color="auto" w:fill="FFFFFF"/>
            <w:lang w:val="en-US" w:eastAsia="en-US" w:bidi="ar-SA"/>
          </w:rPr>
          <w:t>2011 BCSC 1389</w:t>
        </w:r>
      </w:hyperlink>
      <w:r>
        <w:rPr>
          <w:rFonts w:ascii="arial" w:eastAsia="arial" w:hAnsi="arial" w:cs="arial"/>
          <w:color w:val="000000"/>
          <w:sz w:val="20"/>
          <w:lang w:val="en-US" w:eastAsia="en-US" w:bidi="ar-SA"/>
        </w:rPr>
        <w:t xml:space="preserve"> at para. 253.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An assessment of damages for cost of future care is not a precise accounting exercise: </w:t>
      </w:r>
      <w:r>
        <w:rPr>
          <w:rFonts w:ascii="arial" w:eastAsia="arial" w:hAnsi="arial" w:cs="arial"/>
          <w:i/>
          <w:color w:val="000000"/>
          <w:sz w:val="20"/>
          <w:lang w:val="en-US" w:eastAsia="en-US" w:bidi="ar-SA"/>
        </w:rPr>
        <w:t>Krangle (Guardian ad litem of) v. Brisco</w:t>
      </w:r>
      <w:r>
        <w:rPr>
          <w:rFonts w:ascii="arial" w:eastAsia="arial" w:hAnsi="arial" w:cs="arial"/>
          <w:color w:val="000000"/>
          <w:sz w:val="20"/>
          <w:lang w:val="en-US" w:eastAsia="en-US" w:bidi="ar-SA"/>
        </w:rPr>
        <w:t xml:space="preserve">, </w:t>
      </w:r>
      <w:hyperlink r:id="rId134"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xml:space="preserve"> at para.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Discussion and Conclusion on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ICBC submits that the cost of future care report tendered by Ms. Mulgrew should be given little weight on two basis. First, ICBC contends that during her testimony Ms. Mulgrew was evasive and argumentative. Second, ICBC contends that Ms. Mulgrew improperly relied upon a functional capacity evaluation completed in 2017 and Ms. Fines' subjective complaints of pain in 2019 in formulating her opinion with respect to Ms. Fines' care needs in 2019, rather than completing an updated FCE.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 agree that Ms. Mulgrew appeared to become defensive during her cross-examination at trial. This had an impact on my assessment of the reliability of her evidence regarding Ms. Fines' future care needs. In addition, in my view Ms. Mulgrew did not adequately explain her reliance on her objective evaluation completed in 2017 of Ms. Fines ability to carry out certain tasks around her home in formulating her 2019 opinion regarding Ms. Fines' on-going care needs.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Ms. Mulgrew's explanation that she considered Ms. Fines' subjective complaints in 2019 to be consistent with her objective findings in 2017 is in my view problematic. I do not consider a sufficient explanation to be, as argued by Ms. Fines counsel at trial, that Ms. Mulgrew was not asked to complete an updated functional capacity evaluation because of cost concerns. In addition, Ms. Mulgrew appears to have unreasonably disregarded the opinion of Dr. Hughes regarding Ms. Fines' progress.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ICBC agrees that the costs of the cognitive behavioural psychotherapy, recommended by Dr. Riar, for 14 -16 sessions at a cost of $2,925 is appropriate. I agree that this cost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ICBC also agrees that the following medications and treatments are reasonable although to a lesser frequency and period of time than set out in the report of Ms. Mulgrew:</w:t>
      </w:r>
      <w:r>
        <w:rPr>
          <w:rFonts w:ascii="arial" w:eastAsia="arial" w:hAnsi="arial" w:cs="arial"/>
          <w:sz w:val="20"/>
          <w:lang w:val="en-US" w:eastAsia="en-US" w:bidi="ar-SA"/>
        </w:rPr>
        <w:cr/>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Cmybalta</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Extra Strength Tylenol and Advil</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kinesiology sessions</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massage therapy</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 agree that there is insufficient medical support justifying an award of damages premised upon Ms. Fines utilizing all of the above medications for an extended period, given her progress to the date of trial. I consider it appropriate that Ms. Fines receive an award reflecting the use of the above listed medications and treatments for a period of two years. Applying the relevant multiplier from the present value table in Mr. Szekely's report ($1,959) results in a figure for this period of approximately $7,000.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I agree with the submissions of ICBC that none of the medical experts who testified at trial suggested that Ms. Fines take Celebrex or Flexeril or receive chiropractic care. I decline to award any amount for the costs of these items.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I disagree with ICBC that Ms. Fines should not be entitled to the costs of additional rehabilitative activities including yoga and a gym pass. I award Ms. Fines the costs of obtaining these services for a period of two years, which after applying the same multiplier referred to above results in a calculation of $1,900 for these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With respect to the adaptive aids suggested for Ms. Fines' use at home, including a hair dryer stand and kitchen equipment I am not satisfied that as a result of Ms. Fines' Accident-related symptoms these items are medically justified. Further, with respect to the various ergonomic devices suggested for use at work I am not satisfied, given that Ms. Fines likely has a right to seek that her employer provide some or all of these items, that Ms. Fines will incur the cost of obtaining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xml:space="preserve">  Finally, with respect to the future cost of compensatory services including house cleaning, window washing, yard maintenance and snow removal and vehicle care, claimed in the amount of $6,312 annually, I consider it probable that a portion of these costs would likely have been incurred anyway. In addition as set out in </w:t>
      </w:r>
      <w:r>
        <w:rPr>
          <w:rFonts w:ascii="arial" w:eastAsia="arial" w:hAnsi="arial" w:cs="arial"/>
          <w:i/>
          <w:color w:val="000000"/>
          <w:sz w:val="20"/>
          <w:lang w:val="en-US" w:eastAsia="en-US" w:bidi="ar-SA"/>
        </w:rPr>
        <w:t>Travis v. Kwon</w:t>
      </w:r>
      <w:r>
        <w:rPr>
          <w:rFonts w:ascii="arial" w:eastAsia="arial" w:hAnsi="arial" w:cs="arial"/>
          <w:color w:val="000000"/>
          <w:sz w:val="20"/>
          <w:lang w:val="en-US" w:eastAsia="en-US" w:bidi="ar-SA"/>
        </w:rPr>
        <w:t xml:space="preserve">, </w:t>
      </w:r>
      <w:hyperlink r:id="rId135" w:history="1">
        <w:r>
          <w:rPr>
            <w:rFonts w:ascii="arial" w:eastAsia="arial" w:hAnsi="arial" w:cs="arial"/>
            <w:i/>
            <w:color w:val="0077CC"/>
            <w:sz w:val="20"/>
            <w:u w:val="single"/>
            <w:shd w:val="clear" w:color="auto" w:fill="FFFFFF"/>
            <w:lang w:val="en-US" w:eastAsia="en-US" w:bidi="ar-SA"/>
          </w:rPr>
          <w:t>2009 BCSC 63</w:t>
        </w:r>
      </w:hyperlink>
      <w:r>
        <w:rPr>
          <w:rFonts w:ascii="arial" w:eastAsia="arial" w:hAnsi="arial" w:cs="arial"/>
          <w:color w:val="000000"/>
          <w:sz w:val="20"/>
          <w:lang w:val="en-US" w:eastAsia="en-US" w:bidi="ar-SA"/>
        </w:rPr>
        <w:t>, it is not reasonable to expect to pay to have someone perform services that can and should reasonably be taken on by members of someone's family. The evidence establishes that at this time Ms. Fines' son and fiancé are helping with household tasks that Ms. Fines has difficulty completing herself. In my view, on the assumption that Ms. Fines will incur some costs, an appropriate amount for these costs is $2,000 over a two-year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In summary, I award Ms. Fines damages for costs of future care in the amount of $13,825.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Loss of Housekeeping/Handyman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Ms. Fines seeks and award of $50,000 under this head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Where a plaintiff suffers an injury which would make a reasonable person in their circumstances unable to perform usual and necessary household work - that is where the plaintiff has suffered a loss of capacity - that loss may be compensated by way of a pecuniary award: </w:t>
      </w:r>
      <w:r>
        <w:rPr>
          <w:rFonts w:ascii="arial" w:eastAsia="arial" w:hAnsi="arial" w:cs="arial"/>
          <w:i/>
          <w:color w:val="000000"/>
          <w:sz w:val="20"/>
          <w:lang w:val="en-US" w:eastAsia="en-US" w:bidi="ar-SA"/>
        </w:rPr>
        <w:t>Kin v. Lin</w:t>
      </w:r>
      <w:r>
        <w:rPr>
          <w:rFonts w:ascii="arial" w:eastAsia="arial" w:hAnsi="arial" w:cs="arial"/>
          <w:color w:val="000000"/>
          <w:sz w:val="20"/>
          <w:lang w:val="en-US" w:eastAsia="en-US" w:bidi="ar-SA"/>
        </w:rPr>
        <w:t xml:space="preserve">, </w:t>
      </w:r>
      <w:hyperlink r:id="rId136" w:history="1">
        <w:r>
          <w:rPr>
            <w:rFonts w:ascii="arial" w:eastAsia="arial" w:hAnsi="arial" w:cs="arial"/>
            <w:i/>
            <w:color w:val="0077CC"/>
            <w:sz w:val="20"/>
            <w:u w:val="single"/>
            <w:shd w:val="clear" w:color="auto" w:fill="FFFFFF"/>
            <w:lang w:val="en-US" w:eastAsia="en-US" w:bidi="ar-SA"/>
          </w:rPr>
          <w:t>2018 BCCA 77</w:t>
        </w:r>
      </w:hyperlink>
      <w:r>
        <w:rPr>
          <w:rFonts w:ascii="arial" w:eastAsia="arial" w:hAnsi="arial" w:cs="arial"/>
          <w:color w:val="000000"/>
          <w:sz w:val="20"/>
          <w:lang w:val="en-US" w:eastAsia="en-US" w:bidi="ar-SA"/>
        </w:rPr>
        <w:t xml:space="preserve"> at para.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Ms. Fines submits that her capacity to perform heavy household tasks, home renovations, furniture refinishing, landscaping and vehicle maintenance has been impacted by the Accident. The evidence establishes that Ms. Fines carried out this type of work before the Accident and that this work was important to her. I am satisfied that the medical evidence, in particular the opinion of Dr. Hughes that Ms. Fines has suffered a 10-15% deficit in her shoulder function, which includes a limitation in above-the-shoulder work and pushing, pulling and lifting weight, has reduced her ability to carry out such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 am not satisfied that the amount claimed by Ms. Fines under this head of damages is justified. With further improvement to her symptoms, Ms. Fines will likely be able to do some of the work she previously did. I award Ms. Fines $15,000 for damages for loss of housekeeping and handyman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 Trust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Ms. Fines seeks and award of $25,000 in-trust for the value of services provided by her daughter over approximately an 18-month period after the Accident. These services include cooking, cleaning, shopping and most significantly, driving Ms. Fines to and from Enderby, a drive of one and one-half hours each way, over a three month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xml:space="preserve">  I have referred to the factors considered in making an in-trust award set out at para. 180 of </w:t>
      </w:r>
      <w:r>
        <w:rPr>
          <w:rFonts w:ascii="arial" w:eastAsia="arial" w:hAnsi="arial" w:cs="arial"/>
          <w:i/>
          <w:color w:val="000000"/>
          <w:sz w:val="20"/>
          <w:lang w:val="en-US" w:eastAsia="en-US" w:bidi="ar-SA"/>
        </w:rPr>
        <w:t>Bystedt (Guardian ad litem of)</w:t>
      </w:r>
      <w:r>
        <w:rPr>
          <w:rFonts w:ascii="arial" w:eastAsia="arial" w:hAnsi="arial" w:cs="arial"/>
          <w:color w:val="000000"/>
          <w:sz w:val="20"/>
          <w:lang w:val="en-US" w:eastAsia="en-US" w:bidi="ar-SA"/>
        </w:rPr>
        <w:t xml:space="preserve"> v. </w:t>
      </w:r>
      <w:r>
        <w:rPr>
          <w:rFonts w:ascii="arial" w:eastAsia="arial" w:hAnsi="arial" w:cs="arial"/>
          <w:i/>
          <w:color w:val="000000"/>
          <w:sz w:val="20"/>
          <w:lang w:val="en-US" w:eastAsia="en-US" w:bidi="ar-SA"/>
        </w:rPr>
        <w:t>Bagdan</w:t>
      </w:r>
      <w:r>
        <w:rPr>
          <w:rFonts w:ascii="arial" w:eastAsia="arial" w:hAnsi="arial" w:cs="arial"/>
          <w:color w:val="000000"/>
          <w:sz w:val="20"/>
          <w:lang w:val="en-US" w:eastAsia="en-US" w:bidi="ar-SA"/>
        </w:rPr>
        <w:t xml:space="preserve">, </w:t>
      </w:r>
      <w:hyperlink r:id="rId137" w:history="1">
        <w:r>
          <w:rPr>
            <w:rFonts w:ascii="arial" w:eastAsia="arial" w:hAnsi="arial" w:cs="arial"/>
            <w:i/>
            <w:color w:val="0077CC"/>
            <w:sz w:val="20"/>
            <w:u w:val="single"/>
            <w:shd w:val="clear" w:color="auto" w:fill="FFFFFF"/>
            <w:lang w:val="en-US" w:eastAsia="en-US" w:bidi="ar-SA"/>
          </w:rPr>
          <w:t>2001 BCSC 1735</w:t>
        </w:r>
      </w:hyperlink>
      <w:r>
        <w:rPr>
          <w:rFonts w:ascii="arial" w:eastAsia="arial" w:hAnsi="arial" w:cs="arial"/>
          <w:color w:val="000000"/>
          <w:sz w:val="20"/>
          <w:lang w:val="en-US" w:eastAsia="en-US" w:bidi="ar-SA"/>
        </w:rPr>
        <w:t xml:space="preserve">. I will not refer to each of them in my reasons. As set out in </w:t>
      </w:r>
      <w:r>
        <w:rPr>
          <w:rFonts w:ascii="arial" w:eastAsia="arial" w:hAnsi="arial" w:cs="arial"/>
          <w:i/>
          <w:color w:val="000000"/>
          <w:sz w:val="20"/>
          <w:lang w:val="en-US" w:eastAsia="en-US" w:bidi="ar-SA"/>
        </w:rPr>
        <w:t>Bystedt</w:t>
      </w:r>
      <w:r>
        <w:rPr>
          <w:rFonts w:ascii="arial" w:eastAsia="arial" w:hAnsi="arial" w:cs="arial"/>
          <w:color w:val="000000"/>
          <w:sz w:val="20"/>
          <w:lang w:val="en-US" w:eastAsia="en-US" w:bidi="ar-SA"/>
        </w:rPr>
        <w:t>, to justify an in-trust award the services provided, if rendered by a family member, must be over and above what would be expected from the family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I am satisfied that Ms. Fines' daughter was required to provide significant services to Ms. Fines over an 18 month period. Ms. Fines has not provided any evidence with respect to the cost of obtaining such services from third parties. I consider that an appropriate award for the value of driving services to and from Enderby over three months is $2,500. I consider, on an assumption that Ms. Fines' daughter provided approximately 5 hours of homecare services per week to Ms. Fines over an 18-month period, over and above what she could or would have normally done, that a further in trust amount of $5,000 is warranted. In total, I order damages to Ms. Fines payable in-trust in the amount of $7,500.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ICBC has agreed to the majority of special damages claimed by Ms. Fines. The disputed amount of special damages concerning some mileage, miscellaneous expenses and vehicle maintenance costs total $2,495 (the "disputed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The total value of mileage in dispute is $170.60. ICBC disputes the claim for vehicle mileage incurred by Ms. Fines in seeking treatment to her left shoulder. Given my finding that her left shoulder injury resulted from injuries sustained in the Accident I find that this claim is appropriate. In addition ICBC disputes that Ms. Fines is entitled to mileage costs at attending at proceedings related to this litigation. I award Ms. Fines special damages for mileage in the full amount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ICBC disputes that Ms. Fines should receive special damages for entry fees paid in advance for two sporting events that she was unable to attend after the Accident and for which she could not obtain a refund. In addition, ICBC disputes landscaping costs that Ms. Fines says she incurred because of her inability to complete this work after the Accident. Finally, ICBC disputes the cost of an expedited assessment with Dr. Hughes to address Ms. Fines' left shoulder injury. In my view all of these special damages arise from the Accident are recoverable.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Finally, ICBC disputes that Ms. Fines is entitled to vehicle maintenance expenses totaling $1,118.13, as she would have incurred these expenses in any case. I accept Ms. Fines' evidence that she has in the past and likely would have continued to perform some vehicle maintenance but for the Accident. I have reviewed the list of maintenance items provided by Ms. Fines and it appears that some or all of the items include amounts for both parts and services. Parts costs are a cost that Ms. Fines would have incurred in any case. In addition, it is not clear that all of the services for which Ms. Fines claims are services that she completed on her own vehicle before the Accident. I find that Ms. Fines is entitled to special damages of $500 for vehicle maintenance.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In total, I award Ms. Fines special damages of $19,993.33.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Did Ms. Fines Fail to Mitigate Her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ICBC contends that Ms. Fines failed to mitigate her damages by failing to follow the recommendations of Dr. Riar, as set out in his 2017 and 2019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Dr. Riar recommended that Ms. Fines receive an adequate dosage of antidepressant medication, attend cognitive behavioural psychotherapy for 12 to 14 one-hour sessions and engage in active exercise instead of passive treatment. ICBC's principle complaint is that Ms. Fines failed to mitigate her damages by completing the recommended course of cognitive behavioural psychotherapy.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It is ICBC's onus to establish that Ms. Fines failed to mitigate her damages. To satisfy this onus they must show that Ms. Fines acted unreasonably in failing to have undergone the recommended psychotherapy treatments and the extent by which her damages would have been reduced if she had received that treatment. (</w:t>
      </w:r>
      <w:r>
        <w:rPr>
          <w:rFonts w:ascii="arial" w:eastAsia="arial" w:hAnsi="arial" w:cs="arial"/>
          <w:i/>
          <w:color w:val="000000"/>
          <w:sz w:val="20"/>
          <w:lang w:val="en-US" w:eastAsia="en-US" w:bidi="ar-SA"/>
        </w:rPr>
        <w:t>Mullens v. Toor</w:t>
      </w:r>
      <w:r>
        <w:rPr>
          <w:rFonts w:ascii="arial" w:eastAsia="arial" w:hAnsi="arial" w:cs="arial"/>
          <w:color w:val="000000"/>
          <w:sz w:val="20"/>
          <w:lang w:val="en-US" w:eastAsia="en-US" w:bidi="ar-SA"/>
        </w:rPr>
        <w:t xml:space="preserve">, </w:t>
      </w:r>
      <w:hyperlink r:id="rId138" w:history="1">
        <w:r>
          <w:rPr>
            <w:rFonts w:ascii="arial" w:eastAsia="arial" w:hAnsi="arial" w:cs="arial"/>
            <w:i/>
            <w:color w:val="0077CC"/>
            <w:sz w:val="20"/>
            <w:u w:val="single"/>
            <w:shd w:val="clear" w:color="auto" w:fill="FFFFFF"/>
            <w:lang w:val="en-US" w:eastAsia="en-US" w:bidi="ar-SA"/>
          </w:rPr>
          <w:t>2016 BCSC 1645</w:t>
        </w:r>
      </w:hyperlink>
      <w:r>
        <w:rPr>
          <w:rFonts w:ascii="arial" w:eastAsia="arial" w:hAnsi="arial" w:cs="arial"/>
          <w:color w:val="000000"/>
          <w:sz w:val="20"/>
          <w:lang w:val="en-US" w:eastAsia="en-US" w:bidi="ar-SA"/>
        </w:rPr>
        <w:t xml:space="preserve">, at para. 104, appeal dismissed </w:t>
      </w:r>
      <w:r>
        <w:rPr>
          <w:rFonts w:ascii="arial" w:eastAsia="arial" w:hAnsi="arial" w:cs="arial"/>
          <w:i/>
          <w:color w:val="000000"/>
          <w:sz w:val="20"/>
          <w:lang w:val="en-US" w:eastAsia="en-US" w:bidi="ar-SA"/>
        </w:rPr>
        <w:t>Mullens v. Toor</w:t>
      </w:r>
      <w:r>
        <w:rPr>
          <w:rFonts w:ascii="arial" w:eastAsia="arial" w:hAnsi="arial" w:cs="arial"/>
          <w:color w:val="000000"/>
          <w:sz w:val="20"/>
          <w:lang w:val="en-US" w:eastAsia="en-US" w:bidi="ar-SA"/>
        </w:rPr>
        <w:t xml:space="preserve">, </w:t>
      </w:r>
      <w:hyperlink r:id="rId139" w:history="1">
        <w:r>
          <w:rPr>
            <w:rFonts w:ascii="arial" w:eastAsia="arial" w:hAnsi="arial" w:cs="arial"/>
            <w:i/>
            <w:color w:val="0077CC"/>
            <w:sz w:val="20"/>
            <w:u w:val="single"/>
            <w:shd w:val="clear" w:color="auto" w:fill="FFFFFF"/>
            <w:lang w:val="en-US" w:eastAsia="en-US" w:bidi="ar-SA"/>
          </w:rPr>
          <w:t>2017 BCCA 384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Ms. Fines does not dispute that she was aware of Dr. Riar's 2017 and 2019 recommendations that she attend at cognitive behaviour psychotherapy sessions. She says that she attended at four sessions with Greg Scriver in October and November 2014. Her explanation for not attending at additional psychotherapy treatment sessions was that she felt uncomfortable undergoing counselling sessions in Merritt with counsellors that were her colleagues and that it was too difficult to travel to Kamloops from Merritt for such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ICBC contends that it was unreasonable for Ms. Fines not to attend at psychotherapy sessions in Merritt on the basis that doing so would embarrass her. In addition, they say that the evidence establishes that Ms. Fines was travelling to Kamloops on a regular basis to, for example, receive treatment for her physical ailments and to take her son to guitar lessons. They contend that even if it was reasonable for her not to seek psychotherapy treatment in Merritt, there was no reason that she could not have sought this treatment in Kamloops. I note that the evidence indicates that Ms. Fines was also travelling to Chase on a regular basis to visit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Dr. Riar's opinion in both 2017 and 2019 is that with the treatments he recommended, including psychotherapy, Ms. Fines functioning would improve and that she would achieve remission from her psychological conditions. ICBC says that this establishes that Ms. Fines' damages would be lower, if she had followed the recommendations of Dr. Riar.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xml:space="preserve">  Relying on the decision in </w:t>
      </w:r>
      <w:r>
        <w:rPr>
          <w:rFonts w:ascii="arial" w:eastAsia="arial" w:hAnsi="arial" w:cs="arial"/>
          <w:i/>
          <w:color w:val="000000"/>
          <w:sz w:val="20"/>
          <w:lang w:val="en-US" w:eastAsia="en-US" w:bidi="ar-SA"/>
        </w:rPr>
        <w:t>Mullens v. Toor</w:t>
      </w:r>
      <w:r>
        <w:rPr>
          <w:rFonts w:ascii="arial" w:eastAsia="arial" w:hAnsi="arial" w:cs="arial"/>
          <w:color w:val="000000"/>
          <w:sz w:val="20"/>
          <w:lang w:val="en-US" w:eastAsia="en-US" w:bidi="ar-SA"/>
        </w:rPr>
        <w:t xml:space="preserve"> ICBC says that Ms. Fines' damages should be reduced as follows: non-pecuniary damages by 50%, future loss of capacity by 50%, and cost of future care by 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Discussion and Conclusion on Failure to Mitigate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I am satisfied that it was unreasonable for Ms. Fines not to follow the treatment recommendations provided by Dr. Riar in 2017 that she seek cognitive behavioural psychotherapy treatments. Ms. Fines, as a social worker familiar with the benefits of this therapy, was or should have been aware of the potential value of such treatments in addressing her symptoms of depression and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I do not consider Ms. Fines' explanation that she did not seek such treatment in Merritt because she wished to avoid the embarrassment of seeking treatment from counsellors in the same community where she worked to be reasonable. Potential embarrassment is not a sufficient justification for not seeking treatment. In any case, even if it was reasonable for Ms. Fines not to seek the relevant treatment in Merritt, I find it probable that she could have sought this treatment in Kamloops - which is only a relatively short distance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I am satisfied that had Ms. Fines followed Dr. Riar's treatment recommendations that her Accident related symptoms of depression and anxiety would have been reduced or eliminated before trial. This would have reduced the suffering experienced by Ms. Fines after the Accident and reduced the impact of her symptoms on her ability to continue with her plans to complete her MSW. In my view, this justifies a reduction in the awards for non-pecuniary damages, past loss of income earning capacity and loss of future earning capacity. I consider that a 10% reduction to the awards under these heads of damages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I am not satisfied that Ms. Fines damages for costs of future care or special damages would have been reduced if she had received cognitive behavioural therapy as in my view most of the associated costs and expense would have occurred no matter what.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In summary, damages are awarded to Ms. Fines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Non-pecuniary damages $ 99,000 </w:t>
      </w:r>
      <w:bookmarkStart w:id="18" w:name="Backward_fnref_fnr-star"/>
      <w:hyperlink w:anchor="Forward_fnref_fnr-star" w:history="1">
        <w:r>
          <w:rPr>
            <w:rFonts w:ascii="arial" w:eastAsia="arial" w:hAnsi="arial" w:cs="arial"/>
            <w:b/>
            <w:color w:val="BE161D"/>
            <w:sz w:val="20"/>
            <w:shd w:val="clear" w:color="auto" w:fill="FFFFFF"/>
            <w:vertAlign w:val="superscript"/>
            <w:lang w:val="en-US" w:eastAsia="en-US" w:bidi="ar-SA"/>
          </w:rPr>
          <w:t>*</w:t>
        </w:r>
      </w:hyperlink>
      <w:bookmarkEnd w:id="18"/>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Past loss of earning capacity $ 82,200 </w:t>
      </w:r>
      <w:bookmarkStart w:id="19" w:name="Backward_fnref_XXXX_d415e2513"/>
      <w:hyperlink w:anchor="Forward_fnref_XXXX_d415e2513" w:history="1">
        <w:r>
          <w:rPr>
            <w:rFonts w:ascii="arial" w:eastAsia="arial" w:hAnsi="arial" w:cs="arial"/>
            <w:b/>
            <w:color w:val="BE161D"/>
            <w:sz w:val="20"/>
            <w:shd w:val="clear" w:color="auto" w:fill="FFFFFF"/>
            <w:vertAlign w:val="superscript"/>
            <w:lang w:val="en-US" w:eastAsia="en-US" w:bidi="ar-SA"/>
          </w:rPr>
          <w:t>*</w:t>
        </w:r>
      </w:hyperlink>
      <w:bookmarkEnd w:id="19"/>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Lost of future earning capacity $ 111,300 </w:t>
      </w:r>
      <w:bookmarkStart w:id="20" w:name="Backward_fnref_XXXX_d415e2518"/>
      <w:hyperlink w:anchor="Forward_fnref_XXXX_d415e2518" w:history="1">
        <w:r>
          <w:rPr>
            <w:rFonts w:ascii="arial" w:eastAsia="arial" w:hAnsi="arial" w:cs="arial"/>
            <w:b/>
            <w:color w:val="BE161D"/>
            <w:sz w:val="20"/>
            <w:shd w:val="clear" w:color="auto" w:fill="FFFFFF"/>
            <w:vertAlign w:val="superscript"/>
            <w:lang w:val="en-US" w:eastAsia="en-US" w:bidi="ar-SA"/>
          </w:rPr>
          <w:t>*</w:t>
        </w:r>
      </w:hyperlink>
      <w:bookmarkEnd w:id="20"/>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Cost of future care $ 13,300</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Special damages $ 19,993.33</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Loss of</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Housekeeping/Handyman $ 15,000</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Capacity</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In-Trust Claim </w:t>
      </w:r>
      <w:r>
        <w:rPr>
          <w:rFonts w:ascii="arial" w:eastAsia="arial" w:hAnsi="arial" w:cs="arial"/>
          <w:color w:val="000000"/>
          <w:sz w:val="20"/>
          <w:u w:val="single"/>
          <w:lang w:val="en-US" w:eastAsia="en-US" w:bidi="ar-SA"/>
        </w:rPr>
        <w:t>$ 7,500</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TOTAL $348,293.33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xml:space="preserve">  Ms. Fines is entitled to interest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Subject to any submissions the parties wish to make, Ms. Fines is entitled to her costs of the action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A.P.A. MAYER J.</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r>
        <w:pict>
          <v:line id="_x0000_s1041" style="position:absolute;z-index:251764736" from="0,15pt" to="180pt,15pt" strokecolor="#bcbeb0" strokeweight="0.5pt">
            <v:stroke linestyle="single"/>
          </v:line>
        </w:pict>
      </w:r>
    </w:p>
    <w:p>
      <w:pPr>
        <w:rPr>
          <w:rFonts w:ascii="arial" w:eastAsia="arial" w:hAnsi="arial" w:cs="arial"/>
          <w:sz w:val="20"/>
          <w:lang w:val="en-US" w:eastAsia="en-US" w:bidi="ar-SA"/>
        </w:rPr>
      </w:pPr>
    </w:p>
    <w:p>
      <w:pPr>
        <w:spacing w:before="120" w:after="20" w:line="240" w:lineRule="atLeast"/>
        <w:ind w:left="720" w:hanging="360"/>
        <w:jc w:val="both"/>
        <w:rPr>
          <w:rFonts w:ascii="arial" w:eastAsia="arial" w:hAnsi="arial" w:cs="arial"/>
          <w:sz w:val="20"/>
          <w:lang w:val="en-US" w:eastAsia="en-US" w:bidi="ar-SA"/>
        </w:rPr>
      </w:pPr>
      <w:bookmarkStart w:id="21" w:name="Forward_fnref_fnr-star"/>
      <w:hyperlink w:anchor="Backward_fnref_fnr-star" w:history="1">
        <w:r>
          <w:rPr>
            <w:rFonts w:ascii="arial" w:eastAsia="arial" w:hAnsi="arial" w:cs="arial"/>
            <w:b/>
            <w:color w:val="BE161D"/>
            <w:sz w:val="18"/>
            <w:shd w:val="clear" w:color="auto" w:fill="FFFFFF"/>
            <w:lang w:val="en-US" w:eastAsia="en-US" w:bidi="ar-SA"/>
          </w:rPr>
          <w:t>*</w:t>
        </w:r>
      </w:hyperlink>
      <w:bookmarkEnd w:id="21"/>
      <w:r>
        <w:rPr>
          <w:rFonts w:ascii="arial" w:eastAsia="arial" w:hAnsi="arial" w:cs="arial"/>
          <w:sz w:val="20"/>
          <w:lang w:val="en-US" w:eastAsia="en-US" w:bidi="ar-SA"/>
        </w:rPr>
        <w:tab/>
      </w:r>
      <w:r>
        <w:rPr>
          <w:rFonts w:ascii="arial" w:eastAsia="arial" w:hAnsi="arial" w:cs="arial"/>
          <w:color w:val="6D6E71"/>
          <w:sz w:val="18"/>
          <w:lang w:val="en-US" w:eastAsia="en-US" w:bidi="ar-SA"/>
        </w:rPr>
        <w:t>gross amount minus 10% for failure to mitigate damages</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2" style="position:absolute;z-index:2518108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40"/>
          <w:headerReference w:type="default" r:id="rId141"/>
          <w:footerReference w:type="even" r:id="rId142"/>
          <w:footerReference w:type="default" r:id="rId143"/>
          <w:headerReference w:type="first" r:id="rId144"/>
          <w:footerReference w:type="first" r:id="rId14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46" w:history="1">
        <w:r>
          <w:rPr>
            <w:rFonts w:ascii="arial" w:eastAsia="arial" w:hAnsi="arial" w:cs="arial"/>
            <w:b/>
            <w:bCs/>
            <w:i/>
            <w:color w:val="0077CC"/>
            <w:kern w:val="32"/>
            <w:sz w:val="28"/>
            <w:szCs w:val="32"/>
            <w:u w:val="single"/>
            <w:shd w:val="clear" w:color="auto" w:fill="FFFFFF"/>
            <w:lang w:val="en-US" w:eastAsia="en-US" w:bidi="ar-SA"/>
          </w:rPr>
          <w:t>Francescutto v. Church, [2014] B.C.J. No. 638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C.E. Hinkson C.J.S.C.</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18,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10,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049106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Kamloops</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638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614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Caesar Francescutto and C.E. Construction &amp; Design Co. Ltd., Plaintiffs, and Kevin Church,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(25 paras.)</w:t>
      </w:r>
    </w:p>
    <w:p>
      <w:pPr>
        <w:jc w:val="both"/>
        <w:rPr>
          <w:rFonts w:ascii="arial" w:eastAsia="arial" w:hAnsi="arial" w:cs="arial"/>
          <w:sz w:val="20"/>
          <w:lang w:val="en-US" w:eastAsia="en-US" w:bidi="ar-SA"/>
        </w:rPr>
      </w:pPr>
      <w:bookmarkStart w:id="22" w:name="Counsel_4"/>
      <w:bookmarkEnd w:id="2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3" style="position:absolute;z-index:251664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Mr. Francescutto, in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Richard T. Panton.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3" w:name="Judgment_4"/>
      <w:bookmarkEnd w:id="23"/>
      <w:r>
        <w:pict>
          <v:line id="_x0000_s1044" style="position:absolute;z-index:25171558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52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4" w:name="C.E. HINKSON C.J.S.E."/>
            <w:bookmarkEnd w:id="24"/>
            <w:r>
              <w:rPr>
                <w:rFonts w:ascii="arial" w:eastAsia="arial" w:hAnsi="arial" w:cs="arial"/>
                <w:b/>
                <w:color w:val="000000"/>
                <w:sz w:val="30"/>
                <w:lang w:val="en-US" w:eastAsia="en-US" w:bidi="ar-SA"/>
              </w:rPr>
              <w:t>C.E. HINKSON C.J.S.E.</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 applies for orders:</w:t>
      </w:r>
      <w:r>
        <w:rPr>
          <w:rFonts w:ascii="arial" w:eastAsia="arial" w:hAnsi="arial" w:cs="arial"/>
          <w:sz w:val="20"/>
          <w:lang w:val="en-US" w:eastAsia="en-US" w:bidi="ar-SA"/>
        </w:rPr>
        <w:cr/>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dismissing the plaintiffs' claims against him; or</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alternatively, striking the plaintiffs'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also seeks:</w:t>
      </w:r>
      <w:r>
        <w:rPr>
          <w:rFonts w:ascii="arial" w:eastAsia="arial" w:hAnsi="arial" w:cs="arial"/>
          <w:sz w:val="20"/>
          <w:lang w:val="en-US" w:eastAsia="en-US" w:bidi="ar-SA"/>
        </w:rPr>
        <w:cr/>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the personal plaintiff is a vexatious litigant;</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that the personal plaintiff be prohibited, in any name, from commencing proceedings in any court without leave;</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dispensing with the plaintiffs' approval of the form of any order granted on these applications; and</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costs to be assessed as a lump sum and payable forthwith.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personal plaintiff was initially represented in matrimonial proceedings against his wife by Mr. Kenneth R. Dolder. Mrs. Francescutto was represented in those proceedings by Mr. Derek Haines.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January 30, 2006, Master Hyslop, as she then was, granted an order restraining the personal plaintiff and his wife from dealing with any family asset or property without the written consent of the other or an order of this court. The order was to have effect for 21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February 20, 2006, by the consent of the parties, Master Bolton reaffirmed the order of Master Hyslop and made it a permanent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October 3, 2006, Master Hyslop granted a further order. While the order states that it was by consent of both parties, only counsel for Mrs. Francescutto endorsed the order. Included in the order were the following terms:</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[Mrs. Francescutto's] counsel shall prepare a list of the real properties and assessed values and provide the list, with copies of the assessed values to the Defendant's [Mr. Francescutto's] counsel on or before October 31, 2006;</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shall occupy the real property civically located at 121 Don Street, Kamloops, B.C. as her residence[.]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 is a lawyer, duly licensed in the province of British Columbia. On approximately June 1, 2007 he was retained to represent the personal plaintiff in the matrimonial proceedings in place of Mr. Dolder. This retainer was terminated on approximately September 18,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Tanis Forbes is a paralegal assisting in the defence of Mr. Church. In her affidavit of December 10, 2013 she summarized the various proceedings that have been commenced by one or both of the plaintiffs since the matrimonial proceedings began:</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Caesar Francescutto</w:t>
      </w:r>
      <w:r>
        <w:rPr>
          <w:rFonts w:ascii="arial" w:eastAsia="arial" w:hAnsi="arial" w:cs="arial"/>
          <w:b/>
          <w:i/>
          <w:color w:val="000000"/>
          <w:sz w:val="20"/>
          <w:lang w:val="en-US" w:eastAsia="en-US" w:bidi="ar-SA"/>
        </w:rPr>
        <w:t>v.</w:t>
      </w:r>
      <w:r>
        <w:rPr>
          <w:rFonts w:ascii="arial" w:eastAsia="arial" w:hAnsi="arial" w:cs="arial"/>
          <w:b/>
          <w:i/>
          <w:color w:val="000000"/>
          <w:sz w:val="20"/>
          <w:lang w:val="en-US" w:eastAsia="en-US" w:bidi="ar-SA"/>
        </w:rPr>
        <w:t>Arlene Margaret Francescutto</w:t>
      </w:r>
      <w:r>
        <w:rPr>
          <w:rFonts w:ascii="arial" w:eastAsia="arial" w:hAnsi="arial" w:cs="arial"/>
          <w:color w:val="000000"/>
          <w:sz w:val="20"/>
          <w:lang w:val="en-US" w:eastAsia="en-US" w:bidi="ar-SA"/>
        </w:rPr>
        <w:t>, Action No. 37419, commenced on January 26, 2009.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this action the Plaintiff sought reimbursement from his ex-wife for return of rents, insurance premiums, maintenance, utility and tax expenses he allegedly incurred in connection with residential property owned by his ex-wife. Attached and marked as Exhibit "A" is a copy of the Notice of 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action was dismissed at the Settlement Conference because the Provincial Court was without jurisdiction where the Plaintiff sought a resolution regarding family assets. Attached and marked as Exhibit "B" is a copy of the Settlement Conference Record dated April 14, 2009.</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Caesar Francescutto v. Arlene Margaret Francescutto and Derek E. Haines</w:t>
      </w:r>
      <w:r>
        <w:rPr>
          <w:rFonts w:ascii="arial" w:eastAsia="arial" w:hAnsi="arial" w:cs="arial"/>
          <w:color w:val="000000"/>
          <w:sz w:val="20"/>
          <w:lang w:val="en-US" w:eastAsia="en-US" w:bidi="ar-SA"/>
        </w:rPr>
        <w:t>, Action No. 38000, commenced on February 3, 2010.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this action the Plaintiff sought reimbursement for rents, insurance premiums, maintenance, utility and tax expenses he incurred in connection with residential property owned by his ex-wife. Attached and marked as Exhibit "C" is a copy of the Notice of 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Settlement Conference Record attaches an Agreement/Order where the Plaintiff's ex-wife agreed to pay the utility charges, the Plaintiff was responsible for the telephone charges, and an agreement already existed with respect to the life insurance. The claim against his ex-wife's solicitor Mr. Haines was dismissed. Attached and marked as Exhibit "D" is a copy of the Settlement Conference Record and its attached Agreement/Order dated September 14, 2010.</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Caesar Francescutto v. Taylor Epp and Dolder Law Firm</w:t>
      </w:r>
      <w:r>
        <w:rPr>
          <w:rFonts w:ascii="arial" w:eastAsia="arial" w:hAnsi="arial" w:cs="arial"/>
          <w:color w:val="000000"/>
          <w:sz w:val="20"/>
          <w:lang w:val="en-US" w:eastAsia="en-US" w:bidi="ar-SA"/>
        </w:rPr>
        <w:t>, Action No. 38343, commenced on August 11, 2010.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this action the Plaintiff seeks payment from the law firm of Taylor Epp &amp; Dolder for the return of rents and reimbursement of insurance, maintenance, utility and tax expenses he incurred in connection with residential property owned by his ex-wife. This claim appears to be identical to the claim against his ex-wife, Arlene Francescutto under Registry No. 37419. Attached and marked as Exhibit "E" is a copy of the Notice of 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action was dismissed at the Settlement Conference. Attached and marked Exhibit "F" is a copy of the Settlement Conference Record dated February 22, 2011.</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Caesar Francescutto v. Derek Haines</w:t>
      </w:r>
      <w:r>
        <w:rPr>
          <w:rFonts w:ascii="arial" w:eastAsia="arial" w:hAnsi="arial" w:cs="arial"/>
          <w:color w:val="000000"/>
          <w:sz w:val="20"/>
          <w:lang w:val="en-US" w:eastAsia="en-US" w:bidi="ar-SA"/>
        </w:rPr>
        <w:t>, Action No. 38574, commenced on December 16, 2010.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claim appears to be identical to Action Nos. 37419 and 38000 with the exception of the additional allegations that the Defendant should have applied to vary an order and that the Defendant's actions have damaged the Plaintiff's business. Attached and marked as Exhibit "G" is a copy of the Notice of 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action was dismissed and costs were awarded against the Plaintiff. The Plaintiff's application to set aside the dismissal was dismissed and further costs were awarded against him. Attached and marked as Exhibits "H" and "I" are copies of the dismissal Orders made April 8, 2011 and June 13, 2011.</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July 18, 2011, the Plaintiff filed a Petition (</w:t>
      </w:r>
      <w:r>
        <w:rPr>
          <w:rFonts w:ascii="arial" w:eastAsia="arial" w:hAnsi="arial" w:cs="arial"/>
          <w:b/>
          <w:i/>
          <w:color w:val="000000"/>
          <w:sz w:val="20"/>
          <w:lang w:val="en-US" w:eastAsia="en-US" w:bidi="ar-SA"/>
        </w:rPr>
        <w:t>Caesar Francescutto v. Derek Haines</w:t>
      </w:r>
      <w:r>
        <w:rPr>
          <w:rFonts w:ascii="arial" w:eastAsia="arial" w:hAnsi="arial" w:cs="arial"/>
          <w:b/>
          <w:color w:val="000000"/>
          <w:sz w:val="20"/>
          <w:lang w:val="en-US" w:eastAsia="en-US" w:bidi="ar-SA"/>
        </w:rPr>
        <w:t xml:space="preserve"> BCSC Action No. 45959</w:t>
      </w:r>
      <w:r>
        <w:rPr>
          <w:rFonts w:ascii="arial" w:eastAsia="arial" w:hAnsi="arial" w:cs="arial"/>
          <w:color w:val="000000"/>
          <w:sz w:val="20"/>
          <w:lang w:val="en-US" w:eastAsia="en-US" w:bidi="ar-SA"/>
        </w:rPr>
        <w:t xml:space="preserve">, </w:t>
      </w:r>
      <w:hyperlink r:id="rId147" w:history="1">
        <w:r>
          <w:rPr>
            <w:rFonts w:ascii="arial" w:eastAsia="arial" w:hAnsi="arial" w:cs="arial"/>
            <w:i/>
            <w:color w:val="0077CC"/>
            <w:sz w:val="20"/>
            <w:u w:val="single"/>
            <w:shd w:val="clear" w:color="auto" w:fill="FFFFFF"/>
            <w:lang w:val="en-US" w:eastAsia="en-US" w:bidi="ar-SA"/>
          </w:rPr>
          <w:t>[2011] B.C.J. No. 2297</w:t>
        </w:r>
      </w:hyperlink>
      <w:r>
        <w:rPr>
          <w:rFonts w:ascii="arial" w:eastAsia="arial" w:hAnsi="arial" w:cs="arial"/>
          <w:color w:val="000000"/>
          <w:sz w:val="20"/>
          <w:lang w:val="en-US" w:eastAsia="en-US" w:bidi="ar-SA"/>
        </w:rPr>
        <w:t xml:space="preserve">) under sections 2 and 5 of the </w:t>
      </w:r>
      <w:r>
        <w:rPr>
          <w:rFonts w:ascii="arial" w:eastAsia="arial" w:hAnsi="arial" w:cs="arial"/>
          <w:i/>
          <w:color w:val="000000"/>
          <w:sz w:val="20"/>
          <w:lang w:val="en-US" w:eastAsia="en-US" w:bidi="ar-SA"/>
        </w:rPr>
        <w:t>Judicial Review Procedure Act</w:t>
      </w:r>
      <w:r>
        <w:rPr>
          <w:rFonts w:ascii="arial" w:eastAsia="arial" w:hAnsi="arial" w:cs="arial"/>
          <w:color w:val="000000"/>
          <w:sz w:val="20"/>
          <w:lang w:val="en-US" w:eastAsia="en-US" w:bidi="ar-SA"/>
        </w:rPr>
        <w:t xml:space="preserve"> seeking to have the orders in Action No. 38574 set aside. Attached and marked as Exhibit "J" is a copy of the Petition to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Petition was dismissed and further costs were awarded the Plaintiff. Attached and marked as Exhibit "K" is a copy of the Order made November 21, 2011.</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Caesar Francescutto</w:t>
      </w:r>
      <w:r>
        <w:rPr>
          <w:rFonts w:ascii="arial" w:eastAsia="arial" w:hAnsi="arial" w:cs="arial"/>
          <w:b/>
          <w:i/>
          <w:color w:val="000000"/>
          <w:sz w:val="20"/>
          <w:lang w:val="en-US" w:eastAsia="en-US" w:bidi="ar-SA"/>
        </w:rPr>
        <w:t>v.</w:t>
      </w:r>
      <w:r>
        <w:rPr>
          <w:rFonts w:ascii="arial" w:eastAsia="arial" w:hAnsi="arial" w:cs="arial"/>
          <w:b/>
          <w:i/>
          <w:color w:val="000000"/>
          <w:sz w:val="20"/>
          <w:lang w:val="en-US" w:eastAsia="en-US" w:bidi="ar-SA"/>
        </w:rPr>
        <w:t>Kevin Church</w:t>
      </w:r>
      <w:r>
        <w:rPr>
          <w:rFonts w:ascii="arial" w:eastAsia="arial" w:hAnsi="arial" w:cs="arial"/>
          <w:color w:val="000000"/>
          <w:sz w:val="20"/>
          <w:lang w:val="en-US" w:eastAsia="en-US" w:bidi="ar-SA"/>
        </w:rPr>
        <w:t>, Action No. 38893, commenced on August 11, 2011.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claim appears to be identical to Action No. 38574 with the exception of the additional handwritten allegations making a reference to the Plaintiff's family law action. Attached and marked as Exhibit "L" is a copy of the Notice of 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action was dismissed at the Settlement Conference for being without reasonable grounds, disclosing no triable issue and being a frivolous claim. Attached and marked Exhibit "M" is a copy of the Settlement Conference Record dated February 28,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 am unable to accept as accurate Ms. Forbes' summary of Provincial Court Action No. 38893. The notice of claim in that action is exactly the same as the wording of the notice of claim in Provincial Court Action No. 38574, with the exception of the last line in Action No. 38893, which is illegible. For the most part, both of these notices simply repeat the allegations that relate to the personal plaintiff's wife, except for the assertion that presumably applies to both Mr. Dolder and Mr. Church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 did not apply to vary the order of Master Hyslop dated October 3,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defendant applicant relies on Rules 9 - 5 and 9 - 6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xml:space="preserve"> and s. 18 of the </w:t>
      </w:r>
      <w:r>
        <w:rPr>
          <w:rFonts w:ascii="arial" w:eastAsia="arial" w:hAnsi="arial" w:cs="arial"/>
          <w:i/>
          <w:color w:val="000000"/>
          <w:sz w:val="20"/>
          <w:lang w:val="en-US" w:eastAsia="en-US" w:bidi="ar-SA"/>
        </w:rPr>
        <w:t>Supreme Court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443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Rule 9 - 5(1) and (2) provide:</w:t>
      </w:r>
      <w:r>
        <w:rPr>
          <w:rFonts w:ascii="arial" w:eastAsia="arial" w:hAnsi="arial" w:cs="arial"/>
          <w:sz w:val="20"/>
          <w:lang w:val="en-US" w:eastAsia="en-US" w:bidi="ar-SA"/>
        </w:rPr>
        <w:cr/>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 pleading, petition or other document on the ground that</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may prejudice, embarrass or delay the fair trial or hearing of the proceeding, or</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 court may pronounce judgment or order the proceeding to be stayed or dismissed and may order the costs of the application to be paid as special costs.</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 evidence is admissible on an application under subrule (1)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Rules 9 - 6(4) and (5) provide:</w:t>
      </w:r>
      <w:r>
        <w:rPr>
          <w:rFonts w:ascii="arial" w:eastAsia="arial" w:hAnsi="arial" w:cs="arial"/>
          <w:sz w:val="20"/>
          <w:lang w:val="en-US" w:eastAsia="en-US" w:bidi="ar-SA"/>
        </w:rPr>
        <w:cr/>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 action, an answering party may, after serving a responding pleading on a claiming party, apply under this rule for judgment dismissing all or part of a claim in the claiming party's originating pleading.</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hearing an application under subrule (2) or (4), the court,</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satisfied that there is no genuine issue for trial with respect to a claim or defence, must pronounce judgment or dismiss the claim accordingly,</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satisfied that the only genuine issue is the amount to which the claiming party is entitled, may order a trial of that issue or pronounce judgment with a reference or an accounting to determine the amount,</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satisfied that the only genuine issue is a question of law, may determine the question and pronounce judgment accordingly, and</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may make any other order it considers will further the object of these Supreme Court Civil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Section 18 of the </w:t>
      </w:r>
      <w:r>
        <w:rPr>
          <w:rFonts w:ascii="arial" w:eastAsia="arial" w:hAnsi="arial" w:cs="arial"/>
          <w:i/>
          <w:color w:val="000000"/>
          <w:sz w:val="20"/>
          <w:lang w:val="en-US" w:eastAsia="en-US" w:bidi="ar-SA"/>
        </w:rPr>
        <w:t>Supreme Court Act</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on application by any person, the court is satisfied that a person has habitually, persistently and without reasonable grounds, instituted vexatious legal proceedings in the Supreme Court or in the Provincial Court against the same or different persons, the court may, after hearing that person or giving him or her an opportunity to be heard, order that a legal proceeding must not, without leave of the court, be instituted by that person in any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their Notice of Civil Claim in this action, the plaintiffs contend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Church took over the above file from Taylor Epp &amp; Dolder Law Firm.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Francescutto gave Mr. Church 5 pages of instructions before taking on the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Epp &amp; Mr. Dolder left behind 2 court orders. Mr. Church had a choice to register the case for discovery. He chose not to do anything about this and ignored the 5 pages of instructions. The first court order indicated the responsibility of - 1) who owns the company 2) who pays the licences for the various legislations and any other related costs such as WCB 3) home warranty services 4) who is able to pay for Mr. Francescutto's loss of income 5) who is to pay for the company's loss of business.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Dolder should have clarified the above before he signed the court order registered on April 5, 2006.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Regarding the 2nd court order from Master Hyslop dated October 3, 2006, Mr. Church did not challenge any of the instructions of this order, namely 1) documents and statements requested 2) who is the owner of the property 3) who pays the expenses 4) who collects the rent and covers the bills.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matters should have been resolved before proceeding further. The responsibility is on Mr. Church to comply with the Master order to make sure all considerations were dealt with before deciding to continue with the case. If he was not willing to carry on with this case according to my instructions or court orders, then he should have notified myself just like the two previous lawyers.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Church dragged on and on for a number of years, shut the business down and left myself with the responsibility of paying all the bills without earning any income. 1) He put me into receivership 2 ) he left me to be resident resident resident underneath a bridge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Through all of this, Mr. Church, gifted and talented, left to perform according to Family Law, ignoring my 5 pages of instructions and court orders could have avoided all of this misery, stress and financial hardship.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incompetence has had a drastic impact on my life, has humiliated me and destroyed an empire of close to forty successful years in business. He needs to be held accountable for his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Church has described his efforts during his retainer by the personal plaintiff at paras. 6-11 of his affidavit of November 18, 2013 as follows:</w:t>
      </w:r>
      <w:r>
        <w:rPr>
          <w:rFonts w:ascii="arial" w:eastAsia="arial" w:hAnsi="arial" w:cs="arial"/>
          <w:sz w:val="20"/>
          <w:lang w:val="en-US" w:eastAsia="en-US" w:bidi="ar-SA"/>
        </w:rPr>
        <w:cr/>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I was retained by Mr. Francescutto on or about June 1 2007, I was instructed that he was tired of the legal process and wanted to see the matter resolved. My instructions were to attempt to reach a negotiated resolution with Mr. Haines, counsel for Mrs. Francescutto, failing which we would consider setting another Judicial Case Conference or mediation.</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various correspondence with Mr. Haines, and on the instruction of Mr. Francescutto, a settlement offer was made in August 2007, following which further documents were exchanged.</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Negotiations to settle the matter continued into early 2008. In early 2008, further discussions led to another settlement proposal and, finally, a draft Separation Agreement.</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draft Separation Agreement was signed by Mrs. Francescutto and forwarded to my office. On July 30, 2008, Mr. Francescutto attended my office to execute the document. He did so, but only after making various handwritten changes. He also refused to sign a Certificate of Independent Legal Advice.</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weeks following, there were discussions concerning the content of the handwritten changes. Ultimately, Mrs. Francescutto would agree to the handwritten changes made by Mr. Francescutto. However, on September 2, 2008, Mr. Francescutto attended my office and indicated that he wished to resile from the terms of the Separation Agreement. He reiterated his opinion, expressed to me previously on a number of occasions, that marriage was a contract and his wife had broken it.</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result of Mr. Francescutto's position was that he refused to clear title to one of his properties, as the Separation Agreement required. On September 16, 2008, Mr. Francescutto wrote to Mr. Haines directly and attempted to renegotiate many of the items agreed to in the Separation Agreement. I withdrew as counsel on September 18, 2008 and provided him with my final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personal plaintiff disagrees with the defendant's account, contending as follows in an unsworn summary of his position: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Church took all the responsibilities for the case and did not follow the instructions given to him before he took on the case. He failed to live up to the responsibilities needed to perform his duties which he was hired to do.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Five damaging claims were made against Mr. Church:</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C.F. Construction and Designing Co. Ltd. 2 residential units, two separate rental units were lost and the monthly income along with the expenses associated. The rent was not paid nor the expenses during this time. The duplex lost $250,000 plus $60,000 for non-payment of rent or property expenses. </w:t>
      </w:r>
      <w:r>
        <w:rPr>
          <w:rFonts w:ascii="arial" w:eastAsia="arial" w:hAnsi="arial" w:cs="arial"/>
          <w:color w:val="000000"/>
          <w:sz w:val="20"/>
          <w:u w:val="single"/>
          <w:lang w:val="en-US" w:eastAsia="en-US" w:bidi="ar-SA"/>
        </w:rPr>
        <w:t>C.F. Construction and Designing Co. Ltd is not a Family Asset.</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C.F. Construction and Designing Co. Ltd had a design for 2 houses in Westsyde and the lot was lost along with the associated income for the company. The lot cost $ 150,000 plus $5,000 for expenses.</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Caesar Francescutto withdrew RRSPs in the amount of $113,000 to cover the bills and loss of income because of this.</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C.F. Construction and Designing Co. Ltd was forced to cease operations and Mr. Church did not do anything to help resolve the problem. He was instructed to deal with this issue before but neglected to do so. The company before this was in business for over 35 years. His business and reputation was lost. His business was forced into receivership and this caused great hardship and difficulties for Mr. Francescutto. His survival was based on operating the company but Mr. Church's actions caused the demise of the previously successful entity. This damage must be evaluated for the loss of business and his income and additional bills to be paid.</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Mr. Church is a defense lawyer, he was not instructed to do a Separation Agreement and should not have performed this duty. Everyone approved of this agreement except for Mr. Francescutto and he had this signed by the other parties before Mr. Francescutto could approve of this agreement or the changes made. Mr. Church crossed off certain items in the agreement. It took approximately four years to do this agreement and Mr. Francescutto should have reviewed and approved this agreement. Mr. Church did not protect Mr. Francescutto or the company's best interests. It is up to Family law to establish which assets and debts need to be split equally between the parties. However, Mr. Church prevented this from happening because of his actions. He never established the key components of the agreement from the beginning.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Church failed to go to court to determine who was the owner of the company "C.F. Construction and Designing Co. Ltd" and the responsibilities and definitions of such pertaining to the court order. This problem should have been resolved in the beginning instead of dragging out and causing damages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toward Mr. Francescutto. This is the foundation of all of these issues and) problems that existed. Mr. Church was wearing three hats; the plaintiff, the defendant and the judge-he made Mr. Francescutto's separation agreement and all the decisions related.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C.F. Construction and Designing Co. Ltd has been the engine that has been running everything and [struck through] be [struck through] Family Asset. This is not a fair representation of the Family Asset situation of the parties.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While the plaintiffs' Notice of Civil Claim is in a most unsatisfactory state, it clearly alleges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 I am thus unable to find that his pleadings disclose no reasonable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Further, while it is apparent that Mr. Francescutto has raised the same claims against others in prior litigation, I am unable to conclude that his present claim against Mr. Church is vexatious on that basis. It may be that his prior efforts were vexatious, but until a conclusion is reached on the merits of his claim against Mr. Church, I would not be prepared to brand this claim as a vexatious one. Finally, the allegation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 in these proceedings is not contained in the personal plaintiff's earlier Notice of Claim in Provincial Court Action No. 38893. The triable issue raised in this action has not been adjudicated upon in the Provincial Court and that claim is not thereby barred by the doctrine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I therefore dismiss the defendant's application for summary dismissal of this action pursuant to Rule 9 - 5(1).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Despite the unsatisfactory state of the present Notice of Civil Claim, it does raise the issue of the defendant's conduct while retained by the personal plaintiff, and the effect of that conduct on the corporate plaintiff. I cannot find that no triable issue has been raised, and therefore dismiss the defendant's application pursuant to Rule 9 - 6.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am, however, prepared to strike parts of the plaintiffs' Notice of Civil Claim, and permit a specific amendment to it. That part of the present Notice of Civil Claim that is identified with a handwritten "01" in the top right hand corner should be amended by the removal of the fourth paragraph that refers to Mr. Dolder, the first two sentences of the sixth paragraph, and the seventh paragraph. This portion, thus amended, should be removed from its present location and placed in that portion of the document entitled Statement of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portion of the Notice of Civil Claim entitled Relief Sought should have its contents entirely removed, and replaced with the five numbered paragraphs set out in paragraph 16 herein, and the list that is found on the second page of the document in which those five numbered paragraphs are found.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portion of the Notice of Civil Claim entitled Legal Basis should have its contents entirely removed, and replaced with the first paragraph that follows the numbered paragraphs set out in paragraph 16 herein.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While I have serious reservations about the propriety of the various actions commenced by Mr. Francescutto discussed in paragraph 8 above, I consider that it is premature to entertain the application pursuant to s. 18 of the </w:t>
      </w:r>
      <w:r>
        <w:rPr>
          <w:rFonts w:ascii="arial" w:eastAsia="arial" w:hAnsi="arial" w:cs="arial"/>
          <w:i/>
          <w:color w:val="000000"/>
          <w:sz w:val="20"/>
          <w:lang w:val="en-US" w:eastAsia="en-US" w:bidi="ar-SA"/>
        </w:rPr>
        <w:t>Supreme Court Act</w:t>
      </w:r>
      <w:r>
        <w:rPr>
          <w:rFonts w:ascii="arial" w:eastAsia="arial" w:hAnsi="arial" w:cs="arial"/>
          <w:color w:val="000000"/>
          <w:sz w:val="20"/>
          <w:lang w:val="en-US" w:eastAsia="en-US" w:bidi="ar-SA"/>
        </w:rPr>
        <w:t>, and I will therefore adjourn that application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As Mr. Francescutto has previously declined to sign orders, I will dispense with his approval of the form of the order that will result from my reasons for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Given the outcome of the various applications, I order that the costs of the applications will be costs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C.E. HINKSON C.J.S.E.</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5" style="position:absolute;z-index:2517657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48"/>
          <w:headerReference w:type="default" r:id="rId149"/>
          <w:footerReference w:type="even" r:id="rId150"/>
          <w:footerReference w:type="default" r:id="rId151"/>
          <w:headerReference w:type="first" r:id="rId152"/>
          <w:footerReference w:type="first" r:id="rId15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54" w:history="1">
        <w:r>
          <w:rPr>
            <w:rFonts w:ascii="arial" w:eastAsia="arial" w:hAnsi="arial" w:cs="arial"/>
            <w:b/>
            <w:bCs/>
            <w:i/>
            <w:color w:val="0077CC"/>
            <w:kern w:val="32"/>
            <w:sz w:val="28"/>
            <w:szCs w:val="32"/>
            <w:u w:val="single"/>
            <w:shd w:val="clear" w:color="auto" w:fill="FFFFFF"/>
            <w:lang w:val="en-US" w:eastAsia="en-US" w:bidi="ar-SA"/>
          </w:rPr>
          <w:t>Gee v. Bock, [2019] B.C.J. No. 1530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F.V. Marzari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7-11, 14-15, 17-18,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13,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M146309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1530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1348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Nicholas Brian Gee, Plaintiff, and Peggy Theresa Bock, Warren Enterprises Inc. and WS Leasing Ltd.,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(182 paras.)</w:t>
      </w:r>
    </w:p>
    <w:p>
      <w:pPr>
        <w:jc w:val="both"/>
        <w:rPr>
          <w:rFonts w:ascii="arial" w:eastAsia="arial" w:hAnsi="arial" w:cs="arial"/>
          <w:sz w:val="20"/>
          <w:lang w:val="en-US" w:eastAsia="en-US" w:bidi="ar-SA"/>
        </w:rPr>
      </w:pPr>
      <w:bookmarkStart w:id="25" w:name="Counsel_5"/>
      <w:bookmarkEnd w:id="2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6" style="position:absolute;z-index:2516654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K.J. Sadler, D. Stewart.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S.P. Murphy.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6" w:name="Judgment_5"/>
      <w:bookmarkEnd w:id="26"/>
      <w:r>
        <w:pict>
          <v:line id="_x0000_s1047" style="position:absolute;z-index:25171660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Prior to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Accident and Post-Accident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NATURE, EXTENT, CAUSE AND PROGNOSIS OF MR. GEE'S INJURIES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Plaintiff's 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Defendants' Position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Legal Principles and Causation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Factual Findings on the Evidence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Majid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Matishak</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Heran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Hawkeswood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Muir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Mr. Hosking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Ms. Hartman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Gharsaa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Past Wage Loss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Plaintiff's Position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Defendants' Position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Legal Principles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Factual Findings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Ability to Work</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Career Prospects and Income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Retirement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Determination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Future Earning Capacity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Plaintiff's Position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Defendants' Position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Legal Principles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Determination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Non-pecuniary Loss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Plaintiff's Position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Defendants' Position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Legal Principles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INTEREST AND COSTS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7" w:name="F.V. MARZARI J."/>
            <w:bookmarkEnd w:id="27"/>
            <w:r>
              <w:rPr>
                <w:rFonts w:ascii="arial" w:eastAsia="arial" w:hAnsi="arial" w:cs="arial"/>
                <w:b/>
                <w:color w:val="000000"/>
                <w:sz w:val="30"/>
                <w:lang w:val="en-US" w:eastAsia="en-US" w:bidi="ar-SA"/>
              </w:rPr>
              <w:t>F.V. MARZARI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[1] This personal injury claim relates to a car accident on May 12, 2014 that the plaintiff, Nick Brian Gee, says resulted in an aggravation of his pre-existing lower back condition, leading to an unsuccessful disc surgery ("the accident"). Mr. Gee has not worked since the accident. Liability for the accident is admitted, but the extent of Mr. Gee's losses as a result of the accident are strongly contested.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[2] Mr. Gee claims past wage loss, loss of future earning capacity, cost of future care, special damages, and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[3] The most contentious issues are: the extent to which Mr. Gee's pain was caused by the accident, as opposed to his pre-existing back condition; whether he has exaggerated his losses and his inability to work; and what his likely retirement date would have been but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[4] I have found that Mr. Gee's pre-existing disc degeneration was exacerbated by the accident. But for the accident, Mr. Gee would not have experienced the level of pain that he did, and would not have proceeded with his disc surgery in 2016, which was ultimately unsuccessful. However, I also find that Mr. Gee has exaggerated the effects of both the accident and his inability to work both before his surgery and after he had recovered from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[5] I have found that Mr. Gee is entitled to recover past wage losses for 6 months after the accident and for 6 months after his surgery in 2016. While I am satisfied that he continued to suffer back pain, I am not satisfied that he has proven that he was unable to seek and secure a gradual return to full-time work despite that pain. I find that the evidence establishes that he was entitled to seek a gradual return to work, and that the evidence does not establish that either his back pain or his medications would have prevented such a return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[6] By early 2017, I find that Mr. Gee's functional capacities had recovered to a level consistent with what would have been expected, given his pre-existing disc degeneration and lower back pain. By that time, Mr. Gee had returned to many of the activities that he found most rewarding in his life prior to the accident, including car repair and moose hunting.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[7] I also find that Mr. Gee would most likely have retired in June 2019 at the age of 55, when he became entitled to his full pension. Further, I am unable to find a real and substantial possibility that Mr. Gee would have passed the Officer 2 exam and been promoted to a fire captain before his retirement. I therefore find that Mr. Gee would have started his pension at the same seniority level he held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[8] With respect to costs of future care, I am satisfied that the accident contributed to Mr. Gee's need for stronger pain medications and mental and physical therapies. However, I am not satisfied that Mr. Gee will pursue all of the recommended therapies and I award costs only for those that I find are medically recommended and that he will have to pursue despite his reluctance.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[9] I am satisfied that the accident has had a detrimental effect on Mr. Gee's mental and physical health, that his level of back pain has increased as a result of the accident but not to the extent that he initially claimed, and that he underwent life threatening surgery that would not have been recommended but for the accident. I would award him $100,000 in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[10] I will now set out my reasons for these awards.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[11] Liability was admitted on the first day of trial, but the seriousness of the accident remained an issue, so I will address it as I review the 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[12] I will also address Mr. Gee's credibility at the outset.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[13] I will then go on to make findings as to the extent of Mr. Gee's injuries in terms of their nature, extent, cause, and 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[14] Finally, I will turn to the question of damages and address what damages arise as a consequence of the accident, and specifically:</w:t>
      </w:r>
      <w:r>
        <w:rPr>
          <w:rFonts w:ascii="arial" w:eastAsia="arial" w:hAnsi="arial" w:cs="arial"/>
          <w:sz w:val="20"/>
          <w:lang w:val="en-US" w:eastAsia="en-US" w:bidi="ar-SA"/>
        </w:rPr>
        <w:cr/>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appropriate measure of damages for past wage loss?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appropriate measure of damages for future loss of earning capacity?</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appropriate measure of damages for future care costs?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appropriate measure of special damages?</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appropriate measure of non-pecuniary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[15] Based on the evidence before me, I have come to the following findings in relation to Mr. Gee's state of health, employment and activities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[16] At the time of the accident in 2014, Mr. Gee was almost 50 years old. He was a member of the Burnaby Fire Department, where he had worked as a firefighter since November 1993. He became a Fire Lieutenant in October of 2012 after passing his Officer 1 exam, which required considerable effort and numerous attempts.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[17] Mr. Gee lost his wife of 26 years to cancer in August 2012. Around this time, he had requested and been reassigned to the role of Emergency Dispatcher as a result of anxiety he was suffering during this period, and was still working in that role at the time of the accident. He remains designated as a Fire Lieutenant who has passed his Officer 1 exam, but no longer works in the field as a firefighter. Work as a dispatcher entails two 10 hour shifts, and two 14 hour night shifts, with four days off after each four days of work. For the most part, acting as a dispatcher requires sitting for prolonged periods and being attentive to phone calls and screen activity. Rest facilities were provided, particularly for the night shifts, and a firefighter is generally available to cover short breaks when necessary. While there were considerable periods of inactivity involved in dispatch work, there could also be prolonged periods requiring intense focus and attention, depending on the nature of the incident requiring fire trucks and teams to be called out during any given shift.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[18] Mr. Gee's pre-accident recreational activities included ATVing, snowmobiling, hunting, boating, fishing and fixing cars. Mr. Gee particularly enjoyed fixing older cars, including re-hauling engines and performing body work. Vehicle repair is something he learned from his father; it was and remains his first passion and calling.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[19] Before the accident, Mr. Gee had prior injuries and had been involved in previous motor vehicle accidents. His medical history indicates that he was involved in five other motor vehicle accidents between 1983 and 1993, and another two motor vehicle accidents in 2003 and 2007. Prior to becoming a firefighter, he had a workplace accident in which he fractured his back in a fall. It is uncontested that Mr. Gee had a history of back pain and that he had an underlying disc degeneration disease at the time of the 2014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[20] In 2004, after a 2003 motor vehicle accident, Mr. Gee's treating orthopedic surgeon at the time recommended that he undergo a disc fusion surgery at the lower three segments of his lumbar spine. Mr. Gee's worsening back pain at the time was the subject matter of the 2003 motor vehicle accident litigation claim, which I understand was settled without trial. The evidence before me establishes that Mr. Gee's symptoms had improved by 2005 and that he was advised by his surgeon at the time that the procedure was no longer warranted. He also did not take sedentary work at that time, and continued to be a firefighter in the field.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[21] Mr. Gee passed a fitness test as part of his Officer 1 exam to qualify as a Fire Lieutenant in late 2012 or early 2013,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[22] The evidence establishes that Mr. Gee's pre-existing back condition continued to cause a low level of pain, but was stable and had not interfered with his ability to work, apart from short periods of time off, for approximately seven years prior to the accident in 2014. During this time, I find that Mr. Gee managed his pain without prescription medication, and was also able to regularly lift and carry his wife in the years before she died in 2012 as she managed first MS, then cancer.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[23] Mr. Gee also suffered from caregiver stress and severe anxiety as a result of his wife's medical deterioration in the years prior to and close to her death, and it was this that led him to request and accept his position as dispatcher with the Fire Department in 2012.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Accident and Post-Accident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[24] With respect to the accident itself, the evidence establishes that on May 12, 2014 Mr. Gee was traveling with the right-of-way on Brunette Avenue in Coquitlam B.C., when the defendant, Peggy Bock, emerged onto Brunette Avenue from a stop at a stop sign on Blue Mountain Street. Ms. Bock believed that she had a full dedicated lane to merge onto Brunette Avenue, when in fact her lane merged into Mr. Gee's lane of travel. I accept Ms. Bock's evidence that she was travelling between 15 and 20 kilometers per hour. Ms. Bock was driving a vehicle owned by the defendant, WS Leasing Ltd., and leased to the defendant Warren Enterprises Inc.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[25] Ms. Bock testified she did not see Mr. Gee's vehicle until the accident occurred, but she did hear the sound of a vehicle accelerating immediately before the collision. The front bumper of Ms. Bock's work van impacted the rear door area of Mr. Gee's 1966 Chevrolet, and the two of them pulled over into a nearby gas station to assess the damage. Her van sustained no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[26] The only photographic evidence of the damage to Mr. Gee's car at trial were photographs taken at the ICBC claims centre 10 days after the accident. With respect to these photographs, Mr. Gee admits that he had exaggerated the appearance of the damage by removing all the paint from around the impact area, saying he does not know why he did this. Ms. Bock, on viewing these photos, testified that the extent of the damage shown was not only exaggerated through the removal of paint but in the extent of the dent. Although she had been requested to provide her photographs at the accident scene pursuant to a request at an examination for discovery a few weeks before trial, they were not provided to her counsel until the trial had commenced. Mr. Gee opposed the admission of these photos and sought an adverse inference as a result of her failure to produce the photographs before trial. He also sought an adverse inference for the failure to produce the contact information for a witness in Ms. Bock's van before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[27] Although the evidence is incomplete and Ms. Bock's photographs are not in evidence, I accept Ms. Bock's oral evidence on this point. She was credible in her evidence that the ICBC photographs showed more damage than she observed or was shown, based on her own recollection and the photographs she took at the time of the accident and which she had recently reviewed. Ms. Bock had been asked to produce these photographs just before Christmas holidays and only weeks before trial, and her delay in producing them was not significant. I attribute this delay to the plaintiff's delay in conducting her examination for discovery. More significantly, Ms. Bock's evidence is consistent with Mr. Gee's own admission that he exacerbated the appearance of the damage to his car (albeit to a lesser extent) by peeling off the paint before taking it to ICBC. I find that Mr. Gee intentionally exaggerated the damage to his vehicle before taking it to ICBC for assessment by increasing the extent of the damage to his vintage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[28] I note that liability is admitted in this trial, and there is no question that Ms. Bock failed to take proper care by merging into an active lane of traffic already occupied by Mr. Gee, and causing the accident. Ms. Bock's counsel relied on her evidence that Ms. Bock heard acceleration immediately prior to impact to infer that perhaps the accident was intentionally caused by Mr. Gee, but that would be inconsistent with the defendant's admission of liability. Furthermore, it is possible that acceleration may have been an appropriate means to clear a lane and avoid an imminent accident on Mr. Gee's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[29] However, while I find that liability has been established and that Ms. Bock is at fault for the accident, I also find that Mr. Gee exaggerated the physical impact resulting from the accident to ICBC and to this Court. The total damage estimate, even with the additional damage caused by Mr. Gee, was $2,500. In terms of physical impact between the vehicles, I find that this was a minor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[30] Mr. Gee testified that he immediately noticed pain to his back and neck upon impact. While the neck pain resolved within a few months, Mr. Gee testified that the back pain did not, and he ultimately proceeded with disc-replacement surgery in September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[31] During the surgery, Mr. Gee experienced severe bleeding on the operating table and the operation had to be abandoned after the degenerated disc between L5 and S1 had been removed. The failed surgery caused new pain, leading to Mr. Gee being put on stronger pain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[32] Mr. Gee testified that he also experienced irritability and an exacerbation of pre-existing depression, which he says is ongoing, and I accept this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[33] Mr. Gee did not return to work after the accident and has still not returned to work. He has received a disability income through the Burnaby Municipal Benefits Society, which has a subrogated claim in this action. Mr. Gee testified that the primary reason he has not returned to work is not his physical limitations but his dependence on pain medications, which ne believes makes him unfit to act as a dispatcher.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[34] Prior to the accident, Mr. Gee was on anxiety and depression medication, but was not taking prescription medications for pain management. Following the accident, Mr. Gee was prescribed, and has taken or is currently taking numerous prescription pain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[35] Mr. Gee has also attended some physiotherapy and massage therapy appointments since the accident. He has also seen a chiropractor and has received acupuncture treatments. However, he was not actively pursuing any of these therapies at the time of trial, and did not consider that they would yield any further benefit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[36] Mr. Gee's credibility was a key issue in this trial. This is not unusual in cases of chronic pain, where the court must always be concerned with the reality of the plaintiff's complaints of ongoing pain in order to determine the existence and extent of the injuries and properly assess damages based on such complaints. The applicable principles were summarized by Mr. Justice Abrioux in </w:t>
      </w:r>
      <w:r>
        <w:rPr>
          <w:rFonts w:ascii="arial" w:eastAsia="arial" w:hAnsi="arial" w:cs="arial"/>
          <w:i/>
          <w:color w:val="000000"/>
          <w:sz w:val="20"/>
          <w:lang w:val="en-US" w:eastAsia="en-US" w:bidi="ar-SA"/>
        </w:rPr>
        <w:t>Buttar v. Brennan</w:t>
      </w:r>
      <w:r>
        <w:rPr>
          <w:rFonts w:ascii="arial" w:eastAsia="arial" w:hAnsi="arial" w:cs="arial"/>
          <w:color w:val="000000"/>
          <w:sz w:val="20"/>
          <w:lang w:val="en-US" w:eastAsia="en-US" w:bidi="ar-SA"/>
        </w:rPr>
        <w:t xml:space="preserve">, </w:t>
      </w:r>
      <w:hyperlink r:id="rId155" w:history="1">
        <w:r>
          <w:rPr>
            <w:rFonts w:ascii="arial" w:eastAsia="arial" w:hAnsi="arial" w:cs="arial"/>
            <w:i/>
            <w:color w:val="0077CC"/>
            <w:sz w:val="20"/>
            <w:u w:val="single"/>
            <w:shd w:val="clear" w:color="auto" w:fill="FFFFFF"/>
            <w:lang w:val="en-US" w:eastAsia="en-US" w:bidi="ar-SA"/>
          </w:rPr>
          <w:t>2012 BCSC 531</w:t>
        </w:r>
      </w:hyperlink>
      <w:r>
        <w:rPr>
          <w:rFonts w:ascii="arial" w:eastAsia="arial" w:hAnsi="arial" w:cs="arial"/>
          <w:color w:val="000000"/>
          <w:sz w:val="20"/>
          <w:lang w:val="en-US" w:eastAsia="en-US" w:bidi="ar-SA"/>
        </w:rPr>
        <w:t xml:space="preserve"> at para. 24:</w:t>
      </w:r>
      <w:r>
        <w:rPr>
          <w:rFonts w:ascii="arial" w:eastAsia="arial" w:hAnsi="arial" w:cs="arial"/>
          <w:sz w:val="20"/>
          <w:lang w:val="en-US" w:eastAsia="en-US" w:bidi="ar-SA"/>
        </w:rPr>
        <w:cr/>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assessment of damages in a moderate or moderately severe soft tissue injury is always difficult because the plaintiffs are usually genuine, decent people who honestly try to be as objective and factual as they can. Unfortunately every injured person has a different understanding of his own complaints and injuries, and it falls to judges to translate injuries to damages </w:t>
      </w:r>
      <w:r>
        <w:rPr>
          <w:rFonts w:ascii="arial" w:eastAsia="arial" w:hAnsi="arial" w:cs="arial"/>
          <w:i/>
          <w:color w:val="000000"/>
          <w:sz w:val="20"/>
          <w:lang w:val="en-US" w:eastAsia="en-US" w:bidi="ar-SA"/>
        </w:rPr>
        <w:t>Price v. Kostryba</w:t>
      </w:r>
      <w:r>
        <w:rPr>
          <w:rFonts w:ascii="arial" w:eastAsia="arial" w:hAnsi="arial" w:cs="arial"/>
          <w:color w:val="000000"/>
          <w:sz w:val="20"/>
          <w:lang w:val="en-US" w:eastAsia="en-US" w:bidi="ar-SA"/>
        </w:rPr>
        <w:t xml:space="preserve"> </w:t>
      </w:r>
      <w:hyperlink r:id="rId156" w:history="1">
        <w:r>
          <w:rPr>
            <w:rFonts w:ascii="arial" w:eastAsia="arial" w:hAnsi="arial" w:cs="arial"/>
            <w:i/>
            <w:color w:val="0077CC"/>
            <w:sz w:val="20"/>
            <w:u w:val="single"/>
            <w:shd w:val="clear" w:color="auto" w:fill="FFFFFF"/>
            <w:lang w:val="en-US" w:eastAsia="en-US" w:bidi="ar-SA"/>
          </w:rPr>
          <w:t>(1982), 70 B.C.L.R. 397</w:t>
        </w:r>
      </w:hyperlink>
      <w:r>
        <w:rPr>
          <w:rFonts w:ascii="arial" w:eastAsia="arial" w:hAnsi="arial" w:cs="arial"/>
          <w:color w:val="000000"/>
          <w:sz w:val="20"/>
          <w:lang w:val="en-US" w:eastAsia="en-US" w:bidi="ar-SA"/>
        </w:rPr>
        <w:t xml:space="preserve"> at 397 (S.C.);</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should be exceedingly careful when there is little or no objective evidence of continuing injury and when complaints of pain persist for long periods extending beyond the normal or usual recovery (</w:t>
      </w:r>
      <w:r>
        <w:rPr>
          <w:rFonts w:ascii="arial" w:eastAsia="arial" w:hAnsi="arial" w:cs="arial"/>
          <w:i/>
          <w:color w:val="000000"/>
          <w:sz w:val="20"/>
          <w:lang w:val="en-US" w:eastAsia="en-US" w:bidi="ar-SA"/>
        </w:rPr>
        <w:t>Price</w:t>
      </w:r>
      <w:r>
        <w:rPr>
          <w:rFonts w:ascii="arial" w:eastAsia="arial" w:hAnsi="arial" w:cs="arial"/>
          <w:color w:val="000000"/>
          <w:sz w:val="20"/>
          <w:lang w:val="en-US" w:eastAsia="en-US" w:bidi="ar-SA"/>
        </w:rPr>
        <w:t xml:space="preserve"> at 399);</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injured person is entitled to be fully and properly compensated for any injury or disability caused by a wrongdoer. But no one can expect his fellow citizen or citizens to compensate him in the absence of convincing evidence -- which could be just his own evidence if the surrounding circumstances are consistent -- that his complaints of pain are true reflections of a continuing injury (</w:t>
      </w:r>
      <w:r>
        <w:rPr>
          <w:rFonts w:ascii="arial" w:eastAsia="arial" w:hAnsi="arial" w:cs="arial"/>
          <w:i/>
          <w:color w:val="000000"/>
          <w:sz w:val="20"/>
          <w:lang w:val="en-US" w:eastAsia="en-US" w:bidi="ar-SA"/>
        </w:rPr>
        <w:t>Price</w:t>
      </w:r>
      <w:r>
        <w:rPr>
          <w:rFonts w:ascii="arial" w:eastAsia="arial" w:hAnsi="arial" w:cs="arial"/>
          <w:color w:val="000000"/>
          <w:sz w:val="20"/>
          <w:lang w:val="en-US" w:eastAsia="en-US" w:bidi="ar-SA"/>
        </w:rPr>
        <w:t xml:space="preserve"> at 399);</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doctor's function is to take the patient's complaints at face value and offer an opinion based on them. It is for the court to assess credibility. If there is a medical or other reason for the doctor to suspect the plaintiff's complaints are not genuine, are inconsistent with the clinical picture or are inconsistent with the known course of such an injury, the court must be told of that. But it is not the doctor's job to conduct an investigation beyond the confines of the examining room </w:t>
      </w:r>
      <w:r>
        <w:rPr>
          <w:rFonts w:ascii="arial" w:eastAsia="arial" w:hAnsi="arial" w:cs="arial"/>
          <w:i/>
          <w:color w:val="000000"/>
          <w:sz w:val="20"/>
          <w:lang w:val="en-US" w:eastAsia="en-US" w:bidi="ar-SA"/>
        </w:rPr>
        <w:t>Edmondson v. Payer</w:t>
      </w:r>
      <w:r>
        <w:rPr>
          <w:rFonts w:ascii="arial" w:eastAsia="arial" w:hAnsi="arial" w:cs="arial"/>
          <w:color w:val="000000"/>
          <w:sz w:val="20"/>
          <w:lang w:val="en-US" w:eastAsia="en-US" w:bidi="ar-SA"/>
        </w:rPr>
        <w:t xml:space="preserve">, </w:t>
      </w:r>
      <w:hyperlink r:id="rId157" w:history="1">
        <w:r>
          <w:rPr>
            <w:rFonts w:ascii="arial" w:eastAsia="arial" w:hAnsi="arial" w:cs="arial"/>
            <w:i/>
            <w:color w:val="0077CC"/>
            <w:sz w:val="20"/>
            <w:u w:val="single"/>
            <w:shd w:val="clear" w:color="auto" w:fill="FFFFFF"/>
            <w:lang w:val="en-US" w:eastAsia="en-US" w:bidi="ar-SA"/>
          </w:rPr>
          <w:t>2011 BCSC 118</w:t>
        </w:r>
      </w:hyperlink>
      <w:r>
        <w:rPr>
          <w:rFonts w:ascii="arial" w:eastAsia="arial" w:hAnsi="arial" w:cs="arial"/>
          <w:color w:val="000000"/>
          <w:sz w:val="20"/>
          <w:lang w:val="en-US" w:eastAsia="en-US" w:bidi="ar-SA"/>
        </w:rPr>
        <w:t xml:space="preserve"> at para. 77, aff'd </w:t>
      </w:r>
      <w:hyperlink r:id="rId158" w:history="1">
        <w:r>
          <w:rPr>
            <w:rFonts w:ascii="arial" w:eastAsia="arial" w:hAnsi="arial" w:cs="arial"/>
            <w:i/>
            <w:color w:val="0077CC"/>
            <w:sz w:val="20"/>
            <w:u w:val="single"/>
            <w:shd w:val="clear" w:color="auto" w:fill="FFFFFF"/>
            <w:lang w:val="en-US" w:eastAsia="en-US" w:bidi="ar-SA"/>
          </w:rPr>
          <w:t>2012 BCCA 114</w:t>
        </w:r>
      </w:hyperlink>
      <w:r>
        <w:rPr>
          <w:rFonts w:ascii="arial" w:eastAsia="arial" w:hAnsi="arial" w:cs="arial"/>
          <w:color w:val="000000"/>
          <w:sz w:val="20"/>
          <w:lang w:val="en-US" w:eastAsia="en-US" w:bidi="ar-SA"/>
        </w:rPr>
        <w: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absence of objective signs of injury, the court's reliance on the medical profession must proceed from the facts it finds, and must seek congruence between those facts and the advice offered by the medical witnesses as to the possible medical consequences and the potential duration of the injuries </w:t>
      </w:r>
      <w:r>
        <w:rPr>
          <w:rFonts w:ascii="arial" w:eastAsia="arial" w:hAnsi="arial" w:cs="arial"/>
          <w:i/>
          <w:color w:val="000000"/>
          <w:sz w:val="20"/>
          <w:lang w:val="en-US" w:eastAsia="en-US" w:bidi="ar-SA"/>
        </w:rPr>
        <w:t>Fan (Guardian ad litem of</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 Chana</w:t>
      </w:r>
      <w:r>
        <w:rPr>
          <w:rFonts w:ascii="arial" w:eastAsia="arial" w:hAnsi="arial" w:cs="arial"/>
          <w:color w:val="000000"/>
          <w:sz w:val="20"/>
          <w:lang w:val="en-US" w:eastAsia="en-US" w:bidi="ar-SA"/>
        </w:rPr>
        <w:t xml:space="preserve">, </w:t>
      </w:r>
      <w:hyperlink r:id="rId159" w:history="1">
        <w:r>
          <w:rPr>
            <w:rFonts w:ascii="arial" w:eastAsia="arial" w:hAnsi="arial" w:cs="arial"/>
            <w:i/>
            <w:color w:val="0077CC"/>
            <w:sz w:val="20"/>
            <w:u w:val="single"/>
            <w:shd w:val="clear" w:color="auto" w:fill="FFFFFF"/>
            <w:lang w:val="en-US" w:eastAsia="en-US" w:bidi="ar-SA"/>
          </w:rPr>
          <w:t>2009 BCSC 1127</w:t>
        </w:r>
      </w:hyperlink>
      <w:r>
        <w:rPr>
          <w:rFonts w:ascii="arial" w:eastAsia="arial" w:hAnsi="arial" w:cs="arial"/>
          <w:color w:val="000000"/>
          <w:sz w:val="20"/>
          <w:lang w:val="en-US" w:eastAsia="en-US" w:bidi="ar-SA"/>
        </w:rPr>
        <w:t xml:space="preserve"> at para. 73;</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 case of this kind care must be taken in reaching conclusions about injury alleged to have continued long past the expected resolution. The task of the court is to assess the assertion in light of the surrounding circumstances including the medical evidence. The question is whether that evidence supported the plaintiff's assertion and, if not, whether a sound explanation for discounting it was given </w:t>
      </w:r>
      <w:r>
        <w:rPr>
          <w:rFonts w:ascii="arial" w:eastAsia="arial" w:hAnsi="arial" w:cs="arial"/>
          <w:i/>
          <w:color w:val="000000"/>
          <w:sz w:val="20"/>
          <w:lang w:val="en-US" w:eastAsia="en-US" w:bidi="ar-SA"/>
        </w:rPr>
        <w:t>Tai v. De Busscher</w:t>
      </w:r>
      <w:r>
        <w:rPr>
          <w:rFonts w:ascii="arial" w:eastAsia="arial" w:hAnsi="arial" w:cs="arial"/>
          <w:color w:val="000000"/>
          <w:sz w:val="20"/>
          <w:lang w:val="en-US" w:eastAsia="en-US" w:bidi="ar-SA"/>
        </w:rPr>
        <w:t xml:space="preserve">, </w:t>
      </w:r>
      <w:hyperlink r:id="rId160" w:history="1">
        <w:r>
          <w:rPr>
            <w:rFonts w:ascii="arial" w:eastAsia="arial" w:hAnsi="arial" w:cs="arial"/>
            <w:i/>
            <w:color w:val="0077CC"/>
            <w:sz w:val="20"/>
            <w:u w:val="single"/>
            <w:shd w:val="clear" w:color="auto" w:fill="FFFFFF"/>
            <w:lang w:val="en-US" w:eastAsia="en-US" w:bidi="ar-SA"/>
          </w:rPr>
          <w:t>2007 BCCA 371</w:t>
        </w:r>
      </w:hyperlink>
      <w:r>
        <w:rPr>
          <w:rFonts w:ascii="arial" w:eastAsia="arial" w:hAnsi="arial" w:cs="arial"/>
          <w:color w:val="000000"/>
          <w:sz w:val="20"/>
          <w:lang w:val="en-US" w:eastAsia="en-US" w:bidi="ar-SA"/>
        </w:rPr>
        <w:t xml:space="preserve"> at para. 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[37] The court's assessment of the plaintiff's credibility is therefore critical. I am guided in this assessment by numerous cases, including the following statement from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xml:space="preserve">, </w:t>
      </w:r>
      <w:hyperlink r:id="rId161"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at 357: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test must reasonably subject his story to an examination of its consistency with the probabilities which surround the currently existing conditions. In short, the real test of the truth of the story of a witness in such a case must be its harmony with the preponderance of the probabilities which a practical and informed person would readily recognize as reasonable in that place and in those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[38] I find that Mr. Gee was not a reliable historian of his own condition or other events. He could not remember details of his other accidents or claims, including recently resolved ones. He exaggerated the force and extent of the damage to his vehicle not only to ICBC, but also to his medical experts (although apparently, none of them relied upon this information). On November 17, 2015, Mr. Gee told Dr. Mark Matishak that his car was not salvageable as a result of the accident and was written off by his insurer. On September 13, 2017, he told Dr. Jonathan Hawkeswood that there was $5,000 worth of damage to his vehicle. On October 13, 2017 he told Dr. Darcy Muir that there was $6,000.00 of damage done to his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[39] On the stand, Mr. Gee was not dramatic, or defensive, and easily acceded to evidence against him. However, the evidence put to him on cross-examination and which he accepted or elaborated upon tended to undermine important aspects of his claims regarding the extent of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[40] Most significantly, when it came to Mr. Gee's own descriptions of his pain and limitations, his evidence in direct and examination for discovery was that he could not bend at the waist to brush his teeth, and that he could not bend or kneel. His evidence was that the worst position that he could be in for his back pain was leaning over the hood of a car while working on it. He said that fixing cars was a considerable source of joy in his life that he had now lost. He described no longer being able to hunt or fish, and requiring a new ATV with better shock absorption. According to Mr. Gee, his new partner now has to do all the heavy lifting in the house and yard, making him feel less worthy.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[41] This evidence was significantly undermined by his evidence in cross-examination and other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[42] In cross-examination, Mr. Gee was shown surveillance videotape footage taken of him in April 2017, three years after the accident and 10 months after his surgery. The video evidence was ultimately admitted by Mr. Gee without the necessity of calling the videographer. It showed Mr. Gee actively working on numerous vehicles. The video depicts Mr. Gee spend a prolonged period of time under the hood of a truck in the exact bent-over position that he said was so painful in direct. It showed him repeatedly and somewhat vigorously washing a car. On a later date, the video showed him working in the yard, scooping up gravel with a shovel and rotating his body to deposit it. His partner is shown nearby in the video raking--Mr. Gee is doing the heavy lifting. Critically, his evidence in cross-examination as he reviewed these videos was essentially that those activities were not problematic for him, other than the shoveling, which required him to rest afterward.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[43] With respect to his ability to pursue his favourite recreational activities, he agreed that he did still go fishing and ATVing, although with some modifications to his equipment. His long time friend testified about Mr. Gee's love of hunting. He described their most recent trip to Vanderhoof in the fall of 2017, which required 12-14 hours travel in a car. They took separate cars and Mr. Gee drove himself. Mr. Gee's friend described Mr. Gee as a good and proficient hunter. In fact, during that 2017 trip, Mr. Gee managed to successfully hunt, quarter, load and return to camp with a moose, and had it hanging at camp before his friend had returned to assist.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[44] I find on all the evidence that Mr. Gee is not a reliable historian of his own injuries, whether caused by the accident, or by previous injuries or accidents. I also find that his accounts of his physical limitations were considerably exaggerated in direct and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[45] Because Mr. Gee's medical experts were also required to rely at least in part on the information Mr. Gee would have provided to them about the extent and nature of his injuries, their evidence is also affected by Mr. Gee's lack of reliability and exaggeration. I have therefore considered their expert evidence in light of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NATURE, EXTENT, CAUSE AND PROGNOSIS OF MR. GEE'S INJURIES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[46] Mr. Gee's position is that he suffered from a number of injuries as a result of the accident, not all of which have resolved. The main injuries that he says did not resolve are his lower back pain (which was then exacerbated by the failed disc surgery), his anxiety, and his depression. While he accepts that he already had a pre-existing history of back pain, anxiety and depression, he says that the accident exacerbated all of these such that he went from being able to work and play despite these underlying complaints, to being debilitated by them and left unable to work or enjoy his favourite recreational activities.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[47] The defendants dispute that the accident was the cause of Mr. Gee's pain that led to the need for the failed surgery. They submit that all of Mr. Gee's conditions are just the natural progression of his historic and underlying injuries, and that Mr. Gee has failed to prove on a balance of probabilities that the accident caused him any further ongoing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[48] In the alternative, the defendants say that if Mr. Gee was injured in the accident, then his injuries are limited to soft tissue injuries to his neck and low back, which should have recovered in three to six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[49] The defendants rely primarily on the examination and opinion of their expert, Dr. Osama Gharsaa. Dr. Gharsaa is an orthopaedic surgeon who examined Mr. Gee on September 28, 2018 and concluded that Mr. Gee's back pain arises from his underlying degenerative disc disease, and is not related to the accident. Dr. Gharsaa concluded that given his pre-existing condition, Mr. Gee would have experienced his current level of symptoms eventually even absent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[50] Dr. Gharsaa also opined that while Mr. Gee may have sustained a brief period of soft tissue injury as a result of the accident, which should have resolved in approximately three months. Dr. Gharsaa allows that his time frame for recovery may have been delayed somewhat by Mr. Gee's underlying degenerative disc disease, but opined that the accident could not have caused Mr. Gee back pain much beyond that time frame.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[51] Dr. Gharsaa was also of the view that Mr. Gee needs a program of ongoing core fitness to strengthen the muscles surrounding his lumbar spine. The defendants say that had Mr. Gee engaged in such a training regimen early on, in the acute phase of injury, he would have made a further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[52] The defendants rely on the video surveillance footage to say that Mr. Gee is not disabled from work, household chores or from pursuing his recreational activities. They say that Mr. Gee has significantly exaggerated his pain and disability, and that Mr. Gee's expert reports suffer from inaccurate information as to the extent of Mr. Gee's actual abilities.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Legal Principles and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[53] Generally, Mr. Gee must establish on a balance of probabilities that he is injured and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materially contributed to his injuries.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need not be the sole cause of the injury so long as it is part of the cause beyond the </w:t>
      </w:r>
      <w:r>
        <w:rPr>
          <w:rFonts w:ascii="arial" w:eastAsia="arial" w:hAnsi="arial" w:cs="arial"/>
          <w:i/>
          <w:color w:val="000000"/>
          <w:sz w:val="20"/>
          <w:lang w:val="en-US" w:eastAsia="en-US" w:bidi="ar-SA"/>
        </w:rPr>
        <w:t>de minimis</w:t>
      </w:r>
      <w:r>
        <w:rPr>
          <w:rFonts w:ascii="arial" w:eastAsia="arial" w:hAnsi="arial" w:cs="arial"/>
          <w:color w:val="000000"/>
          <w:sz w:val="20"/>
          <w:lang w:val="en-US" w:eastAsia="en-US" w:bidi="ar-SA"/>
        </w:rPr>
        <w:t xml:space="preserve"> range. Causation need not be determined by scientific precision: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30"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paras. 13-17; </w:t>
      </w:r>
      <w:r>
        <w:rPr>
          <w:rFonts w:ascii="arial" w:eastAsia="arial" w:hAnsi="arial" w:cs="arial"/>
          <w:i/>
          <w:color w:val="000000"/>
          <w:sz w:val="20"/>
          <w:lang w:val="en-US" w:eastAsia="en-US" w:bidi="ar-SA"/>
        </w:rPr>
        <w:t>Farrant v. Laktin</w:t>
      </w:r>
      <w:r>
        <w:rPr>
          <w:rFonts w:ascii="arial" w:eastAsia="arial" w:hAnsi="arial" w:cs="arial"/>
          <w:color w:val="000000"/>
          <w:sz w:val="20"/>
          <w:lang w:val="en-US" w:eastAsia="en-US" w:bidi="ar-SA"/>
        </w:rPr>
        <w:t xml:space="preserve">, </w:t>
      </w:r>
      <w:hyperlink r:id="rId98" w:history="1">
        <w:r>
          <w:rPr>
            <w:rFonts w:ascii="arial" w:eastAsia="arial" w:hAnsi="arial" w:cs="arial"/>
            <w:i/>
            <w:color w:val="0077CC"/>
            <w:sz w:val="20"/>
            <w:u w:val="single"/>
            <w:shd w:val="clear" w:color="auto" w:fill="FFFFFF"/>
            <w:lang w:val="en-US" w:eastAsia="en-US" w:bidi="ar-SA"/>
          </w:rPr>
          <w:t>2011 BCCA 336</w:t>
        </w:r>
      </w:hyperlink>
      <w:r>
        <w:rPr>
          <w:rFonts w:ascii="arial" w:eastAsia="arial" w:hAnsi="arial" w:cs="arial"/>
          <w:color w:val="000000"/>
          <w:sz w:val="20"/>
          <w:lang w:val="en-US" w:eastAsia="en-US" w:bidi="ar-SA"/>
        </w:rPr>
        <w:t xml:space="preserve"> at para.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[54] The primary test for causation asks: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the plaintiff have suffered the injury? The "but for" test recognizes that compensation for negligent conduct should only be made where a substantial connection between the injury and the defendant's conduct is present: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162"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at paras. 21-23.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[55] Causation must be established on a balance of probabilities before damages are assessed. As McLachlin C.J.C. stated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163"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at para. 78: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Even though there may be several tortious and non-tortious causes of injury, so long as the defendant's act is a cause of the plaintiff's damage, the defendant is fully liable for that damage. The rules of damages then consider what the original position of the plaintiff would have been. The governing principle is that the defendant need not put the plaintiff in a better position than his original position and should not compensate the plaintiff for any damages he would have suffered anyway: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[56] The plaintiff must be placed in the position that he would have been in if not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no better or worse. Tortfeasors must take their victims as they find them, even if the plaintiff's injuries are more severe than they would be for a normal person. However, the defendant need not compensate the plaintiff for any debilitating effects of a pre-existing condition which he would have experienced anyway: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paras. 32-35.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Factual Findings on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[57] I have already stated that I found Mr. Gee to be an unreliable historian and that he significantly exaggerated his ability to work through his back pain to the court in giving his evidence in direct examination, and on other occasions.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[58] I do accept the evidence of Mr. Gee's family members, who testified that he was stiff and in pain immediately after the accident, and that the failed surgery also resulted in Mr. Gee requiring special accommodations, medications, and suffering considerable pain in the weeks afterward. Their evidence supports Mr. Gee's evidence with respect to more intense periods of pain, and ambient back pain and limitation, but was not sufficiently specific as to the timing and extent of this pain to establish that Mr. Gee's pain has been unabated since the accident or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[59] Given my conclusions with respect to the reliability of Mr. Gee's evidence, and the lack of specificity of his friend's and family's evidence with respect to Mr. Gee's injuries, I turn to the expert and medical evidence to assist in my determination of the nature of Mr. Gee's injuries and whether or to what extent they were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[60] A large number of medical experts prepared reports and testified with respect to Mr. Gee's injuries and their likely cause.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Majid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[61] Mr. Gee's family physician, Dr. Nadia Ali Majid, testified with respect to her clinical notes prior to the accident and the months thereafter. Dr. Majid's evidence was not given, qualified or received as opinion evidence, but to provide factual information as to what medications and treatments Mr. Gee had received at various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[62] I accept Dr. Majid's evidence that Mr. Gee did not make any back complaints to her, nor did she prescribe any pain management medications, until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[63] In her treatment log, Dr. Majid noted on March 26, 2013 that Mr. Gee reported at the time that he had returned to work after the passing of his wife, and that his anxiety symptoms were much better. She testified that at that time, she had remarked Mr. Gee's psychological condition to be stable and that he was off of his depression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[64] Dr. Majid recorded during Mr. Gee's visit the day after the accident Mr. Gee complained of back pain in the lower back on the left side that radiated across his back and into his right buttock.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[65] In addition to Dr. Majid, Mr. Gee entered numerous expert reports from two neurosurgeons (Drs. Mark Matishak and Navraj Heran), a physiatrist (Dr. Jonathan Hawkeswood), a psychiatrist (Dr. Darcy Muir), a physiotherapist who assessed Mr. Gee's functional capacity (Mr. Andrew Hosking), an occupational therapist (Ms. Simone Hartman), and an economist (Ms. Christiane Clark).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[66] I understand that the plaintiff adduced the expert evidence of the second neurosurgeon, Dr. Heran, because the first neurosurgeon, Dr. Matishak, was Mr. Gee's treating neurosurgeon, and performed the disc replacement operation that ultimately was unsuccessful. Because of his involvement in the chain of events that led to Mr. Gee's current condition, I agree that Dr. Matishak's opinion could not be truly independent, and I rely upon it primarily for Mr. Gee's medical history as to the events leading up to, during and after the unsuccessful surgery.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Matishak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[67] In or about 2014, Dr. Majid referred Mr. Gee to Dr. Matishak, a neurosurgeon with experience in disc replacement surgery. Mr. Gee first saw Dr. Matishak at the end of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[68] With respect to Mr. Gee's pain and disability level at the time of the recommended surgery, Dr. Matishak's records put Mr. Gee's self-reported pain levels at 6/10, higher than the pre-accident back pain, which had been largely stable in medical records since 2007. Dr. Matishak's opinion was that Mr. Gee suffered from an exacerbation of his pre-existing degenerative disc disease. Mr. Gee was treated with physiotherapy, massage therapy, acupuncture, as well as spinal decompression therapy. Facet injections were tried, with little benefit. Dr. Matishak's assessment was that Mr. Gee may benefit from a two-level anterior lumbar discectomy and total disc arthroplasty at L5-S1 and L4-5 to relieve some of the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[69] In his oral testimony, and speaking in the context of Mr. Gee's previously recommended surgery, Dr. Matishak summarized why surgeries are recommended and whether they proceed: "Surgeons offer surgery because that's what they do. Patients, if they're bad enough, capitulate."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[70] Mr. Gee underwent the L5-S1 surgery in June 2016 with Dr. Matishak. It was not successful. Indeed, Mr. Gee began to hemorrhage blood after the disc was removed but before it could be replaced. He remained in hospital for three days after the surgery recovering, and then moved home with his partner, who is a nurse and who cared for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[71] For approximately two months after the surgery, Mr. Gee had difficulty climbing stairs and stayed in the basement. When he saw Dr. Matishak again three months after the surgery, he was walking but taking a high dose of painkillers. Dr. Matishak opined at the time that he was not fit to go back to work as a dispatcher due to his limited ability to walk, sit or stand for any length of time, and that it may be unlikely that he could return to work, but that he would be reassessed in the new year (2017) to consider other surgical options. Mr. Gee did not pursue that reassessment.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[72] As a result of the surgery, Mr. Gee says he considers that the back pain he suffered after the accident is now worse, more constant and longer lasting. That is consistent with Dr. Matishak's opinion that Mr. Gee's function was not increased because of the failed surgery, and could be worse.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Heran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[73] Dr. Heran was qualified as a neurosurgeon and conducted an independent medical examination of Mr. Gee on September 7, 2018. Dr. Heran diagnosed Mr. Gee's injuries resulting from the accident as:</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Myofascial injuries involving neck and upper torso - resolved;</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Probable exacerbation of underlying arthritic changes involving the neck - resolved;</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Myofascial injuries involving low back;</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Aggravation of mechanical structural sources of pain in the low back consistent with activation of underlying arthritic degenerative changes that were quiescent; and</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Intermittent radiculopathy in his lower extremities, initially left side now with more right-side prominence.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[74] Dr. Heran opined that Mr. Gee's condition four years after the accident suggests that he will have continued symptoms in the future, and potentially indefinitely. He also opined that although Mr. Gee had underlying degenerative changes in his back before the accident, this condition was not debilitating, and the pain symptoms Mr. Gee experienced after the accident would not have occurred but for the accident in the majority of patients with the same underlying disc condition. He concluded that Mr. Gee's debilitating back pain was likely a consequence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[75] With respect to Mr. Gee's 2005 disc herniation, Dr. Heran testified that the normal progression for 95% of patients with a disc herniation is that they will get better over ten years. He concluded Mr. Gee's medical records establish that his disc herniation present between 2003-2005 had largely resolved before the accident. The disc surgery that Mr. Gee underwent after the accident in 2016 related to a lower part of Mr. Gee's spine than the disc surgery that was considered 10 years before the accident. I accept this evidence with respect to the relationship of Mr. Gee's pre-existing back pain and the back condition that led to his surgery in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[76] However, I do not accept Dr. Heran's evidence as to Mr. Gee's current physical abilities or ability to work. Dr. Heran accepted Mr. Gee's level of pain and debilitation in part based on Mr. Gee's history of not being able to work after the accident and that his domestic and recreational activities were also limited. A key limitation on Mr. Gee's ability to work, in Dr. Heran's opinion, was his need to be able to take regular breaks, whether from sitting or standing positions. Dr. Heran testified that someone in Mr. Gee's condition could likely manage shoveling but not continuously. He was not shown the video of Mr. Gee shoveling gravel in April 2017, and did not have the benefit of Mr. Gee's evidence that this was manageable for him. More significantly, Mr. Gee himself agreed that he could manage the sitting involved in his work as a dispatcher. Mr. Gee's concern was his dependence on pain medications that he testified would prevent him from giving his work as a dispatcher the attention it requires.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Hawkeswood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[77] Dr. Hawkeswood, a qualified physiatrist, opined with respect to a number of things, including Mr. Gee's dependence on pain medications. His report and testimony was balanced and well-informed as to Mr. Gee's medical history and the most comprehensive evidence regarding Mr. Gee's condition and limitations. He concurs with Dr. Heran with respect to the diagnosis and cause of Mr. Gee's symptoms, and he opines that the accident resulted in additional issues, including a 25 pound weight gain, complicating anxiety and depression, and dependency on medications. I accept this opinion, and find it to be largely consistent with the evidence I have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[78] Dr. Hawkeswood also opined that Mr. Gee's low back condition is now likely "bone on bone" at the L5 and S1 levels and would likely go on to autofusion as a result of the failed disc replacement. He thought it unlikely that Mr. Gee's condition could improve in a meaningful manner and that it was more likely to become worse in later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[79] However, Dr. Hawkeswood also found that Mr. Gee was disabled from the physical aspects of car building and maintenance, including activities that required bending over, reaching and walking. He opined that Mr. Gee was disabled from meaningful employment and endorsed long-term disability on account of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[80] I am unable to accept this latter aspect of Dr. Hawkeswood's opinion on the evidence established before me at trial. That evidence, most notably Mr. Gee's own evidence, is that the car repair work he was undertaking in April 2017 was not problematic for him, and that with small accommodations, like moving a little slower and getting on to his knees to bend very low, he could manage car repair and maintenance. He expressed no difficulty with bending over, reaching and walking in the ways he was shown doing those activities in the video.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Muir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[81] Dr. Muir is a psychiatrist and was qualified as an expert as such. Dr. Muir identified Mr. Gee to have suffered from a persistent depressed mood following his wife's cancer diagnosis, which, at the time of the accident, was stable, but which deteriorated on account of his accident-related pain and the functional difficulties resulting from the pain. Dr. Muir diagnosed Mr. Gee with major depressive disorder of moderate severity, with connected anxiety symptoms. He identified his psychiatric condition to result in a partial disability. Dr. Muir suggested that there would be improvement with his recommended intervention, including the use of medication, counselling and engagement with a sleep and chronic pain clinic.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Mr. Hosking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[82] Mr. Hosking was qualified as an expert in physiotherapy and in work capacity evaluations. Mr. Hosking opined that Mr. Gee was no longer suited to his previous work as a firefighter or a dispatcher and that Mr. Gee required assistance with heavier domestic activities, and recommended massage therapy, physiotherapy and exercise under the direction of a kinesiologist. However, Mr. Hosking's opinion was substantially undermined by Mr. Gee's evidence as to what he was capable of doing, including the video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[83] Mr. Hosking was asked to review the surveillance evidence. After reviewing the surveillance evidence, he opined that Mr. Gee appeared to have limitations with certain movements but those limitations appeared somewhat less than what was observed by him in his assessment of Mr. Gee approximately one year later in 2018. Mr. Hosking attributed this to deterioration over time from 2017 to his examination in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[84] I do not accept this evidence. Mr. Gee expressed more debilitation after his surgery than later, and he went on a moose hunting trip in the fall of 2017. In Mr. Gee's own evidence during and after reviewing the video, he did not suggest that he was now unable to do those things. Furthermore, if his condition has not been improving since the accident and since surgery, but in fact has been deteriorating then he would have been capable of a return to work well prior to early 2017. Furthermore, I find that it is unlikely that surgery would have been recommended or accepted in 2016 in that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Ms. Hartman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[85] Ms. Simone Hartman was qualified as an expert in occupational therapy and life care planning. Ms. Hartman reviewed the reports and records. She assessed Mr. Gee in his home environment and reported on his future care needs. Her assessment of Mr. Gee is not consistent with the evidence of Mr. Gee's physical abilities, and I put little weight on this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Gharsaa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[86] The defendants relied upon the expert report of Dr. Gharsaa.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[87] I found Dr. Gharsaa's evidence to be largely unhelpful. Dr. Gharsaa was not asked in his instructions the relevant question that is before me, which is whether the accident caused an aggravation of Mr. Gee's degenerative disc disease. When pressed on cross-examination, Dr. Gharsaa agreed that the accident exacerbated the disc degeneration disease, but insisted that as a rule, the worsening could have only been temporary.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[88] It was also apparent that Dr. Gharsaa had not properly familiarized himself with Mr. Gee's medical history, and in particular the difference between Mr. Gee's diagnosis of a herniated disc in his lower spine in 2004 with his diagnosis in 2015 that led to his attempted disc replacement surgery.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[89] I accept the opinion of Dr. Heran that herniated discs can heal with time and without intervention, and that this appears to have occurred in Mr. Gee's case by 2005. I accept Dr. Heran's evidence that Mr. Gee's lower back surgery after the accident related to a different location on his spine, and was required due to an event that exacerbated his underlying degenerative disc disease. I also accept Dr. Heran's evidence that in the majority of patients, the pain symptoms experienced by Mr. Gee after the accident would not spontaneously occur as a result of his pre-existing disc problems, and that the accident triggered or caused the more significant pain that required medication, treatment, and ultimately led to the recommendation and performance of disc replacement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[90] I reject the defence position that an adverse interference should arise from Mr. Gee's decision not to call his doctor who recommended surgery ten years before the accident. This trial had more than enough medical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[91] I reject Dr. Gharsaa's opinion that the initial cause of Mr. Gee's back pain leading up to the surgery was a spontaneous deterioration of the same condition that he had 10 years earlier. Dr. Gharsaa demonstrated a notable lack of familiarity with Mr. Gee's medical records and history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[92] I give no weight to Dr. Gharsaa's opinion, which I find was based on a misapprehension of the nature and severity of Mr. Gee's back pain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[93] I accept Drs. Heran and Hawkeswood's assessments that the accident aggravated or activated underlying degenerative changes in Mr. Gee's spine that were largely quiescent. This resulted in Mr. Gee being prescribed a more intensive medication regime and being recommended for and accepting disc replacement surgery. I accept that Mr. Gee must have been in sufficient discomfort to accept Dr. Matishak's recommendation of disc replacement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[94] I accept that Mr. Gee's condition was not improved by the surgery, and was likely worse, and significantly worse for two months after the surgery when he was unable to climb stairs or sleep in his own 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[95] I find that Mr. Gee was largely recovered from the surgery by early 2017, and that his level of function shown in the video footage taken in April 2017 showed that recovery. It also showed a level of function no better, and likely worse, than what he had before the accident and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[96] Mr. Gee continued to require regular prescription pain medications after the surgery, and it is primarily Mr. Gee's dependence on pain medication that has inhibited him from attempting a return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[97] Although numerous medications have been noted in Mr. Gee's post-accident records, based on the expert reports and Mr. Gee's evidence, the following are medications part of Mr. Gee's current pain-management regime:</w:t>
      </w:r>
      <w:r>
        <w:rPr>
          <w:rFonts w:ascii="arial" w:eastAsia="arial" w:hAnsi="arial" w:cs="arial"/>
          <w:sz w:val="20"/>
          <w:lang w:val="en-US" w:eastAsia="en-US" w:bidi="ar-SA"/>
        </w:rPr>
        <w:cr/>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Tramadol - 2-4 times per day;</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Tylenol No. 3 - two times per month; and</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Flexeril - two times per week (for intense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[98] I also accept Dr. Muir's assessment that Mr. Gee now, as a result of his increased back pain and failed surgery, has experienced an exacerbation or relapse of his depression symptoms and a worsening of his anxiety, which was manageable with the use of Ativan taken as needed immediately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[99] With respect to the impact of these conditions, I find that Mr. Gee is suffering from a dependence on medication, and that his depression and anxiety have increased. With respect to his lower back pain, I find that it was significant enough to warrant a highly invasive surgery, but that his pain is now manageable with the assistance of pain medications. I accept Dr. Hawkeswood's opinion that Mr. Gee's dependence on pain medication is something that can likely also now be reviewed and his medications modified.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[100] I reject those portions of the expert reports that Mr. Gee is disabled to the extent that he is unable to perform sedentary work without an intolerable amount of pain that cannot be accommodated. I find that these findings generally do not accord with the evidence established at trial, including the activities Mr. Gee is able to perform and Mr. Gee's own evidence that it is only his pain medication dependency that is preventing him from working. With respect to Mr. Gee's prognosis, on all the medical evidence I find that he is recovering, but is unlikely to fully recover to his pre-accident state, given that he is now missing a disc in his back and the degenerative changes in his spine have been activated in a more acute way than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[101] Mr. Gee's injuries initially would have affected his quality of life and vocational and recreational pursuits, but I find that he is now able to pursue these with some accommodations and alterations. I find that as of 2017 Mr. Gee has been capable of all of the following, albeit with the assistance of his pain medication regime:</w:t>
      </w:r>
      <w:r>
        <w:rPr>
          <w:rFonts w:ascii="arial" w:eastAsia="arial" w:hAnsi="arial" w:cs="arial"/>
          <w:sz w:val="20"/>
          <w:lang w:val="en-US" w:eastAsia="en-US" w:bidi="ar-SA"/>
        </w:rPr>
        <w:cr/>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Moose hunting;</w:t>
      </w:r>
    </w:p>
    <w:p>
      <w:pPr>
        <w:numPr>
          <w:numId w:val="2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Sitting for long periods of time, including:</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Driving in a car for 10-12 hours, with infrequent breaks; and</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Fishing;</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ATVing with a quad ATV;</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Car repair; and</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Yard work and domestic chores including bending, lifting, and twisting.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Past Wage Loss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[102] The plaintiff is claiming $427,992 for past loss of earning capacity based on the expert report provided by the economist, Ms. Clark. That figure is based on the assumption that Mr. Gee has established that he was unable to work after the accident and that Mr. Gee would have worked to the age of 60, the age of mandatory retirement. She also assumes that Mr. Gee would have continued to earn approximately 11% above the base wage for firefighters, which is a figure determined based on his past income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[103] The Burnaby Municipal Benefits Society also seeks subrogation of the amounts they paid to Mr. Gee in salary since the accident, totalling approximately $330,000.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[104] The defendants' position with respect to past wage loss is that it should be restricted to the period that Dr. Gharsaa says Mr. Gee ought to have recovered from his soft tissue back injuries, namely three to six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[105] The defendants say that although Mr. Gee claims to be disabled from work, he has not provided clear, convincing and cogent evidence to satisfy his evidentiary burden in this regard. Specifically, they say that Mr. Gee's evidence that he could not be accommodated at work is not supported by any expert evidence that reflects his actual abilities or by any evidence going to the specific requirements and work conditions of a dispatcher.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[20] Compensation for past loss of earning capacity is to be based on what the plaintiff </w:t>
      </w:r>
      <w:r>
        <w:rPr>
          <w:rFonts w:ascii="arial" w:eastAsia="arial" w:hAnsi="arial" w:cs="arial"/>
          <w:i/>
          <w:color w:val="000000"/>
          <w:sz w:val="20"/>
          <w:lang w:val="en-US" w:eastAsia="en-US" w:bidi="ar-SA"/>
        </w:rPr>
        <w:t>would</w:t>
      </w:r>
      <w:r>
        <w:rPr>
          <w:rFonts w:ascii="arial" w:eastAsia="arial" w:hAnsi="arial" w:cs="arial"/>
          <w:color w:val="000000"/>
          <w:sz w:val="20"/>
          <w:lang w:val="en-US" w:eastAsia="en-US" w:bidi="ar-SA"/>
        </w:rPr>
        <w:t xml:space="preserve"> have earned, not what they </w:t>
      </w:r>
      <w:r>
        <w:rPr>
          <w:rFonts w:ascii="arial" w:eastAsia="arial" w:hAnsi="arial" w:cs="arial"/>
          <w:i/>
          <w:color w:val="000000"/>
          <w:sz w:val="20"/>
          <w:lang w:val="en-US" w:eastAsia="en-US" w:bidi="ar-SA"/>
        </w:rPr>
        <w:t>could</w:t>
      </w:r>
      <w:r>
        <w:rPr>
          <w:rFonts w:ascii="arial" w:eastAsia="arial" w:hAnsi="arial" w:cs="arial"/>
          <w:color w:val="000000"/>
          <w:sz w:val="20"/>
          <w:lang w:val="en-US" w:eastAsia="en-US" w:bidi="ar-SA"/>
        </w:rPr>
        <w:t xml:space="preserve"> have earned, but for the injury: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111"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at para. 30; and </w:t>
      </w:r>
      <w:r>
        <w:rPr>
          <w:rFonts w:ascii="arial" w:eastAsia="arial" w:hAnsi="arial" w:cs="arial"/>
          <w:i/>
          <w:color w:val="000000"/>
          <w:sz w:val="20"/>
          <w:lang w:val="en-US" w:eastAsia="en-US" w:bidi="ar-SA"/>
        </w:rPr>
        <w:t>M.B. v. British Columbia</w:t>
      </w:r>
      <w:r>
        <w:rPr>
          <w:rFonts w:ascii="arial" w:eastAsia="arial" w:hAnsi="arial" w:cs="arial"/>
          <w:color w:val="000000"/>
          <w:sz w:val="20"/>
          <w:lang w:val="en-US" w:eastAsia="en-US" w:bidi="ar-SA"/>
        </w:rPr>
        <w:t xml:space="preserve">, </w:t>
      </w:r>
      <w:hyperlink r:id="rId112" w:history="1">
        <w:r>
          <w:rPr>
            <w:rFonts w:ascii="arial" w:eastAsia="arial" w:hAnsi="arial" w:cs="arial"/>
            <w:i/>
            <w:color w:val="0077CC"/>
            <w:sz w:val="20"/>
            <w:u w:val="single"/>
            <w:shd w:val="clear" w:color="auto" w:fill="FFFFFF"/>
            <w:lang w:val="en-US" w:eastAsia="en-US" w:bidi="ar-SA"/>
          </w:rPr>
          <w:t>2003 SCC 53</w:t>
        </w:r>
      </w:hyperlink>
      <w:r>
        <w:rPr>
          <w:rFonts w:ascii="arial" w:eastAsia="arial" w:hAnsi="arial" w:cs="arial"/>
          <w:color w:val="000000"/>
          <w:sz w:val="20"/>
          <w:lang w:val="en-US" w:eastAsia="en-US" w:bidi="ar-SA"/>
        </w:rPr>
        <w:t xml:space="preserve"> at para. 49. In making this determination, I must keep in mind that the plaintiff is to be put back in the position he would have been in had the accident not occurred: </w:t>
      </w:r>
      <w:r>
        <w:rPr>
          <w:rFonts w:ascii="arial" w:eastAsia="arial" w:hAnsi="arial" w:cs="arial"/>
          <w:i/>
          <w:color w:val="000000"/>
          <w:sz w:val="20"/>
          <w:lang w:val="en-US" w:eastAsia="en-US" w:bidi="ar-SA"/>
        </w:rPr>
        <w:t>Lines v. W &amp; D Logging Co. Ltd.</w:t>
      </w:r>
      <w:r>
        <w:rPr>
          <w:rFonts w:ascii="arial" w:eastAsia="arial" w:hAnsi="arial" w:cs="arial"/>
          <w:color w:val="000000"/>
          <w:sz w:val="20"/>
          <w:lang w:val="en-US" w:eastAsia="en-US" w:bidi="ar-SA"/>
        </w:rPr>
        <w:t xml:space="preserve">, </w:t>
      </w:r>
      <w:hyperlink r:id="rId164"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xml:space="preserve"> at paras. 185-186.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[106] The plaintiff need not establish earnings loss on a balance of probabilities - since what would have happened between the date of the accident and prior to the trial is essentially hypothetical, as are predictions regarding future losses. As stated in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165"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xml:space="preserve"> at para. 29: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What would have happened in the past but for the injury is no more "knowable" than what will happen in the future and therefore it is appropriate to assess the likelihood of hypothetical and future events rather than applying the balance of probabilities test that is applied with respect to past actual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[107] A future or hypothetical possibility will be taken into consideration as long as it is a real and substantial possibility and not mere speculation: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 and </w:t>
      </w:r>
      <w:r>
        <w:rPr>
          <w:rFonts w:ascii="arial" w:eastAsia="arial" w:hAnsi="arial" w:cs="arial"/>
          <w:i/>
          <w:color w:val="000000"/>
          <w:sz w:val="20"/>
          <w:lang w:val="en-US" w:eastAsia="en-US" w:bidi="ar-SA"/>
        </w:rPr>
        <w:t>Morlan v. Barrett</w:t>
      </w:r>
      <w:r>
        <w:rPr>
          <w:rFonts w:ascii="arial" w:eastAsia="arial" w:hAnsi="arial" w:cs="arial"/>
          <w:color w:val="000000"/>
          <w:sz w:val="20"/>
          <w:lang w:val="en-US" w:eastAsia="en-US" w:bidi="ar-SA"/>
        </w:rPr>
        <w:t xml:space="preserve">, </w:t>
      </w:r>
      <w:hyperlink r:id="rId114" w:history="1">
        <w:r>
          <w:rPr>
            <w:rFonts w:ascii="arial" w:eastAsia="arial" w:hAnsi="arial" w:cs="arial"/>
            <w:i/>
            <w:color w:val="0077CC"/>
            <w:sz w:val="20"/>
            <w:u w:val="single"/>
            <w:shd w:val="clear" w:color="auto" w:fill="FFFFFF"/>
            <w:lang w:val="en-US" w:eastAsia="en-US" w:bidi="ar-SA"/>
          </w:rPr>
          <w:t>2012 BCCA 66</w:t>
        </w:r>
      </w:hyperlink>
      <w:r>
        <w:rPr>
          <w:rFonts w:ascii="arial" w:eastAsia="arial" w:hAnsi="arial" w:cs="arial"/>
          <w:color w:val="000000"/>
          <w:sz w:val="20"/>
          <w:lang w:val="en-US" w:eastAsia="en-US" w:bidi="ar-SA"/>
        </w:rPr>
        <w:t xml:space="preserve"> at para.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[108] Pursuant to s. 98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the plaintiff is entitled to recover damages for only his past net income loss.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Factual Findings</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Ability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[109] Mr. Gee has not returned to work or attempted to return to work since the accident. He has been supported throughout this period by short term sick leave, medium term and long term disability payments through the Burnaby Municipal Benefits Society, a non-profit society associated with the City of Burnaby through which the City insures its employees. Through the sick leave and medium term benefits, Mr. Gee received close to his full salary. He received 67% of his gross earnings starting in 2015 as long term disability benefits. His long term disability benefits were reduced by the amount of any CPP benefits he qualified 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[110] The only direct evidence before me as to his ability to perform his pre-accident employment comes from Mr. Gee himself. That evidence is that Mr. Gee considers that his pain medication would interfere with his ability to properly perform his job as a dispatcher.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[111] In examinations for discovery, Mr. Gee stated that he cannot work because of the pain medication he is taking. He acknowledged feeling physically and cognitively able to perform his work. He acknowledged never discussing his ability to work under the effects of his pain medication with his employer.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[112] Prior to the accident, Mr. Gee was a full-time dispatcher for the Burnaby Fire Department. The role of a dispatcher requires sitting in a chair in a room with screens, taking emergency calls for the City of Burnaby that are referred to the Fire Department. This includes some medical as well as all fire related calls. He would have a helper assist him, to whom he would tell what trucks to dispatch to different areas. Mr. Gee dispatched for all seven fire halls in the City of Burnaby from his fire hall.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[113] The dispatcher job can be quite intense at times. Dispatch shifts are 10 and 14 hours long, both day and night, without any guarantee of regular relief. There are facilities for dispatchers to rest during the night shifts, but when there is a call, dispatchers are required to pay sustained attention to the emergency situation which may be brief, but in extreme cases can last for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[114] The records of Mr. Gee's family physician, Dr. Majid, contain documents that she completed on behalf of Mr. Gee's claim for disability benefits though the Burnaby Municipal Benefits Society. Those notes provide that Mr. Gee suffered no cognitive impairments, but was physically disabled from work. She admitted in her evidence that she relied on Mr. Gee's own description of his physical limitations and his job functions to certify him as disabled. Furthermore, Dr. Majid seemed to think that Mr. Gee would be returning to the more physically demanding job of a firefighter in the field, and was not aware that he was working in the role of a dispatcher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[115] I find that Dr. Majid was under the misconception that Mr. Gee's work duties involved the physical demands of a firefighter in the field. She did not consider whether Mr. Gee was unfit to return to work in the role of a dispatcher, and therefore her notes and the form she prepared and signed are not persuasive evidence of Mr. Gee's inability to return to work due to any physical limitations. In any event, I note that Dr. Majid was not tendered as an expert for the purpose of giving opinion evidence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[116] Dr. Heran, who was tendered as an expert, also gave his assessment of Mr. Gee's ability to return to work on the basis of a misconception about Mr. Gee's physical demands at work. He was under the impression that Mr. Gee was on active firefighter duty at the time of the accident, and agreed on cross-examination that his opinion was informed by this assumption. I am therefore unable to rely on Dr. Heran's opinion with respect to Mr. Gee's ability to fulfill the requirements of a dispatcher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[117] Similarly, Mr. Hosking opined that Mr. Gee was disabled from work without a work visit, and based his opinion on information that Mr. Gee supplied. This gap in Mr. Hosking's opinion is particularly serious, since the Court has no evidence of whether or not ergonomic changes to Mr. Gee's work station would improve his alleged symptoms or allowed him to better perform his work duties as a dispatcher or to manage his pain with less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[118] Dr. Hawkswood did consider Mr. Gee's ability to work in a dispatcher position. He concluded that Mr. Gee was unlikely to be able to sustain a sitting position for the length of time that this job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[119] However, I have found that Mr. Gee's physical abilities are in fact more extensive than what he reported to his medical experts, and that they extend to being able to sit for long periods of time. I have found that it was only Mr. Gee's concern with his medications that has prevented him from returning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[120] While Dr. Hawkeswood did diagnose Mr. Gee with a dependence on pain medication as a result of the accident, and made recommendations for changes in his medications in this regard, he did not opine that this would prevent him from returning to work. None of the medical experts were of the opinion that Mr. Gee's mental functions were impaired or that his use of pain medication was an impediment to his ability to return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[121] The plaintiff called retired Fire Chief Shaun Redmond regarding Mr. Gee's work requirements and prospects. He testified, and I accept, that the decision regarding a return to work of any disabled employee is generally made in conjunction with the employee, their physician, and the employer's medical advisor and adjudicator: Manulife. Manulife adjudicates disability claims for the Burnaby Municipal Benefits Society to maintain the privacy of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[122] I note that no documents were produced in these proceedings (before or at trial) relating to Manulife's evaluation of Mr. Gee or the employer's decision more generally to accept Mr. Gee's disability application, excuse him from work, and pay him disability payments up to the date of trial. I therefore cannot put any weight on that internal decision, the rationale or its basis, none of which are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[123] Mr. Gee's position was that there was no graduated return to work policy at the Burnaby Fire Department. Mr. Redmond's evidence, which I accept on this point, was that a "return to work" program was available, but would require the worker's physician to provide a plan that contemplated an eventual return to full-time, full duty work. Provided that there was a potential to return to full-time employment, Mr. Redmond confirmed that a graduated return to work as a dispatcher was possible, specifically for persons recovering from physical injury, such as Mr. Gee.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[124] I find that Mr. Gee never sought a return to work, nor did he explore his options for a gradual return to work, including what modifications or accommodations could be made for him in terms of managing his pain and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[125] Mr. Gee has the onus of establishing he could not work, and that includes showing that he could not be accommodated at his previous work position and that his pain medications prevented him from working. I find that, other than the initial three to six months after the accident conceded by the defendant, and an additional period during which Mr. Gee was in a worse condition than after the accident while recovering from his surgery in 2016, Mr. Gee has not discharged this onus.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[126] As to the length of these two time periods, I would award six months for the initial period, taking into account the defence concession of three to six months in this regard, and the need for some time for a graduated return to full-time work. Given that Mr. Gee was more debilitated after the surgery than after the accident, and Dr. Matishak's observations of Mr. Gee three months after surgery, I would award the same time for him to recover and return to work after the surgery.</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Career Prospects and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[127] In 2012, Mr. Gee had a reported gross income of $101,542. For the tax year in 2013, Mr. Gee had a reported gross income of $104,714. By that time, Mr. Gee was working full-time as a dispatcher. In 2014, the year the accident occurred, Mr. Gee's reported gross income was $98,638.43, which would have included his income as a dispatcher as well as disability payments he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[128] At the time of the accident, Mr. Gee had passed the Officer 1 test. He had not applied to do the Officer 2 test. He would have needed to take and pass the Officer 2 test in order to receive the designation of Fire Captain and to be paid at that higher salary band. Mr. Gee had passed the Officer 1 test (albeit after three attempts), and Mr. Redmond believed that Mr. Gee would have eventually become a confirmed Fire Captain. I am less certain about that, and find that Mr. Gee's ability to pass the Officer 2 test was highly questionable given his own evidence as to his difficulties with the Officer 1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[129] I do not consider that there was a real or substantial possibility that Mr. Gee would have become a Fire Captain before his retirement. I find Mr. Gee would have remained a full-time dispatcher at the Officer 1 level as a Fire Lieutenant.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Retirement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[130] Mr. Gee was born June 7, 1964, and at the time of the accident on May 12, 2014, was about to turn 50 years old. At that time he would have qualified for an early retirement, albeit with some discount to his pension income, on the basis of his years of service and his 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[131] He was entitled to his full pension at the age of 55. He was required to retire at the age of 60 due to mandatory retirement.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[132] Mr. Gee's evidence was that he hadn't even thought of retirement at the time the accident occurred. He had just taken on a larger mortgage and was still recovering financially from the costs associated with his deceased wife's expenses. According to Mr. Gee, he was not yet in a financial position to retire at the time of the accident, given his financial commitments at the time and the reduction in income and pension entitlement that doing so would entail. He stated at trial that he would have liked to work to 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[133] I find that around the time of the accident, Mr. Gee had been sent the forms in anticipation of his option to seek early retirement. I also find that Mr. Gee mentioned something about the possibility of his retirement to the ICBC adjuster just days after the accident, and that it was something he was considering. However, while the defendants sought to prove that Mr. Gee was planning to take the option of early retirement at the time of the accident, the evidence at trial did not bear that out. Nor however, does the evidence support a real or substantial possibility that he would have worked past his entitlement to a full pension at the age of 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[134] I find that the Mr. Gee would have retired at the age of 55 in June 2019.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[135] Taking into account all of the above factors, I would award Mr. Gee past wage losses for the six months immediately after the accident, and for 6 months after his surgery in June 2016 based on his position and wages as a Fire Lieutenant. The salary and overtime estimates set out in the economist's expert report are appropriate for these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[136] However, I am unable to determine what this amount this is, net of tax and EI, on the basis of the economist report provided. If the parties are not able to agree as to what amount this is, I refer them to the Registrar to certify that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[137] The Burnaby Medical Benefits Society is entitled to its subrogated claim for amounts it paid to Mr. Gee during these two 6-month periods.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[138] Given that I have found that Mr. Gee has not established that he has not been able to work for the majority of the period since the accident, and my finding that he would have retired as of June of this year in any event, there is no basis for an award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[139] I have considered whether Mr. Gee's pension entitlement may have been higher were it not for the two six month periods that I have found he was unable to work. I find that no award for loss of future earning capacity is warranted on that basis for two reasons: I have no evidence as to whether this will have affected Mr. Gee's pension entitlement, and Mr. Gee had a pre-accident medical history of being off work for months at a time due to back pain, anxiety and other pre-existing conditions. I am unable to find on the evidence that the accident materially changed his pension income going forward.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 of Future Care</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[140] The plaintiff relies primarily on the report of the occupational therapist, Ms. Hartman, to establish his future care needs and their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[141] Ms. Simone Hartman was qualified as an expert in occupational therapy and life care planning. Ms. Hartman reviewed the reports and records and she assessed Mr. Gee in his home environment. She made recommendations for future care and assistance to be provided to Mr. Gee. Her recommendations include costs for items such as replacement inversion tables, regular and seasonal household cleaning, lawn and garden care, handyman services, car maintenance and repairs, and gym memberships.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[142] Ms. Clark reviewed the report of Ms. Hartman and she calculated Mr. Gee's future care costs as between $233,836 and $323,926 based on that report. Mr. Gee claims the average of these two amounts ($278,881).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[143] The defendants do not suggest an alternative amount that would be appropriate, other than to say that it should be much 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[144] The defendants submit that Mr. Gee is able to do much more than what Ms. Hartman assumed he could. In terms of his ongoing need for treatment, the defendants say that Mr. Gee's costs of future care should be limited to the therapies he has undertaken to date and found useful.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[145] In this regard, the defendants concede he underwent some physiotherapy and massage therapy. He did not undergo any exercise therapy, and they say he is unlikely to do so in the future. He did not undergo any counselling for the alleged psychological injury, but did seek marriage counselling. They say that much of the costs sought by Mr. Gee are "Cadillac" costs that are not supported or established as medically necessary on the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[146] The plaintiff is entitled to compensation for the cost of future care based on what is reasonably necessary to restore him to his pre-accident condition insofar as that is possible. When full restoration cannot be achieved, the court must strive to assure full compensation through the provision of adequate future care. The award is to be based on what is reasonably necessary on the medical evidence to preserve and promote the plaintiff's mental and physical health. However, the courts should resist awarding damages for treatment that is not medically justified: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123"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Williams v. Low</w:t>
      </w:r>
      <w:r>
        <w:rPr>
          <w:rFonts w:ascii="arial" w:eastAsia="arial" w:hAnsi="arial" w:cs="arial"/>
          <w:color w:val="000000"/>
          <w:sz w:val="20"/>
          <w:lang w:val="en-US" w:eastAsia="en-US" w:bidi="ar-SA"/>
        </w:rPr>
        <w:t xml:space="preserve">, </w:t>
      </w:r>
      <w:hyperlink r:id="rId127" w:history="1">
        <w:r>
          <w:rPr>
            <w:rFonts w:ascii="arial" w:eastAsia="arial" w:hAnsi="arial" w:cs="arial"/>
            <w:i/>
            <w:color w:val="0077CC"/>
            <w:sz w:val="20"/>
            <w:u w:val="single"/>
            <w:shd w:val="clear" w:color="auto" w:fill="FFFFFF"/>
            <w:lang w:val="en-US" w:eastAsia="en-US" w:bidi="ar-SA"/>
          </w:rPr>
          <w:t>2000 BCSC 345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Spehar v. Beazley</w:t>
      </w:r>
      <w:r>
        <w:rPr>
          <w:rFonts w:ascii="arial" w:eastAsia="arial" w:hAnsi="arial" w:cs="arial"/>
          <w:color w:val="000000"/>
          <w:sz w:val="20"/>
          <w:lang w:val="en-US" w:eastAsia="en-US" w:bidi="ar-SA"/>
        </w:rPr>
        <w:t xml:space="preserve">, </w:t>
      </w:r>
      <w:hyperlink r:id="rId128" w:history="1">
        <w:r>
          <w:rPr>
            <w:rFonts w:ascii="arial" w:eastAsia="arial" w:hAnsi="arial" w:cs="arial"/>
            <w:i/>
            <w:color w:val="0077CC"/>
            <w:sz w:val="20"/>
            <w:u w:val="single"/>
            <w:shd w:val="clear" w:color="auto" w:fill="FFFFFF"/>
            <w:lang w:val="en-US" w:eastAsia="en-US" w:bidi="ar-SA"/>
          </w:rPr>
          <w:t>2002 BCSC 1104</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Gignac v. Insurance Corporation of British Columbia</w:t>
      </w:r>
      <w:r>
        <w:rPr>
          <w:rFonts w:ascii="arial" w:eastAsia="arial" w:hAnsi="arial" w:cs="arial"/>
          <w:color w:val="000000"/>
          <w:sz w:val="20"/>
          <w:lang w:val="en-US" w:eastAsia="en-US" w:bidi="ar-SA"/>
        </w:rPr>
        <w:t xml:space="preserve">, </w:t>
      </w:r>
      <w:hyperlink r:id="rId129" w:history="1">
        <w:r>
          <w:rPr>
            <w:rFonts w:ascii="arial" w:eastAsia="arial" w:hAnsi="arial" w:cs="arial"/>
            <w:i/>
            <w:color w:val="0077CC"/>
            <w:sz w:val="20"/>
            <w:u w:val="single"/>
            <w:shd w:val="clear" w:color="auto" w:fill="FFFFFF"/>
            <w:lang w:val="en-US" w:eastAsia="en-US" w:bidi="ar-SA"/>
          </w:rPr>
          <w:t>2012 BCCA 351</w:t>
        </w:r>
      </w:hyperlink>
      <w:r>
        <w:rPr>
          <w:rFonts w:ascii="arial" w:eastAsia="arial" w:hAnsi="arial" w:cs="arial"/>
          <w:color w:val="000000"/>
          <w:sz w:val="20"/>
          <w:lang w:val="en-US" w:eastAsia="en-US" w:bidi="ar-SA"/>
        </w:rPr>
        <w:t xml:space="preserve"> at paras. 29-30.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[31] The test for determining the appropriate award under the heading of cost of future care is an objective one based on medical evidence. For an award of future care: (1) there must be a medical justification for claims for cost of future care and (2) the claims must be reasonable: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at p. 84; and </w:t>
      </w:r>
      <w:r>
        <w:rPr>
          <w:rFonts w:ascii="arial" w:eastAsia="arial" w:hAnsi="arial" w:cs="arial"/>
          <w:i/>
          <w:color w:val="000000"/>
          <w:sz w:val="20"/>
          <w:lang w:val="en-US" w:eastAsia="en-US" w:bidi="ar-SA"/>
        </w:rPr>
        <w:t>Tsalamandris v. McLeod</w:t>
      </w:r>
      <w:r>
        <w:rPr>
          <w:rFonts w:ascii="arial" w:eastAsia="arial" w:hAnsi="arial" w:cs="arial"/>
          <w:color w:val="000000"/>
          <w:sz w:val="20"/>
          <w:lang w:val="en-US" w:eastAsia="en-US" w:bidi="ar-SA"/>
        </w:rPr>
        <w:t xml:space="preserve">, </w:t>
      </w:r>
      <w:hyperlink r:id="rId130" w:history="1">
        <w:r>
          <w:rPr>
            <w:rFonts w:ascii="arial" w:eastAsia="arial" w:hAnsi="arial" w:cs="arial"/>
            <w:i/>
            <w:color w:val="0077CC"/>
            <w:sz w:val="20"/>
            <w:u w:val="single"/>
            <w:shd w:val="clear" w:color="auto" w:fill="FFFFFF"/>
            <w:lang w:val="en-US" w:eastAsia="en-US" w:bidi="ar-SA"/>
          </w:rPr>
          <w:t>2012 BCCA 239</w:t>
        </w:r>
      </w:hyperlink>
      <w:r>
        <w:rPr>
          <w:rFonts w:ascii="arial" w:eastAsia="arial" w:hAnsi="arial" w:cs="arial"/>
          <w:color w:val="000000"/>
          <w:sz w:val="20"/>
          <w:lang w:val="en-US" w:eastAsia="en-US" w:bidi="ar-SA"/>
        </w:rPr>
        <w:t xml:space="preserve"> at paras. 62-63.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[147] Future care costs are "justified" if they are both medically necessary and likely to be incurred by the plaintiff. The award of damages is thus a matter of prediction as to what will happen in the future. If a plaintiff has not used a particular item or service in the past it may be inappropriate to include its cost in a future care award. However, if the evidence shows that previously rejected services will not be able to be rejected in the future, the plaintiff can recover for such services: </w:t>
      </w:r>
      <w:r>
        <w:rPr>
          <w:rFonts w:ascii="arial" w:eastAsia="arial" w:hAnsi="arial" w:cs="arial"/>
          <w:i/>
          <w:color w:val="000000"/>
          <w:sz w:val="20"/>
          <w:lang w:val="en-US" w:eastAsia="en-US" w:bidi="ar-SA"/>
        </w:rPr>
        <w:t>Izony v. Weidlich</w:t>
      </w:r>
      <w:r>
        <w:rPr>
          <w:rFonts w:ascii="arial" w:eastAsia="arial" w:hAnsi="arial" w:cs="arial"/>
          <w:color w:val="000000"/>
          <w:sz w:val="20"/>
          <w:lang w:val="en-US" w:eastAsia="en-US" w:bidi="ar-SA"/>
        </w:rPr>
        <w:t xml:space="preserve">, </w:t>
      </w:r>
      <w:hyperlink r:id="rId131" w:history="1">
        <w:r>
          <w:rPr>
            <w:rFonts w:ascii="arial" w:eastAsia="arial" w:hAnsi="arial" w:cs="arial"/>
            <w:i/>
            <w:color w:val="0077CC"/>
            <w:sz w:val="20"/>
            <w:u w:val="single"/>
            <w:shd w:val="clear" w:color="auto" w:fill="FFFFFF"/>
            <w:lang w:val="en-US" w:eastAsia="en-US" w:bidi="ar-SA"/>
          </w:rPr>
          <w:t>2006 BCSC 1315</w:t>
        </w:r>
      </w:hyperlink>
      <w:r>
        <w:rPr>
          <w:rFonts w:ascii="arial" w:eastAsia="arial" w:hAnsi="arial" w:cs="arial"/>
          <w:color w:val="000000"/>
          <w:sz w:val="20"/>
          <w:lang w:val="en-US" w:eastAsia="en-US" w:bidi="ar-SA"/>
        </w:rPr>
        <w:t xml:space="preserve"> at para. 74; </w:t>
      </w:r>
      <w:r>
        <w:rPr>
          <w:rFonts w:ascii="arial" w:eastAsia="arial" w:hAnsi="arial" w:cs="arial"/>
          <w:i/>
          <w:color w:val="000000"/>
          <w:sz w:val="20"/>
          <w:lang w:val="en-US" w:eastAsia="en-US" w:bidi="ar-SA"/>
        </w:rPr>
        <w:t>O'Connell v. Yung</w:t>
      </w:r>
      <w:r>
        <w:rPr>
          <w:rFonts w:ascii="arial" w:eastAsia="arial" w:hAnsi="arial" w:cs="arial"/>
          <w:color w:val="000000"/>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2012 BCCA 57</w:t>
        </w:r>
      </w:hyperlink>
      <w:r>
        <w:rPr>
          <w:rFonts w:ascii="arial" w:eastAsia="arial" w:hAnsi="arial" w:cs="arial"/>
          <w:color w:val="000000"/>
          <w:sz w:val="20"/>
          <w:lang w:val="en-US" w:eastAsia="en-US" w:bidi="ar-SA"/>
        </w:rPr>
        <w:t xml:space="preserve"> at paras. 55, 60 and 68-70.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xml:space="preserve">  [148] An assessment of damages for cost of future care is not a precise accounting exercise: </w:t>
      </w:r>
      <w:r>
        <w:rPr>
          <w:rFonts w:ascii="arial" w:eastAsia="arial" w:hAnsi="arial" w:cs="arial"/>
          <w:i/>
          <w:color w:val="000000"/>
          <w:sz w:val="20"/>
          <w:lang w:val="en-US" w:eastAsia="en-US" w:bidi="ar-SA"/>
        </w:rPr>
        <w:t>Krangle (Guardian ad litem of) v. Brisco</w:t>
      </w:r>
      <w:r>
        <w:rPr>
          <w:rFonts w:ascii="arial" w:eastAsia="arial" w:hAnsi="arial" w:cs="arial"/>
          <w:color w:val="000000"/>
          <w:sz w:val="20"/>
          <w:lang w:val="en-US" w:eastAsia="en-US" w:bidi="ar-SA"/>
        </w:rPr>
        <w:t xml:space="preserve">, </w:t>
      </w:r>
      <w:hyperlink r:id="rId134"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xml:space="preserve"> at para.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[149] Mr. Gee relies on Ms. Hartman's report as to what his needs will be in terms of future care. However, Ms. Hartman's report is based primarily on what Mr. Gee reported to her and her in-home observations of Mr. Gee's abilities that are not consistent with my findings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[150] For example, Mr. Gee reported to Ms. Hartmann that he is limited in his ability to complete household chores, in that he can only complete a few chores for short intervals and then would be required to take breaks. During Ms. Hartman's visit, Mr. Gee was observed to mop for approximately seven minutes using a light mop before reporting lower back pain and requesting a break. He also reported to Ms. Hartman that he is not able to care for his yard and garden and that he is not able to tolerate heavier seasonal yard maintenance or cut the lawn. This contradicts the evidence established at trial through video evidence and most importantly Mr. Gee's evidence in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[151] Mr. Gee also reported to Ms. Hartman that he no longer rides his ATV and no longer fishes. He said he continues to "tinker" with his cars but requires his friends or family to assist him with heavier work such as lifting batters, hoods and parts. This was also unsupported by Mr. Gee's evidence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[152] I award Mr. Gee only minimal amounts for the cost of household chores or repairs and maintenance. He has not established that his capacity or willingness to do this work in the future has been significantly diminished.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[153] Mr. Gee was also clear in his evidence that he did not find many of the treatments recommended to him to be helpful, and he did not pursue many of these treatments when recommended in the past, or only did so briefly.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[154] On the basis of Mr. Gee's evidence and his treatment history since the accident, I am not prepared to award him the costs of future massage, physiotherapy, or kinesiology programs. Mr. Gee was not actively pursuing any of these modes of therapy at the time of trial. Given Mr. Gee's pre-existing degenerative back condition and prior injuries, periodic massages or physiotherapy sessions may have been a medical necessity for him even if the 2014 accident did not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[155] I am convinced of the wisdom of the recommendations of Dr. Muir, including that Mr. Gee should visit a sleep clinic, change his anxiety medications, and pursue therapy. Although Mr. Gee has not pursued these recommendations to date, I find that these are "rejected" treatments that will not be able to be rejected in the future. The same is true of the recommended exercise regime.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[156] Some of the most significant costs are for certain medications that are recommended. Ms. Clark notes that it is difficult to determine whether and to what extent some of these costs might be covered by pharmacare. That is a contingency that I therefore also consider in making this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[157] Having reviewed all of the cost estimates provided for the various recommended therapies and equipment for Mr. Gee in the future as set out in Ms. Clark's report, and taking into account what I consider the likelihood of his need to pursue all or some of them and the extent to which those costs arise out of the accident and not solely out of his pre-existing conditions and will be born by him, I award him $80,000 for his costs of future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[158] Mr. Gee seeks $23,235 in special damages covering numerous items since the accident, including medications, cancellation of his trip to Mexico scheduled shortly after the accident, and, most contentiously, repairs to various vehicles that he says he would have been able to do himself but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[159] The defendants object to some but not all of these claims, most particularly the extent of the costs sought with respect to the car repair.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[160] It is well established that an injured person is entitled to recover the reasonable out-of-pocket expenses he or she incurred as a result of an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xml:space="preserve">  [161] This is grounded in the fundamental governing principle that an injured person is to be restored to the position he or she would have been in had the accident not occurred: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w:t>
      </w:r>
      <w:hyperlink r:id="rId166" w:history="1">
        <w:r>
          <w:rPr>
            <w:rFonts w:ascii="arial" w:eastAsia="arial" w:hAnsi="arial" w:cs="arial"/>
            <w:i/>
            <w:color w:val="0077CC"/>
            <w:sz w:val="20"/>
            <w:u w:val="single"/>
            <w:shd w:val="clear" w:color="auto" w:fill="FFFFFF"/>
            <w:lang w:val="en-US" w:eastAsia="en-US" w:bidi="ar-SA"/>
          </w:rPr>
          <w:t>2011 BCSC 944</w:t>
        </w:r>
      </w:hyperlink>
      <w:r>
        <w:rPr>
          <w:rFonts w:ascii="arial" w:eastAsia="arial" w:hAnsi="arial" w:cs="arial"/>
          <w:color w:val="000000"/>
          <w:sz w:val="20"/>
          <w:lang w:val="en-US" w:eastAsia="en-US" w:bidi="ar-SA"/>
        </w:rPr>
        <w:t xml:space="preserve"> at para. 281;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at 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[162] I agree with the defendants that the plaintiff's claims for vehicle repair to various other vehicles unrelated to the accident are not reasonable. These invoices include parts as well as the costs of labour, and there is no basis to suggest that Mr. Gee would not have had to pay for car parts when repairing cars, but for the accident. In addition, the evidence establishes Mr. Gee is actively engaged in fixing and restoring many cars, some for resale, some for friends and relatives. The fact that he incurred some garage costs in relation to this activity cannot be properly attributed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[163] Mr. Gee is entitled to his costs of cancelling his trip to Mexico just after the accident. This is also a cost that the ICBC adjuster recorded that he told Mr. Gee would be reasonable and the defendants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[164] I would also award Mr. Gee his costs for the massage, physiotherapy, chiropractor sessions, acupuncture and other therapies he undertook after the accident and before trial in his attempts to address his back pain. Some of these therapies were recommended to him before his doctors determined that they were unhelpful to him and that it was necessary to resort to surgical intervention. He also purchased a number of products including an inversion table, orthotics, and a new bed. Even if all of these were not as successful as he liked in addressing his pain, they were, for the most part, medically recommended or supported in the evidence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[165] Taking all of the above into account, I deduct the auto shop invoices totalling $3,783 from Mr. Gee's table of special damages, and award Mr. Gee $19,452 under this head of damage.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 Loss</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[166] Mr. Gee says he is a middle-aged man who has suffered and continues to cope with his suffering, as a result of this accident. His attempt to relieve his back pain by undergoing surgery failed. He can no longer work in his chosen profession and he no longer engages in ATVing, snowmobiling, and restoring vehicles as he once did. He also says that he cannot socialize as much as he used to because much of his leisure time is spent recuperating and resting.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[167] He has also been diagnosed with Major Depressive Disorder, which was in remission until it was activated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[168] Mr. Gee submits that his case is comparable to a number of cases where non-pecuniary damages were awarded in the range of $100-140,000, including:</w:t>
      </w:r>
      <w:r>
        <w:rPr>
          <w:rFonts w:ascii="arial" w:eastAsia="arial" w:hAnsi="arial" w:cs="arial"/>
          <w:sz w:val="20"/>
          <w:lang w:val="en-US" w:eastAsia="en-US" w:bidi="ar-SA"/>
        </w:rPr>
        <w:cr/>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Notenbomer v. Andjelic</w:t>
      </w:r>
      <w:r>
        <w:rPr>
          <w:rFonts w:ascii="arial" w:eastAsia="arial" w:hAnsi="arial" w:cs="arial"/>
          <w:color w:val="000000"/>
          <w:sz w:val="20"/>
          <w:lang w:val="en-US" w:eastAsia="en-US" w:bidi="ar-SA"/>
        </w:rPr>
        <w:t xml:space="preserve">, </w:t>
      </w:r>
      <w:hyperlink r:id="rId167" w:history="1">
        <w:r>
          <w:rPr>
            <w:rFonts w:ascii="arial" w:eastAsia="arial" w:hAnsi="arial" w:cs="arial"/>
            <w:i/>
            <w:color w:val="0077CC"/>
            <w:sz w:val="20"/>
            <w:u w:val="single"/>
            <w:shd w:val="clear" w:color="auto" w:fill="FFFFFF"/>
            <w:lang w:val="en-US" w:eastAsia="en-US" w:bidi="ar-SA"/>
          </w:rPr>
          <w:t>2008 BCSC 509</w:t>
        </w:r>
      </w:hyperlink>
      <w:r>
        <w:rPr>
          <w:rFonts w:ascii="arial" w:eastAsia="arial" w:hAnsi="arial" w:cs="arial"/>
          <w:color w:val="000000"/>
          <w:sz w:val="20"/>
          <w:lang w:val="en-US" w:eastAsia="en-US" w:bidi="ar-SA"/>
        </w:rPr>
        <w:t>: In this case, $100,000 in non-pecuniary damages was awarded to a 45 year old female who suffered a soft tissue injury to her lower back, a L3/4 disc herniation, and aggravation of her pre-existing L5-S1 disc herniation. In addition to the herniated disc at L5-S1, the plaintiff also suffered from pre-existing degenerative disc disease. At the time of the motor vehicle accident, the plaintiff was still off work awaiting back surgery. That surgery was performed approximately 3 months after the motor vehicle accident. The surgery initially alleviated some pain but eventually, the symptoms returned. The trial judge found the symptoms would not have returned but for the accident. The plaintiff was left with chronic disabling low back sciatic pain.</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Peso v. Hollaway</w:t>
      </w:r>
      <w:r>
        <w:rPr>
          <w:rFonts w:ascii="arial" w:eastAsia="arial" w:hAnsi="arial" w:cs="arial"/>
          <w:color w:val="000000"/>
          <w:sz w:val="20"/>
          <w:lang w:val="en-US" w:eastAsia="en-US" w:bidi="ar-SA"/>
        </w:rPr>
        <w:t xml:space="preserve">, </w:t>
      </w:r>
      <w:hyperlink r:id="rId168" w:history="1">
        <w:r>
          <w:rPr>
            <w:rFonts w:ascii="arial" w:eastAsia="arial" w:hAnsi="arial" w:cs="arial"/>
            <w:i/>
            <w:color w:val="0077CC"/>
            <w:sz w:val="20"/>
            <w:u w:val="single"/>
            <w:shd w:val="clear" w:color="auto" w:fill="FFFFFF"/>
            <w:lang w:val="en-US" w:eastAsia="en-US" w:bidi="ar-SA"/>
          </w:rPr>
          <w:t>2012 BCSC 1763</w:t>
        </w:r>
      </w:hyperlink>
      <w:r>
        <w:rPr>
          <w:rFonts w:ascii="arial" w:eastAsia="arial" w:hAnsi="arial" w:cs="arial"/>
          <w:color w:val="000000"/>
          <w:sz w:val="20"/>
          <w:lang w:val="en-US" w:eastAsia="en-US" w:bidi="ar-SA"/>
        </w:rPr>
        <w:t>: A 26 year old male was awarded $100,000 in non-pecuniary damages. The plaintiff suffered injury to his low back that resulted in him having an L4/5 discectomy. Of note, the plaintiff had a pre-existing disc herniation at L4-5 that had, before the motor vehicle accident, produced mild intermittent symptoms. The level of pain that he was experiencing before the accident was 2-4/10. The plaintiff had been functioning well, was not missing work and able to engage in sports. After the collision it had increased to 8/10. This improved following the surgery.</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Churath v. Cheema</w:t>
      </w:r>
      <w:r>
        <w:rPr>
          <w:rFonts w:ascii="arial" w:eastAsia="arial" w:hAnsi="arial" w:cs="arial"/>
          <w:color w:val="000000"/>
          <w:sz w:val="20"/>
          <w:lang w:val="en-US" w:eastAsia="en-US" w:bidi="ar-SA"/>
        </w:rPr>
        <w:t xml:space="preserve">, </w:t>
      </w:r>
      <w:hyperlink r:id="rId169" w:history="1">
        <w:r>
          <w:rPr>
            <w:rFonts w:ascii="arial" w:eastAsia="arial" w:hAnsi="arial" w:cs="arial"/>
            <w:i/>
            <w:color w:val="0077CC"/>
            <w:sz w:val="20"/>
            <w:u w:val="single"/>
            <w:shd w:val="clear" w:color="auto" w:fill="FFFFFF"/>
            <w:lang w:val="en-US" w:eastAsia="en-US" w:bidi="ar-SA"/>
          </w:rPr>
          <w:t>2016 BCSC 2303</w:t>
        </w:r>
      </w:hyperlink>
      <w:r>
        <w:rPr>
          <w:rFonts w:ascii="arial" w:eastAsia="arial" w:hAnsi="arial" w:cs="arial"/>
          <w:color w:val="000000"/>
          <w:sz w:val="20"/>
          <w:lang w:val="en-US" w:eastAsia="en-US" w:bidi="ar-SA"/>
        </w:rPr>
        <w:t>: Non-pecuniary damages of $125,000 was awarded to a 51 year old male who suffered the return of an L4-5 herniated disc as a result of the motor vehicle accident. Of note, 13 months before the motor vehicle accident the plaintiff had suffered a L4-5 disc herniation as a result of playing volleyball. He underwent surgery for this problem approximately 21/2 months before the motor vehicle accident. The trial judge was satisfied that the surgery before the motor vehicle accident had been successful and that the plaintiff would have made a complete recovery within a few moths had he not been involved in the motor vehicle accident. He was making a steady recovery and in due course would have become largely if not completely symptom-free. He was found to be able to exercise vigorously, walk for extended periods, perform chores around his home, and lift heavier weights greater than the 20 pound bag of flour which he had testified he could not lift.</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Bellaisac v. Mara</w:t>
      </w:r>
      <w:r>
        <w:rPr>
          <w:rFonts w:ascii="arial" w:eastAsia="arial" w:hAnsi="arial" w:cs="arial"/>
          <w:color w:val="000000"/>
          <w:sz w:val="20"/>
          <w:lang w:val="en-US" w:eastAsia="en-US" w:bidi="ar-SA"/>
        </w:rPr>
        <w:t xml:space="preserve">, </w:t>
      </w:r>
      <w:hyperlink r:id="rId170" w:history="1">
        <w:r>
          <w:rPr>
            <w:rFonts w:ascii="arial" w:eastAsia="arial" w:hAnsi="arial" w:cs="arial"/>
            <w:i/>
            <w:color w:val="0077CC"/>
            <w:sz w:val="20"/>
            <w:u w:val="single"/>
            <w:shd w:val="clear" w:color="auto" w:fill="FFFFFF"/>
            <w:lang w:val="en-US" w:eastAsia="en-US" w:bidi="ar-SA"/>
          </w:rPr>
          <w:t>2015 BCSC 1247</w:t>
        </w:r>
      </w:hyperlink>
      <w:r>
        <w:rPr>
          <w:rFonts w:ascii="arial" w:eastAsia="arial" w:hAnsi="arial" w:cs="arial"/>
          <w:color w:val="000000"/>
          <w:sz w:val="20"/>
          <w:lang w:val="en-US" w:eastAsia="en-US" w:bidi="ar-SA"/>
        </w:rPr>
        <w:t>: Non-pecuniary damages of $140,000 was awarded to 35 year old male who suffered an L5-S1 disc protrusion to his back as a result of a motor vehicle accident that left him with permanent pain and some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[169] Mr. Gee submits that his convalescence from his accident-related injuries and his ongoing pain and reduced function, as evidenced by friends, family, and medical professionals, places his non-pecuniary damages at $130,000.</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xml:space="preserve">  [170] The defendants submit that the reasonable range of non-pecuniary damages is $40,000 to $70,000, and they rely upon: </w:t>
      </w:r>
      <w:r>
        <w:rPr>
          <w:rFonts w:ascii="arial" w:eastAsia="arial" w:hAnsi="arial" w:cs="arial"/>
          <w:i/>
          <w:color w:val="000000"/>
          <w:sz w:val="20"/>
          <w:lang w:val="en-US" w:eastAsia="en-US" w:bidi="ar-SA"/>
        </w:rPr>
        <w:t>Sangha v. Chen</w:t>
      </w:r>
      <w:r>
        <w:rPr>
          <w:rFonts w:ascii="arial" w:eastAsia="arial" w:hAnsi="arial" w:cs="arial"/>
          <w:color w:val="000000"/>
          <w:sz w:val="20"/>
          <w:lang w:val="en-US" w:eastAsia="en-US" w:bidi="ar-SA"/>
        </w:rPr>
        <w:t xml:space="preserve">, </w:t>
      </w:r>
      <w:hyperlink r:id="rId171" w:history="1">
        <w:r>
          <w:rPr>
            <w:rFonts w:ascii="arial" w:eastAsia="arial" w:hAnsi="arial" w:cs="arial"/>
            <w:i/>
            <w:color w:val="0077CC"/>
            <w:sz w:val="20"/>
            <w:u w:val="single"/>
            <w:shd w:val="clear" w:color="auto" w:fill="FFFFFF"/>
            <w:lang w:val="en-US" w:eastAsia="en-US" w:bidi="ar-SA"/>
          </w:rPr>
          <w:t>2012 BCSC 749</w:t>
        </w:r>
      </w:hyperlink>
      <w:r>
        <w:rPr>
          <w:rFonts w:ascii="arial" w:eastAsia="arial" w:hAnsi="arial" w:cs="arial"/>
          <w:color w:val="000000"/>
          <w:sz w:val="20"/>
          <w:lang w:val="en-US" w:eastAsia="en-US" w:bidi="ar-SA"/>
        </w:rPr>
        <w:t xml:space="preserve"> ($40,000); </w:t>
      </w:r>
      <w:r>
        <w:rPr>
          <w:rFonts w:ascii="arial" w:eastAsia="arial" w:hAnsi="arial" w:cs="arial"/>
          <w:i/>
          <w:color w:val="000000"/>
          <w:sz w:val="20"/>
          <w:lang w:val="en-US" w:eastAsia="en-US" w:bidi="ar-SA"/>
        </w:rPr>
        <w:t>Litt v. Hansen</w:t>
      </w:r>
      <w:r>
        <w:rPr>
          <w:rFonts w:ascii="arial" w:eastAsia="arial" w:hAnsi="arial" w:cs="arial"/>
          <w:color w:val="000000"/>
          <w:sz w:val="20"/>
          <w:lang w:val="en-US" w:eastAsia="en-US" w:bidi="ar-SA"/>
        </w:rPr>
        <w:t xml:space="preserve">, </w:t>
      </w:r>
      <w:hyperlink r:id="rId172" w:history="1">
        <w:r>
          <w:rPr>
            <w:rFonts w:ascii="arial" w:eastAsia="arial" w:hAnsi="arial" w:cs="arial"/>
            <w:i/>
            <w:color w:val="0077CC"/>
            <w:sz w:val="20"/>
            <w:u w:val="single"/>
            <w:shd w:val="clear" w:color="auto" w:fill="FFFFFF"/>
            <w:lang w:val="en-US" w:eastAsia="en-US" w:bidi="ar-SA"/>
          </w:rPr>
          <w:t>2015 BCSC 1920</w:t>
        </w:r>
      </w:hyperlink>
      <w:r>
        <w:rPr>
          <w:rFonts w:ascii="arial" w:eastAsia="arial" w:hAnsi="arial" w:cs="arial"/>
          <w:color w:val="000000"/>
          <w:sz w:val="20"/>
          <w:lang w:val="en-US" w:eastAsia="en-US" w:bidi="ar-SA"/>
        </w:rPr>
        <w:t xml:space="preserve"> ($60,000); and </w:t>
      </w:r>
      <w:r>
        <w:rPr>
          <w:rFonts w:ascii="arial" w:eastAsia="arial" w:hAnsi="arial" w:cs="arial"/>
          <w:i/>
          <w:color w:val="000000"/>
          <w:sz w:val="20"/>
          <w:lang w:val="en-US" w:eastAsia="en-US" w:bidi="ar-SA"/>
        </w:rPr>
        <w:t>Suthakar v. Humble</w:t>
      </w:r>
      <w:r>
        <w:rPr>
          <w:rFonts w:ascii="arial" w:eastAsia="arial" w:hAnsi="arial" w:cs="arial"/>
          <w:color w:val="000000"/>
          <w:sz w:val="20"/>
          <w:lang w:val="en-US" w:eastAsia="en-US" w:bidi="ar-SA"/>
        </w:rPr>
        <w:t xml:space="preserve">, </w:t>
      </w:r>
      <w:hyperlink r:id="rId173" w:history="1">
        <w:r>
          <w:rPr>
            <w:rFonts w:ascii="arial" w:eastAsia="arial" w:hAnsi="arial" w:cs="arial"/>
            <w:i/>
            <w:color w:val="0077CC"/>
            <w:sz w:val="20"/>
            <w:u w:val="single"/>
            <w:shd w:val="clear" w:color="auto" w:fill="FFFFFF"/>
            <w:lang w:val="en-US" w:eastAsia="en-US" w:bidi="ar-SA"/>
          </w:rPr>
          <w:t>2016 BCSC 155</w:t>
        </w:r>
      </w:hyperlink>
      <w:r>
        <w:rPr>
          <w:rFonts w:ascii="arial" w:eastAsia="arial" w:hAnsi="arial" w:cs="arial"/>
          <w:color w:val="000000"/>
          <w:sz w:val="20"/>
          <w:lang w:val="en-US" w:eastAsia="en-US" w:bidi="ar-SA"/>
        </w:rPr>
        <w:t xml:space="preserve"> ($70,000).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[171] The defendants say these cases relate to men of a similar age, although concedes that none involved a surgical intervention.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xml:space="preserve">  [172] Non-pecuniary damages are awarded to compensate the plaintiff for pain, suffering, loss of enjoyment of life and loss of amenities. The compensation awarded should be fair to all parties, and fairness is measured against awards made in comparable cases. Such cases, though helpful, serve only as a rough guide. Each case depends on its own unique facts: </w:t>
      </w:r>
      <w:r>
        <w:rPr>
          <w:rFonts w:ascii="arial" w:eastAsia="arial" w:hAnsi="arial" w:cs="arial"/>
          <w:i/>
          <w:color w:val="000000"/>
          <w:sz w:val="20"/>
          <w:lang w:val="en-US" w:eastAsia="en-US" w:bidi="ar-SA"/>
        </w:rPr>
        <w:t>Trites v. Penner</w:t>
      </w:r>
      <w:r>
        <w:rPr>
          <w:rFonts w:ascii="arial" w:eastAsia="arial" w:hAnsi="arial" w:cs="arial"/>
          <w:color w:val="000000"/>
          <w:sz w:val="20"/>
          <w:lang w:val="en-US" w:eastAsia="en-US" w:bidi="ar-SA"/>
        </w:rPr>
        <w:t xml:space="preserve">, </w:t>
      </w:r>
      <w:hyperlink r:id="rId174" w:history="1">
        <w:r>
          <w:rPr>
            <w:rFonts w:ascii="arial" w:eastAsia="arial" w:hAnsi="arial" w:cs="arial"/>
            <w:i/>
            <w:color w:val="0077CC"/>
            <w:sz w:val="20"/>
            <w:u w:val="single"/>
            <w:shd w:val="clear" w:color="auto" w:fill="FFFFFF"/>
            <w:lang w:val="en-US" w:eastAsia="en-US" w:bidi="ar-SA"/>
          </w:rPr>
          <w:t>2010 BCSC 882</w:t>
        </w:r>
      </w:hyperlink>
      <w:r>
        <w:rPr>
          <w:rFonts w:ascii="arial" w:eastAsia="arial" w:hAnsi="arial" w:cs="arial"/>
          <w:color w:val="000000"/>
          <w:sz w:val="20"/>
          <w:lang w:val="en-US" w:eastAsia="en-US" w:bidi="ar-SA"/>
        </w:rPr>
        <w:t xml:space="preserve"> at paras. 188-189.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xml:space="preserve">  [173]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102"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the Court of Appeal outlined the factors to be considered when assessing non-pecuniary damages at para. 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inexhaustive list of common factors cited in </w:t>
      </w:r>
      <w:r>
        <w:rPr>
          <w:rFonts w:ascii="arial" w:eastAsia="arial" w:hAnsi="arial" w:cs="arial"/>
          <w:i/>
          <w:color w:val="000000"/>
          <w:sz w:val="20"/>
          <w:lang w:val="en-US" w:eastAsia="en-US" w:bidi="ar-SA"/>
        </w:rPr>
        <w:t>Boyd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 Harris</w:t>
      </w:r>
      <w:r>
        <w:rPr>
          <w:rFonts w:ascii="arial" w:eastAsia="arial" w:hAnsi="arial" w:cs="arial"/>
          <w:color w:val="000000"/>
          <w:sz w:val="20"/>
          <w:lang w:val="en-US" w:eastAsia="en-US" w:bidi="ar-SA"/>
        </w:rPr>
        <w:t xml:space="preserve">, </w:t>
      </w:r>
      <w:hyperlink r:id="rId175" w:history="1">
        <w:r>
          <w:rPr>
            <w:rFonts w:ascii="arial" w:eastAsia="arial" w:hAnsi="arial" w:cs="arial"/>
            <w:i/>
            <w:color w:val="0077CC"/>
            <w:sz w:val="20"/>
            <w:u w:val="single"/>
            <w:shd w:val="clear" w:color="auto" w:fill="FFFFFF"/>
            <w:lang w:val="en-US" w:eastAsia="en-US" w:bidi="ar-SA"/>
          </w:rPr>
          <w:t>2004 BCCA 146</w:t>
        </w:r>
      </w:hyperlink>
      <w:r>
        <w:rPr>
          <w:rFonts w:ascii="arial" w:eastAsia="arial" w:hAnsi="arial" w:cs="arial"/>
          <w:color w:val="000000"/>
          <w:sz w:val="20"/>
          <w:lang w:val="en-US" w:eastAsia="en-US" w:bidi="ar-SA"/>
        </w:rPr>
        <w:t>] that influence an award of non-pecuniary damages includes:</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 </w:t>
      </w:r>
      <w:hyperlink r:id="rId176"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xml:space="preserve">  [174] The assessment of non-pecuniary damages is necessarily influenced by the individual plaintiff's personal experiences in dealing with his or her injuries and their consequences: </w:t>
      </w:r>
      <w:r>
        <w:rPr>
          <w:rFonts w:ascii="arial" w:eastAsia="arial" w:hAnsi="arial" w:cs="arial"/>
          <w:i/>
          <w:color w:val="000000"/>
          <w:sz w:val="20"/>
          <w:lang w:val="en-US" w:eastAsia="en-US" w:bidi="ar-SA"/>
        </w:rPr>
        <w:t>Dilello v. Montgomery</w:t>
      </w:r>
      <w:r>
        <w:rPr>
          <w:rFonts w:ascii="arial" w:eastAsia="arial" w:hAnsi="arial" w:cs="arial"/>
          <w:color w:val="000000"/>
          <w:sz w:val="20"/>
          <w:lang w:val="en-US" w:eastAsia="en-US" w:bidi="ar-SA"/>
        </w:rPr>
        <w:t xml:space="preserve">, </w:t>
      </w:r>
      <w:hyperlink r:id="rId177" w:history="1">
        <w:r>
          <w:rPr>
            <w:rFonts w:ascii="arial" w:eastAsia="arial" w:hAnsi="arial" w:cs="arial"/>
            <w:i/>
            <w:color w:val="0077CC"/>
            <w:sz w:val="20"/>
            <w:u w:val="single"/>
            <w:shd w:val="clear" w:color="auto" w:fill="FFFFFF"/>
            <w:lang w:val="en-US" w:eastAsia="en-US" w:bidi="ar-SA"/>
          </w:rPr>
          <w:t>2005 BCCA 56</w:t>
        </w:r>
      </w:hyperlink>
      <w:r>
        <w:rPr>
          <w:rFonts w:ascii="arial" w:eastAsia="arial" w:hAnsi="arial" w:cs="arial"/>
          <w:color w:val="000000"/>
          <w:sz w:val="20"/>
          <w:lang w:val="en-US" w:eastAsia="en-US" w:bidi="ar-SA"/>
        </w:rPr>
        <w:t xml:space="preserve"> at para. 25.</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[175] I find that the defendants' cases and range of pecuniary damages are too low in this case. None of them involved a surgical intervention. However, I have also found that Mr. Gee has more function than he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[176] I have found that Mr. Gee would not have undergone the surgery but for the additional pain he was in as a result of the accident, and that the surgery caused Mr. Gee considerable additional pain and difficulty. His prognosis is significantly worsened as a result of the accident and resulting failed surgery. He now lives with depression and anxiety that was worsened by the accident. The accident also caused Mr. Gee to go on stronger pain medications and develop a dependency on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[177] Having reviewed all of the above and the comparable cases provided to me, I assess Mr. Gee's non-pecuniary losses in the amount of $100,000.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[36] In summary, the defendants are required to pay Mr. Gee damages in the following amounts:</w:t>
      </w:r>
      <w:r>
        <w:rPr>
          <w:rFonts w:ascii="arial" w:eastAsia="arial" w:hAnsi="arial" w:cs="arial"/>
          <w:sz w:val="20"/>
          <w:lang w:val="en-US" w:eastAsia="en-US" w:bidi="ar-SA"/>
        </w:rPr>
        <w:cr/>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 Pecuniary Damages: $100,000</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Past Loss of Wages: Remitted to Registrar for Certification</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Loss of Earning Capacity: None</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of Future Care: $80,000</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 $19,452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INTEREST AND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xml:space="preserve">  [178] The plaintiff is entitled to court order interest, in accordance with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 He is also entitled to his costs at the usual scale, subject to the existence of any offers or other matters that I have not been made aware 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[179] Should the parties require direction with respect to costs or interest, they may make arrangements with court scheduling within 30 days of the release of these reasons to appear before me. Should they require a reference to the Registrar to certify past wage losses, they should arrange a prehearing conference with the Registrar for this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F.V. MARZARI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8" style="position:absolute;z-index:2517667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78"/>
          <w:headerReference w:type="default" r:id="rId179"/>
          <w:footerReference w:type="even" r:id="rId180"/>
          <w:footerReference w:type="default" r:id="rId181"/>
          <w:headerReference w:type="first" r:id="rId182"/>
          <w:footerReference w:type="first" r:id="rId18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84" w:history="1">
        <w:r>
          <w:rPr>
            <w:rFonts w:ascii="arial" w:eastAsia="arial" w:hAnsi="arial" w:cs="arial"/>
            <w:b/>
            <w:bCs/>
            <w:i/>
            <w:color w:val="0077CC"/>
            <w:kern w:val="32"/>
            <w:sz w:val="28"/>
            <w:szCs w:val="32"/>
            <w:u w:val="single"/>
            <w:shd w:val="clear" w:color="auto" w:fill="FFFFFF"/>
            <w:lang w:val="en-US" w:eastAsia="en-US" w:bidi="ar-SA"/>
          </w:rPr>
          <w:t>Gill v. Canada (Minister of Transport), [2014] B.C.J. No. 2921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B.M. Greyell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8,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28,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S080464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2921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2235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Ranjit Singh Gill, Plaintiff, and Attorney General of Canada in Right of Minister of Transport, Trevor J. Heryet and David J. Nowzek,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(26 paras.)</w:t>
      </w:r>
    </w:p>
    <w:p>
      <w:pPr>
        <w:jc w:val="both"/>
        <w:rPr>
          <w:rFonts w:ascii="arial" w:eastAsia="arial" w:hAnsi="arial" w:cs="arial"/>
          <w:sz w:val="20"/>
          <w:lang w:val="en-US" w:eastAsia="en-US" w:bidi="ar-SA"/>
        </w:rPr>
      </w:pPr>
      <w:bookmarkStart w:id="28" w:name="Counsel_6"/>
      <w:bookmarkEnd w:id="2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9" style="position:absolute;z-index:2516664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Ranjit S. Gill: In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V. Anderson, M.F. Volk.</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9" w:name="Judgment_6"/>
      <w:bookmarkEnd w:id="29"/>
      <w:r>
        <w:pict>
          <v:line id="_x0000_s1050" style="position:absolute;z-index:25171763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Re: Costs</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0" w:name="B.M. GREYELL J."/>
            <w:bookmarkEnd w:id="30"/>
            <w:r>
              <w:rPr>
                <w:rFonts w:ascii="arial" w:eastAsia="arial" w:hAnsi="arial" w:cs="arial"/>
                <w:b/>
                <w:color w:val="000000"/>
                <w:sz w:val="30"/>
                <w:lang w:val="en-US" w:eastAsia="en-US" w:bidi="ar-SA"/>
              </w:rPr>
              <w:t>B.M. GREYELL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decision concerns the issue of costs arising from the dismissal of the plaintiff's claim against Transport Canada and the individually named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In reasons indexed as </w:t>
      </w:r>
      <w:r>
        <w:rPr>
          <w:rFonts w:ascii="arial" w:eastAsia="arial" w:hAnsi="arial" w:cs="arial"/>
          <w:i/>
          <w:color w:val="000000"/>
          <w:sz w:val="20"/>
          <w:lang w:val="en-US" w:eastAsia="en-US" w:bidi="ar-SA"/>
        </w:rPr>
        <w:t>Gill v. Canada (Minister of Transport)</w:t>
      </w:r>
      <w:r>
        <w:rPr>
          <w:rFonts w:ascii="arial" w:eastAsia="arial" w:hAnsi="arial" w:cs="arial"/>
          <w:color w:val="000000"/>
          <w:sz w:val="20"/>
          <w:lang w:val="en-US" w:eastAsia="en-US" w:bidi="ar-SA"/>
        </w:rPr>
        <w:t xml:space="preserve">, </w:t>
      </w:r>
      <w:hyperlink r:id="rId185" w:history="1">
        <w:r>
          <w:rPr>
            <w:rFonts w:ascii="arial" w:eastAsia="arial" w:hAnsi="arial" w:cs="arial"/>
            <w:i/>
            <w:color w:val="0077CC"/>
            <w:sz w:val="20"/>
            <w:u w:val="single"/>
            <w:shd w:val="clear" w:color="auto" w:fill="FFFFFF"/>
            <w:lang w:val="en-US" w:eastAsia="en-US" w:bidi="ar-SA"/>
          </w:rPr>
          <w:t>2014 BCSC 582</w:t>
        </w:r>
      </w:hyperlink>
      <w:r>
        <w:rPr>
          <w:rFonts w:ascii="arial" w:eastAsia="arial" w:hAnsi="arial" w:cs="arial"/>
          <w:color w:val="000000"/>
          <w:sz w:val="20"/>
          <w:lang w:val="en-US" w:eastAsia="en-US" w:bidi="ar-SA"/>
        </w:rPr>
        <w:t xml:space="preserve">, I dismissed Mr. Gill's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public misfeasance against Transport Canada and two of its senior managers. The action arose from Transport Canada's suspension and ultimate cancellation of the air operator certificate ("AOC") of Mr. Gill's company, International Express Aircharter ("IEA"), the day following the crash of an IEA scheduled flight from Tofino to Vancouver in which there were several fatalities. The cause of the crash was investigated by the Transportation Safety Board and was ultimately attributed to a metallurgical fault in a turbine, not attributable to any fault on the part of IEA.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Gill seeks an order that each party bear its own costs of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Gill submits the court should depart from the usual rule that costs should follow the event for a number of reasons. Those reasons include:</w:t>
      </w:r>
      <w:r>
        <w:rPr>
          <w:rFonts w:ascii="arial" w:eastAsia="arial" w:hAnsi="arial" w:cs="arial"/>
          <w:sz w:val="20"/>
          <w:lang w:val="en-US" w:eastAsia="en-US" w:bidi="ar-SA"/>
        </w:rPr>
        <w:cr/>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facts and issues raised a novel set of circumstances which had not previously been considered by the court;</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he and his counsel had pleaded the merits of his case with Transport Canada immediately upon being advised of the potential suspension without success;</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the Transport Appeal Tribunal of Canada ("TATC"), constituted under the </w:t>
      </w:r>
      <w:r>
        <w:rPr>
          <w:rFonts w:ascii="arial" w:eastAsia="arial" w:hAnsi="arial" w:cs="arial"/>
          <w:i/>
          <w:color w:val="000000"/>
          <w:sz w:val="20"/>
          <w:lang w:val="en-US" w:eastAsia="en-US" w:bidi="ar-SA"/>
        </w:rPr>
        <w:t>Aeronautics Act</w:t>
      </w:r>
      <w:r>
        <w:rPr>
          <w:rFonts w:ascii="arial" w:eastAsia="arial" w:hAnsi="arial" w:cs="arial"/>
          <w:color w:val="000000"/>
          <w:sz w:val="20"/>
          <w:lang w:val="en-US" w:eastAsia="en-US" w:bidi="ar-SA"/>
        </w:rPr>
        <w:t xml:space="preserve">, </w:t>
      </w:r>
      <w:hyperlink r:id="rId186" w:history="1">
        <w:r>
          <w:rPr>
            <w:rFonts w:ascii="arial" w:eastAsia="arial" w:hAnsi="arial" w:cs="arial"/>
            <w:i/>
            <w:color w:val="0077CC"/>
            <w:sz w:val="20"/>
            <w:u w:val="single"/>
            <w:shd w:val="clear" w:color="auto" w:fill="FFFFFF"/>
            <w:lang w:val="en-US" w:eastAsia="en-US" w:bidi="ar-SA"/>
          </w:rPr>
          <w:t>R.S.C. 1985, c. A-2</w:t>
        </w:r>
      </w:hyperlink>
      <w:r>
        <w:rPr>
          <w:rFonts w:ascii="arial" w:eastAsia="arial" w:hAnsi="arial" w:cs="arial"/>
          <w:color w:val="000000"/>
          <w:sz w:val="20"/>
          <w:lang w:val="en-US" w:eastAsia="en-US" w:bidi="ar-SA"/>
        </w:rPr>
        <w:t>, had found Transport Canada acted wrongly when it suspended the AOC, finding it had no proper basis for also suspending IEA's operations managers certificate;</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 Reconsideration Panel upheld the TATC decision calling Transport Canada's decision "unfounded"; and</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successful party was the Crown and the unsuccessful party a private citizen and that the legal point in issue was a novel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Gill argued that given these facts and the significant economic impact the defendant's decisions had on IEA the court should exercise its discretion not to award costs to Transport Canada. To paraphrase Mr. Gill's submissions "a regulatory agency is not immune from following the rules: the Minister should not receive costs for its wrongful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my reasons for judgement I found that both IEA and Mr. Gill suffered immediate and significant financial harm as a result of the suspension and cancellation of the AOC. This finding was not seriously disputed by the defendants although they adduced evidence at trial IEA's operations were financially precarious in any event of the suspension as it was generally late paying a number of its accounts. At the time the AOC was suspended IEA was in the process of expanding significantly. It was anticipating enhanced income and profitability. It was also highly leveraged to its creditors. The suspension of its AOC caused IEA to cease its operations immediately with resultant customer and income loss. The company's creditors including its bankers took immediate steps to secure their indebtedness.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Both IEA and Mr. Gill were forced into bankruptcy as a result of the suspension. Mr. Gill was required by the Trustee in Bankruptcy to purchase the right to commence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Mr. Gill relied on </w:t>
      </w:r>
      <w:r>
        <w:rPr>
          <w:rFonts w:ascii="arial" w:eastAsia="arial" w:hAnsi="arial" w:cs="arial"/>
          <w:i/>
          <w:color w:val="000000"/>
          <w:sz w:val="20"/>
          <w:lang w:val="en-US" w:eastAsia="en-US" w:bidi="ar-SA"/>
        </w:rPr>
        <w:t>Leroux v. Canada Revenue Agency</w:t>
      </w:r>
      <w:r>
        <w:rPr>
          <w:rFonts w:ascii="arial" w:eastAsia="arial" w:hAnsi="arial" w:cs="arial"/>
          <w:color w:val="000000"/>
          <w:sz w:val="20"/>
          <w:lang w:val="en-US" w:eastAsia="en-US" w:bidi="ar-SA"/>
        </w:rPr>
        <w:t xml:space="preserve">, </w:t>
      </w:r>
      <w:hyperlink r:id="rId187" w:history="1">
        <w:r>
          <w:rPr>
            <w:rFonts w:ascii="arial" w:eastAsia="arial" w:hAnsi="arial" w:cs="arial"/>
            <w:i/>
            <w:color w:val="0077CC"/>
            <w:sz w:val="20"/>
            <w:u w:val="single"/>
            <w:shd w:val="clear" w:color="auto" w:fill="FFFFFF"/>
            <w:lang w:val="en-US" w:eastAsia="en-US" w:bidi="ar-SA"/>
          </w:rPr>
          <w:t>2014 BCSC 720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Moore v. Montreal Graduate Nurses Association</w:t>
      </w:r>
      <w:r>
        <w:rPr>
          <w:rFonts w:ascii="arial" w:eastAsia="arial" w:hAnsi="arial" w:cs="arial"/>
          <w:color w:val="000000"/>
          <w:sz w:val="20"/>
          <w:lang w:val="en-US" w:eastAsia="en-US" w:bidi="ar-SA"/>
        </w:rPr>
        <w:t xml:space="preserve">, 1994 CarswellQue 990; </w:t>
      </w:r>
      <w:r>
        <w:rPr>
          <w:rFonts w:ascii="arial" w:eastAsia="arial" w:hAnsi="arial" w:cs="arial"/>
          <w:i/>
          <w:color w:val="000000"/>
          <w:sz w:val="20"/>
          <w:lang w:val="en-US" w:eastAsia="en-US" w:bidi="ar-SA"/>
        </w:rPr>
        <w:t>Bardoscia v. Niagara Regional Police Services Board</w:t>
      </w:r>
      <w:r>
        <w:rPr>
          <w:rFonts w:ascii="arial" w:eastAsia="arial" w:hAnsi="arial" w:cs="arial"/>
          <w:color w:val="000000"/>
          <w:sz w:val="20"/>
          <w:lang w:val="en-US" w:eastAsia="en-US" w:bidi="ar-SA"/>
        </w:rPr>
        <w:t xml:space="preserve">, </w:t>
      </w:r>
      <w:hyperlink r:id="rId188" w:history="1">
        <w:r>
          <w:rPr>
            <w:rFonts w:ascii="arial" w:eastAsia="arial" w:hAnsi="arial" w:cs="arial"/>
            <w:i/>
            <w:color w:val="0077CC"/>
            <w:sz w:val="20"/>
            <w:u w:val="single"/>
            <w:shd w:val="clear" w:color="auto" w:fill="FFFFFF"/>
            <w:lang w:val="en-US" w:eastAsia="en-US" w:bidi="ar-SA"/>
          </w:rPr>
          <w:t>2005 CarswellOnt 3188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Sierra Club of Western Canada v. British Columbia (Chef Forester)</w:t>
      </w:r>
      <w:r>
        <w:rPr>
          <w:rFonts w:ascii="arial" w:eastAsia="arial" w:hAnsi="arial" w:cs="arial"/>
          <w:color w:val="000000"/>
          <w:sz w:val="20"/>
          <w:lang w:val="en-US" w:eastAsia="en-US" w:bidi="ar-SA"/>
        </w:rPr>
        <w:t xml:space="preserve">, </w:t>
      </w:r>
      <w:hyperlink r:id="rId189" w:history="1">
        <w:r>
          <w:rPr>
            <w:rFonts w:ascii="arial" w:eastAsia="arial" w:hAnsi="arial" w:cs="arial"/>
            <w:i/>
            <w:color w:val="0077CC"/>
            <w:sz w:val="20"/>
            <w:u w:val="single"/>
            <w:shd w:val="clear" w:color="auto" w:fill="FFFFFF"/>
            <w:lang w:val="en-US" w:eastAsia="en-US" w:bidi="ar-SA"/>
          </w:rPr>
          <w:t>1994 CarswellBC 339</w:t>
        </w:r>
      </w:hyperlink>
      <w:r>
        <w:rPr>
          <w:rFonts w:ascii="arial" w:eastAsia="arial" w:hAnsi="arial" w:cs="arial"/>
          <w:color w:val="000000"/>
          <w:sz w:val="20"/>
          <w:lang w:val="en-US" w:eastAsia="en-US" w:bidi="ar-SA"/>
        </w:rPr>
        <w:t xml:space="preserve"> (S.C.), aff'd </w:t>
      </w:r>
      <w:hyperlink r:id="rId190" w:history="1">
        <w:r>
          <w:rPr>
            <w:rFonts w:ascii="arial" w:eastAsia="arial" w:hAnsi="arial" w:cs="arial"/>
            <w:i/>
            <w:color w:val="0077CC"/>
            <w:sz w:val="20"/>
            <w:u w:val="single"/>
            <w:shd w:val="clear" w:color="auto" w:fill="FFFFFF"/>
            <w:lang w:val="en-US" w:eastAsia="en-US" w:bidi="ar-SA"/>
          </w:rPr>
          <w:t>(1995), 7 B.C.L.R. (3d) 375</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British Columbia (Minister of Water, Land &amp; Air Protection) v. British Columbia (Information &amp; Privacy Commissioner)</w:t>
      </w:r>
      <w:r>
        <w:rPr>
          <w:rFonts w:ascii="arial" w:eastAsia="arial" w:hAnsi="arial" w:cs="arial"/>
          <w:color w:val="000000"/>
          <w:sz w:val="20"/>
          <w:lang w:val="en-US" w:eastAsia="en-US" w:bidi="ar-SA"/>
        </w:rPr>
        <w:t xml:space="preserve">, </w:t>
      </w:r>
      <w:hyperlink r:id="rId191" w:history="1">
        <w:r>
          <w:rPr>
            <w:rFonts w:ascii="arial" w:eastAsia="arial" w:hAnsi="arial" w:cs="arial"/>
            <w:i/>
            <w:color w:val="0077CC"/>
            <w:sz w:val="20"/>
            <w:u w:val="single"/>
            <w:shd w:val="clear" w:color="auto" w:fill="FFFFFF"/>
            <w:lang w:val="en-US" w:eastAsia="en-US" w:bidi="ar-SA"/>
          </w:rPr>
          <w:t>2005 BCCA 368</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The Owners Strata Plan LMS 2768 v. Jordison</w:t>
      </w:r>
      <w:r>
        <w:rPr>
          <w:rFonts w:ascii="arial" w:eastAsia="arial" w:hAnsi="arial" w:cs="arial"/>
          <w:color w:val="000000"/>
          <w:sz w:val="20"/>
          <w:lang w:val="en-US" w:eastAsia="en-US" w:bidi="ar-SA"/>
        </w:rPr>
        <w:t xml:space="preserve">, </w:t>
      </w:r>
      <w:hyperlink r:id="rId192" w:history="1">
        <w:r>
          <w:rPr>
            <w:rFonts w:ascii="arial" w:eastAsia="arial" w:hAnsi="arial" w:cs="arial"/>
            <w:i/>
            <w:color w:val="0077CC"/>
            <w:sz w:val="20"/>
            <w:u w:val="single"/>
            <w:shd w:val="clear" w:color="auto" w:fill="FFFFFF"/>
            <w:lang w:val="en-US" w:eastAsia="en-US" w:bidi="ar-SA"/>
          </w:rPr>
          <w:t>2012 BCCA 303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In particular, Mr. Gill relies on the comments of Mr. Justice Smith in </w:t>
      </w:r>
      <w:r>
        <w:rPr>
          <w:rFonts w:ascii="arial" w:eastAsia="arial" w:hAnsi="arial" w:cs="arial"/>
          <w:i/>
          <w:color w:val="000000"/>
          <w:sz w:val="20"/>
          <w:lang w:val="en-US" w:eastAsia="en-US" w:bidi="ar-SA"/>
        </w:rPr>
        <w:t>Sierra Club</w:t>
      </w:r>
      <w:r>
        <w:rPr>
          <w:rFonts w:ascii="arial" w:eastAsia="arial" w:hAnsi="arial" w:cs="arial"/>
          <w:color w:val="000000"/>
          <w:sz w:val="20"/>
          <w:lang w:val="en-US" w:eastAsia="en-US" w:bidi="ar-SA"/>
        </w:rPr>
        <w:t xml:space="preserve"> at paras. 24 and 49 - 50: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 do not think any principle of general application can be discerned from those cases. In my view, each turned on an exercise of judicial discretion in the particular circumstances. The novelty of the point involved was one, but not the only, relevant circumstance. It appears a more cogent factor was that the successful party was the Crown and the unsuccessful one was a private citizen in each case. None of them deal with a situation where the successful party is a private citizen and the unsuccessful party is a public interest litigant.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 do not think it would be wise to establish a principle that any person bringing a proceeding out of a bona fide concern to vindicate his or her perception of the public interest should be insulated from an award of costs in all cases. Such a motive will always be a relevant and important factor, but it should not be considered to the exclusion of all other relevant and important factors. The Court must retain the flexibility to do justice in each case.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In my view, the authorities cited do not set out any rule which must guide the exercise of my discretion. Rather, they set out examples of relevant factors to be taken into account and illustrate that the factors emphasized by Mr. McDade will be given more or less weight depending on their relationship to other pertinent considerations. In the result, whether to depart from the ordinary rule that costs follow the event is a matter within my discretion. The exercise of that discretion must be informed by proper principles, but it is nonetheless a decision to be made with regard to the particular facts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position of the defendants is that while the court has discretion not to follow the "usual" rule, such discretion should not be exercised except in a principled way. The defendants say the issue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a Crown body such as Transport Canada had been addressed previously by the courts, that the lawsuit did not just involve the Crown, as there were individual defendants named, that Mr. Gill was not pursuing a public interest lawsuit but rather, seeking a large sum in damages for negligent breach of a duty of care and public misfeasance and that the court in any event found Transport Canada was not negligent in its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defendant relies on </w:t>
      </w:r>
      <w:r>
        <w:rPr>
          <w:rFonts w:ascii="arial" w:eastAsia="arial" w:hAnsi="arial" w:cs="arial"/>
          <w:i/>
          <w:color w:val="000000"/>
          <w:sz w:val="20"/>
          <w:lang w:val="en-US" w:eastAsia="en-US" w:bidi="ar-SA"/>
        </w:rPr>
        <w:t>Chen v. Beltran</w:t>
      </w:r>
      <w:r>
        <w:rPr>
          <w:rFonts w:ascii="arial" w:eastAsia="arial" w:hAnsi="arial" w:cs="arial"/>
          <w:color w:val="000000"/>
          <w:sz w:val="20"/>
          <w:lang w:val="en-US" w:eastAsia="en-US" w:bidi="ar-SA"/>
        </w:rPr>
        <w:t xml:space="preserve">, </w:t>
      </w:r>
      <w:hyperlink r:id="rId193" w:history="1">
        <w:r>
          <w:rPr>
            <w:rFonts w:ascii="arial" w:eastAsia="arial" w:hAnsi="arial" w:cs="arial"/>
            <w:i/>
            <w:color w:val="0077CC"/>
            <w:sz w:val="20"/>
            <w:u w:val="single"/>
            <w:shd w:val="clear" w:color="auto" w:fill="FFFFFF"/>
            <w:lang w:val="en-US" w:eastAsia="en-US" w:bidi="ar-SA"/>
          </w:rPr>
          <w:t>2011 BCSC 41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Greenfield v. Albion Properties Ltd.</w:t>
      </w:r>
      <w:r>
        <w:rPr>
          <w:rFonts w:ascii="arial" w:eastAsia="arial" w:hAnsi="arial" w:cs="arial"/>
          <w:color w:val="000000"/>
          <w:sz w:val="20"/>
          <w:lang w:val="en-US" w:eastAsia="en-US" w:bidi="ar-SA"/>
        </w:rPr>
        <w:t xml:space="preserve">, </w:t>
      </w:r>
      <w:hyperlink r:id="rId194" w:history="1">
        <w:r>
          <w:rPr>
            <w:rFonts w:ascii="arial" w:eastAsia="arial" w:hAnsi="arial" w:cs="arial"/>
            <w:i/>
            <w:color w:val="0077CC"/>
            <w:sz w:val="20"/>
            <w:u w:val="single"/>
            <w:shd w:val="clear" w:color="auto" w:fill="FFFFFF"/>
            <w:lang w:val="en-US" w:eastAsia="en-US" w:bidi="ar-SA"/>
          </w:rPr>
          <w:t>2007 BCSC 226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Latkin v. Vancouver (City)</w:t>
      </w:r>
      <w:r>
        <w:rPr>
          <w:rFonts w:ascii="arial" w:eastAsia="arial" w:hAnsi="arial" w:cs="arial"/>
          <w:color w:val="000000"/>
          <w:sz w:val="20"/>
          <w:lang w:val="en-US" w:eastAsia="en-US" w:bidi="ar-SA"/>
        </w:rPr>
        <w:t xml:space="preserve">, </w:t>
      </w:r>
      <w:hyperlink r:id="rId195" w:history="1">
        <w:r>
          <w:rPr>
            <w:rFonts w:ascii="arial" w:eastAsia="arial" w:hAnsi="arial" w:cs="arial"/>
            <w:i/>
            <w:color w:val="0077CC"/>
            <w:sz w:val="20"/>
            <w:u w:val="single"/>
            <w:shd w:val="clear" w:color="auto" w:fill="FFFFFF"/>
            <w:lang w:val="en-US" w:eastAsia="en-US" w:bidi="ar-SA"/>
          </w:rPr>
          <w:t>2014 BCSC 484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Lax Kw'alaams Indian Band v. Canada (Attorney General)</w:t>
      </w:r>
      <w:r>
        <w:rPr>
          <w:rFonts w:ascii="arial" w:eastAsia="arial" w:hAnsi="arial" w:cs="arial"/>
          <w:color w:val="000000"/>
          <w:sz w:val="20"/>
          <w:lang w:val="en-US" w:eastAsia="en-US" w:bidi="ar-SA"/>
        </w:rPr>
        <w:t xml:space="preserve">, </w:t>
      </w:r>
      <w:hyperlink r:id="rId196" w:history="1">
        <w:r>
          <w:rPr>
            <w:rFonts w:ascii="arial" w:eastAsia="arial" w:hAnsi="arial" w:cs="arial"/>
            <w:i/>
            <w:color w:val="0077CC"/>
            <w:sz w:val="20"/>
            <w:u w:val="single"/>
            <w:shd w:val="clear" w:color="auto" w:fill="FFFFFF"/>
            <w:lang w:val="en-US" w:eastAsia="en-US" w:bidi="ar-SA"/>
          </w:rPr>
          <w:t>2009 BCSC 875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McKay v. Marx</w:t>
      </w:r>
      <w:r>
        <w:rPr>
          <w:rFonts w:ascii="arial" w:eastAsia="arial" w:hAnsi="arial" w:cs="arial"/>
          <w:color w:val="000000"/>
          <w:sz w:val="20"/>
          <w:lang w:val="en-US" w:eastAsia="en-US" w:bidi="ar-SA"/>
        </w:rPr>
        <w:t xml:space="preserve">, </w:t>
      </w:r>
      <w:hyperlink r:id="rId197" w:history="1">
        <w:r>
          <w:rPr>
            <w:rFonts w:ascii="arial" w:eastAsia="arial" w:hAnsi="arial" w:cs="arial"/>
            <w:i/>
            <w:color w:val="0077CC"/>
            <w:sz w:val="20"/>
            <w:u w:val="single"/>
            <w:shd w:val="clear" w:color="auto" w:fill="FFFFFF"/>
            <w:lang w:val="en-US" w:eastAsia="en-US" w:bidi="ar-SA"/>
          </w:rPr>
          <w:t>2012 BCSC 484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Slocan Forest Products Ltd. v. Trapper Enterprises Ltd.</w:t>
      </w:r>
      <w:r>
        <w:rPr>
          <w:rFonts w:ascii="arial" w:eastAsia="arial" w:hAnsi="arial" w:cs="arial"/>
          <w:color w:val="000000"/>
          <w:sz w:val="20"/>
          <w:lang w:val="en-US" w:eastAsia="en-US" w:bidi="ar-SA"/>
        </w:rPr>
        <w:t xml:space="preserve">, </w:t>
      </w:r>
      <w:hyperlink r:id="rId198" w:history="1">
        <w:r>
          <w:rPr>
            <w:rFonts w:ascii="arial" w:eastAsia="arial" w:hAnsi="arial" w:cs="arial"/>
            <w:i/>
            <w:color w:val="0077CC"/>
            <w:sz w:val="20"/>
            <w:u w:val="single"/>
            <w:shd w:val="clear" w:color="auto" w:fill="FFFFFF"/>
            <w:lang w:val="en-US" w:eastAsia="en-US" w:bidi="ar-SA"/>
          </w:rPr>
          <w:t>2010 BCSC 1494</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Staley v. Squirrel Systems of Canada Ltd.</w:t>
      </w:r>
      <w:r>
        <w:rPr>
          <w:rFonts w:ascii="arial" w:eastAsia="arial" w:hAnsi="arial" w:cs="arial"/>
          <w:color w:val="000000"/>
          <w:sz w:val="20"/>
          <w:lang w:val="en-US" w:eastAsia="en-US" w:bidi="ar-SA"/>
        </w:rPr>
        <w:t xml:space="preserve">, </w:t>
      </w:r>
      <w:hyperlink r:id="rId199" w:history="1">
        <w:r>
          <w:rPr>
            <w:rFonts w:ascii="arial" w:eastAsia="arial" w:hAnsi="arial" w:cs="arial"/>
            <w:i/>
            <w:color w:val="0077CC"/>
            <w:sz w:val="20"/>
            <w:u w:val="single"/>
            <w:shd w:val="clear" w:color="auto" w:fill="FFFFFF"/>
            <w:lang w:val="en-US" w:eastAsia="en-US" w:bidi="ar-SA"/>
          </w:rPr>
          <w:t>2012 BCSC 954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Rule 14-1(9)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Costs to follow event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subrule (12), costs of a proceeding must be awarded to the successful party unless the court otherwise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Rule 14-1(12) does not apply to the circumstances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Gichuru v. Smith</w:t>
      </w:r>
      <w:r>
        <w:rPr>
          <w:rFonts w:ascii="arial" w:eastAsia="arial" w:hAnsi="arial" w:cs="arial"/>
          <w:color w:val="000000"/>
          <w:sz w:val="20"/>
          <w:lang w:val="en-US" w:eastAsia="en-US" w:bidi="ar-SA"/>
        </w:rPr>
        <w:t xml:space="preserve">, </w:t>
      </w:r>
      <w:hyperlink r:id="rId200" w:history="1">
        <w:r>
          <w:rPr>
            <w:rFonts w:ascii="arial" w:eastAsia="arial" w:hAnsi="arial" w:cs="arial"/>
            <w:i/>
            <w:color w:val="0077CC"/>
            <w:sz w:val="20"/>
            <w:u w:val="single"/>
            <w:shd w:val="clear" w:color="auto" w:fill="FFFFFF"/>
            <w:lang w:val="en-US" w:eastAsia="en-US" w:bidi="ar-SA"/>
          </w:rPr>
          <w:t>2014 BCCA 414</w:t>
        </w:r>
      </w:hyperlink>
      <w:r>
        <w:rPr>
          <w:rFonts w:ascii="arial" w:eastAsia="arial" w:hAnsi="arial" w:cs="arial"/>
          <w:color w:val="000000"/>
          <w:sz w:val="20"/>
          <w:lang w:val="en-US" w:eastAsia="en-US" w:bidi="ar-SA"/>
        </w:rPr>
        <w:t xml:space="preserve"> the Court of Appeal recently set out the general principles upon which judges must proceed when determining issues pertaining the an award of costs. Those principles are applicable to the issue raised by the plaintiff in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[100] At the outset, it is important to emphasize that in exercising the power to fix costs a judge cannot act arbitrarily or capriciously. He or she must act in a manner consistent with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and the principles that have long governed such awards. In </w:t>
      </w:r>
      <w:r>
        <w:rPr>
          <w:rFonts w:ascii="arial" w:eastAsia="arial" w:hAnsi="arial" w:cs="arial"/>
          <w:i/>
          <w:color w:val="000000"/>
          <w:sz w:val="20"/>
          <w:lang w:val="en-US" w:eastAsia="en-US" w:bidi="ar-SA"/>
        </w:rPr>
        <w:t>Stiles v. B.C. (W.C.B)</w:t>
      </w:r>
      <w:r>
        <w:rPr>
          <w:rFonts w:ascii="arial" w:eastAsia="arial" w:hAnsi="arial" w:cs="arial"/>
          <w:color w:val="000000"/>
          <w:sz w:val="20"/>
          <w:lang w:val="en-US" w:eastAsia="en-US" w:bidi="ar-SA"/>
        </w:rPr>
        <w:t xml:space="preserve"> </w:t>
      </w:r>
      <w:hyperlink r:id="rId201" w:history="1">
        <w:r>
          <w:rPr>
            <w:rFonts w:ascii="arial" w:eastAsia="arial" w:hAnsi="arial" w:cs="arial"/>
            <w:i/>
            <w:color w:val="0077CC"/>
            <w:sz w:val="20"/>
            <w:u w:val="single"/>
            <w:shd w:val="clear" w:color="auto" w:fill="FFFFFF"/>
            <w:lang w:val="en-US" w:eastAsia="en-US" w:bidi="ar-SA"/>
          </w:rPr>
          <w:t>(1989), 38 B.C.L.R. (2d) 307</w:t>
        </w:r>
      </w:hyperlink>
      <w:r>
        <w:rPr>
          <w:rFonts w:ascii="arial" w:eastAsia="arial" w:hAnsi="arial" w:cs="arial"/>
          <w:color w:val="000000"/>
          <w:sz w:val="20"/>
          <w:lang w:val="en-US" w:eastAsia="en-US" w:bidi="ar-SA"/>
        </w:rPr>
        <w:t xml:space="preserve"> (C.A.) at 310, Lambert J.A. articulated the limits on a judge's power to award costs: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...Generally, the decisions on costs, including both whether to award costs, and, if awarded, how to calculate them, are decisions governed by a wide measure of discretion. See </w:t>
      </w:r>
      <w:r>
        <w:rPr>
          <w:rFonts w:ascii="arial" w:eastAsia="arial" w:hAnsi="arial" w:cs="arial"/>
          <w:i/>
          <w:color w:val="000000"/>
          <w:sz w:val="20"/>
          <w:lang w:val="en-US" w:eastAsia="en-US" w:bidi="ar-SA"/>
        </w:rPr>
        <w:t>Oasis Hotel Ltd. v. Zurich Insurance Co.</w:t>
      </w:r>
      <w:r>
        <w:rPr>
          <w:rFonts w:ascii="arial" w:eastAsia="arial" w:hAnsi="arial" w:cs="arial"/>
          <w:color w:val="000000"/>
          <w:sz w:val="20"/>
          <w:lang w:val="en-US" w:eastAsia="en-US" w:bidi="ar-SA"/>
        </w:rPr>
        <w:t xml:space="preserve"> </w:t>
      </w:r>
      <w:hyperlink r:id="rId202" w:history="1">
        <w:r>
          <w:rPr>
            <w:rFonts w:ascii="arial" w:eastAsia="arial" w:hAnsi="arial" w:cs="arial"/>
            <w:i/>
            <w:color w:val="0077CC"/>
            <w:sz w:val="20"/>
            <w:u w:val="single"/>
            <w:shd w:val="clear" w:color="auto" w:fill="FFFFFF"/>
            <w:lang w:val="en-US" w:eastAsia="en-US" w:bidi="ar-SA"/>
          </w:rPr>
          <w:t>(1981), 28 B.C.L.R. 230</w:t>
        </w:r>
      </w:hyperlink>
      <w:r>
        <w:rPr>
          <w:rFonts w:ascii="arial" w:eastAsia="arial" w:hAnsi="arial" w:cs="arial"/>
          <w:color w:val="000000"/>
          <w:sz w:val="20"/>
          <w:lang w:val="en-US" w:eastAsia="en-US" w:bidi="ar-SA"/>
        </w:rPr>
        <w:t xml:space="preserve">, </w:t>
      </w:r>
      <w:hyperlink r:id="rId202" w:history="1">
        <w:r>
          <w:rPr>
            <w:rFonts w:ascii="arial" w:eastAsia="arial" w:hAnsi="arial" w:cs="arial"/>
            <w:i/>
            <w:color w:val="0077CC"/>
            <w:sz w:val="20"/>
            <w:u w:val="single"/>
            <w:shd w:val="clear" w:color="auto" w:fill="FFFFFF"/>
            <w:lang w:val="en-US" w:eastAsia="en-US" w:bidi="ar-SA"/>
          </w:rPr>
          <w:t>[1981] 5 W.W.R. 24</w:t>
        </w:r>
      </w:hyperlink>
      <w:r>
        <w:rPr>
          <w:rFonts w:ascii="arial" w:eastAsia="arial" w:hAnsi="arial" w:cs="arial"/>
          <w:color w:val="000000"/>
          <w:sz w:val="20"/>
          <w:lang w:val="en-US" w:eastAsia="en-US" w:bidi="ar-SA"/>
        </w:rPr>
        <w:t xml:space="preserve">, </w:t>
      </w:r>
      <w:hyperlink r:id="rId202" w:history="1">
        <w:r>
          <w:rPr>
            <w:rFonts w:ascii="arial" w:eastAsia="arial" w:hAnsi="arial" w:cs="arial"/>
            <w:i/>
            <w:color w:val="0077CC"/>
            <w:sz w:val="20"/>
            <w:u w:val="single"/>
            <w:shd w:val="clear" w:color="auto" w:fill="FFFFFF"/>
            <w:lang w:val="en-US" w:eastAsia="en-US" w:bidi="ar-SA"/>
          </w:rPr>
          <w:t>21 C.P.C. 260</w:t>
        </w:r>
      </w:hyperlink>
      <w:r>
        <w:rPr>
          <w:rFonts w:ascii="arial" w:eastAsia="arial" w:hAnsi="arial" w:cs="arial"/>
          <w:color w:val="000000"/>
          <w:sz w:val="20"/>
          <w:lang w:val="en-US" w:eastAsia="en-US" w:bidi="ar-SA"/>
        </w:rPr>
        <w:t xml:space="preserve">, </w:t>
      </w:r>
      <w:hyperlink r:id="rId203" w:history="1">
        <w:r>
          <w:rPr>
            <w:rFonts w:ascii="arial" w:eastAsia="arial" w:hAnsi="arial" w:cs="arial"/>
            <w:i/>
            <w:color w:val="0077CC"/>
            <w:sz w:val="20"/>
            <w:u w:val="single"/>
            <w:shd w:val="clear" w:color="auto" w:fill="FFFFFF"/>
            <w:lang w:val="en-US" w:eastAsia="en-US" w:bidi="ar-SA"/>
          </w:rPr>
          <w:t>[1982] I.L.R. 1-1459</w:t>
        </w:r>
      </w:hyperlink>
      <w:r>
        <w:rPr>
          <w:rFonts w:ascii="arial" w:eastAsia="arial" w:hAnsi="arial" w:cs="arial"/>
          <w:color w:val="000000"/>
          <w:sz w:val="20"/>
          <w:lang w:val="en-US" w:eastAsia="en-US" w:bidi="ar-SA"/>
        </w:rPr>
        <w:t xml:space="preserve">, </w:t>
      </w:r>
      <w:hyperlink r:id="rId202" w:history="1">
        <w:r>
          <w:rPr>
            <w:rFonts w:ascii="arial" w:eastAsia="arial" w:hAnsi="arial" w:cs="arial"/>
            <w:i/>
            <w:color w:val="0077CC"/>
            <w:sz w:val="20"/>
            <w:u w:val="single"/>
            <w:shd w:val="clear" w:color="auto" w:fill="FFFFFF"/>
            <w:lang w:val="en-US" w:eastAsia="en-US" w:bidi="ar-SA"/>
          </w:rPr>
          <w:t>124 D.L.R. (3d) 455</w:t>
        </w:r>
      </w:hyperlink>
      <w:r>
        <w:rPr>
          <w:rFonts w:ascii="arial" w:eastAsia="arial" w:hAnsi="arial" w:cs="arial"/>
          <w:color w:val="000000"/>
          <w:sz w:val="20"/>
          <w:lang w:val="en-US" w:eastAsia="en-US" w:bidi="ar-SA"/>
        </w:rPr>
        <w:t xml:space="preserve"> (C.A.). The discretion must be exercised judicially, i.e. not arbitrarily or capriciously. And, as I have said, it must be exercised consistently with the Rules of Court. But it would be a sorry result if like cases were not decided in like ways with respect to costs. So, by judicial comity, principles have developed which guide the exercise of the discretion of a judge with respect to costs. Those principles should be consistently applied; if a judge declines to apply them, without a reason for doing so, he may be considered to have acted arbitrarily or capriciously and not judicially.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While the court retains discretion to depart from the "usual" rule that a successful party will ordinarily be entitled to costs that discretion is limited. As Mr. Justice Williams noted in </w:t>
      </w:r>
      <w:r>
        <w:rPr>
          <w:rFonts w:ascii="arial" w:eastAsia="arial" w:hAnsi="arial" w:cs="arial"/>
          <w:i/>
          <w:color w:val="000000"/>
          <w:sz w:val="20"/>
          <w:lang w:val="en-US" w:eastAsia="en-US" w:bidi="ar-SA"/>
        </w:rPr>
        <w:t>Staley</w:t>
      </w:r>
      <w:r>
        <w:rPr>
          <w:rFonts w:ascii="arial" w:eastAsia="arial" w:hAnsi="arial" w:cs="arial"/>
          <w:color w:val="000000"/>
          <w:sz w:val="20"/>
          <w:lang w:val="en-US" w:eastAsia="en-US" w:bidi="ar-SA"/>
        </w:rPr>
        <w:t xml:space="preserve"> at para 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Regrettably, I find myself unable to accede to the Plaintiff's submission. The Rule with respect to costs if quite fundamental. While there is some latitude for judicial discretion, the authorities make abundantly clear that the discretion must be exercised in a principled and, I would conclude, cautious manner. Deviation from the basic principle that a successful litigant shall recover must necessarily be carefully constrained.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remarks of Madam Justice Dorgan in </w:t>
      </w:r>
      <w:r>
        <w:rPr>
          <w:rFonts w:ascii="arial" w:eastAsia="arial" w:hAnsi="arial" w:cs="arial"/>
          <w:i/>
          <w:color w:val="000000"/>
          <w:sz w:val="20"/>
          <w:lang w:val="en-US" w:eastAsia="en-US" w:bidi="ar-SA"/>
        </w:rPr>
        <w:t>McKay</w:t>
      </w:r>
      <w:r>
        <w:rPr>
          <w:rFonts w:ascii="arial" w:eastAsia="arial" w:hAnsi="arial" w:cs="arial"/>
          <w:color w:val="000000"/>
          <w:sz w:val="20"/>
          <w:lang w:val="en-US" w:eastAsia="en-US" w:bidi="ar-SA"/>
        </w:rPr>
        <w:t xml:space="preserve"> are also apposite to the circumstances of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The evidence of conduct falls short of that necessary to make such a finding. While it appears that the plaintiff was bounced between the WCAT and ICBC, I cannot conclude such circumstances imbue the defendants with a callous, reckless or dishonest approach in and to the litigation. Each party took reasonable steps to move the litigation along, given that a stay of proceedings was neither sought nor ordered.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 The circumstances in which the plaintiff found himself are unfortunate and they garner some sympathy. However, the authorities explicitly prohibit this court from denying costs by exercising discretion out of a sense of fairness or sympathy or a comparison of the relative economic strength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onus is on the party seeking to have the court exercise its discretion to depart from the usual rule. That onus is a "substantial one" and requires a party to prove that special circumstances exist to displace the general rule, particularly in a long and expensive trial such as this, where the defendant was successful in defeating the claim on an evidentiary basis (see </w:t>
      </w:r>
      <w:r>
        <w:rPr>
          <w:rFonts w:ascii="arial" w:eastAsia="arial" w:hAnsi="arial" w:cs="arial"/>
          <w:i/>
          <w:color w:val="000000"/>
          <w:sz w:val="20"/>
          <w:lang w:val="en-US" w:eastAsia="en-US" w:bidi="ar-SA"/>
        </w:rPr>
        <w:t>Staley</w:t>
      </w:r>
      <w:r>
        <w:rPr>
          <w:rFonts w:ascii="arial" w:eastAsia="arial" w:hAnsi="arial" w:cs="arial"/>
          <w:color w:val="000000"/>
          <w:sz w:val="20"/>
          <w:lang w:val="en-US" w:eastAsia="en-US" w:bidi="ar-SA"/>
        </w:rPr>
        <w:t xml:space="preserve"> at para. 4). The present case involved 20 trial days, many witnesses, voluminous documentation and several expert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There is little doubt the suspension of the AOC caused immediate, devastating and long lasting financial consequences to IEA, Mr. Gill and his family. With respect to the personal financial circumstances of a litigant, Mr. Justice Pearlman in </w:t>
      </w:r>
      <w:r>
        <w:rPr>
          <w:rFonts w:ascii="arial" w:eastAsia="arial" w:hAnsi="arial" w:cs="arial"/>
          <w:i/>
          <w:color w:val="000000"/>
          <w:sz w:val="20"/>
          <w:lang w:val="en-US" w:eastAsia="en-US" w:bidi="ar-SA"/>
        </w:rPr>
        <w:t>Latkin</w:t>
      </w:r>
      <w:r>
        <w:rPr>
          <w:rFonts w:ascii="arial" w:eastAsia="arial" w:hAnsi="arial" w:cs="arial"/>
          <w:color w:val="000000"/>
          <w:sz w:val="20"/>
          <w:lang w:val="en-US" w:eastAsia="en-US" w:bidi="ar-SA"/>
        </w:rPr>
        <w:t xml:space="preserve"> stated at para. 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 The plaintiff says that the defendants should be denied their costs on the basis that his life was permanently and catastrophically altered by the event of January 21, 2006 and his future care and financial support are now in jeopardy. Mr. Laktin argues that the costs of a five-week trial will impose an onerous financial burden, which the plaintiff lacks the means to satisfy. I accept that Mr. Laktin is in difficult financial circumstances, and that an order requiring him to pay costs to the defendant will be a real and heavy burden for him. While I have a great deal of sympathy for the plaintiff, the case law clearly establishes that the unfortunate personal circumstances and financial hardship of a litigant are not, standing alone, factors warranting a departure from the general rule that costs follow the event: </w:t>
      </w:r>
      <w:r>
        <w:rPr>
          <w:rFonts w:ascii="arial" w:eastAsia="arial" w:hAnsi="arial" w:cs="arial"/>
          <w:i/>
          <w:color w:val="000000"/>
          <w:sz w:val="20"/>
          <w:lang w:val="en-US" w:eastAsia="en-US" w:bidi="ar-SA"/>
        </w:rPr>
        <w:t>Morris</w:t>
      </w:r>
      <w:r>
        <w:rPr>
          <w:rFonts w:ascii="arial" w:eastAsia="arial" w:hAnsi="arial" w:cs="arial"/>
          <w:color w:val="000000"/>
          <w:sz w:val="20"/>
          <w:lang w:val="en-US" w:eastAsia="en-US" w:bidi="ar-SA"/>
        </w:rPr>
        <w:t xml:space="preserve">, </w:t>
      </w:r>
      <w:hyperlink r:id="rId204" w:history="1">
        <w:r>
          <w:rPr>
            <w:rFonts w:ascii="arial" w:eastAsia="arial" w:hAnsi="arial" w:cs="arial"/>
            <w:i/>
            <w:color w:val="0077CC"/>
            <w:sz w:val="20"/>
            <w:u w:val="single"/>
            <w:shd w:val="clear" w:color="auto" w:fill="FFFFFF"/>
            <w:lang w:val="en-US" w:eastAsia="en-US" w:bidi="ar-SA"/>
          </w:rPr>
          <w:t>[2011] B.C.J. No. 1488</w:t>
        </w:r>
      </w:hyperlink>
      <w:r>
        <w:rPr>
          <w:rFonts w:ascii="arial" w:eastAsia="arial" w:hAnsi="arial" w:cs="arial"/>
          <w:color w:val="000000"/>
          <w:sz w:val="20"/>
          <w:lang w:val="en-US" w:eastAsia="en-US" w:bidi="ar-SA"/>
        </w:rPr>
        <w:t xml:space="preserve"> at para. 36; </w:t>
      </w:r>
      <w:r>
        <w:rPr>
          <w:rFonts w:ascii="arial" w:eastAsia="arial" w:hAnsi="arial" w:cs="arial"/>
          <w:i/>
          <w:color w:val="000000"/>
          <w:sz w:val="20"/>
          <w:lang w:val="en-US" w:eastAsia="en-US" w:bidi="ar-SA"/>
        </w:rPr>
        <w:t>Chen</w:t>
      </w:r>
      <w:r>
        <w:rPr>
          <w:rFonts w:ascii="arial" w:eastAsia="arial" w:hAnsi="arial" w:cs="arial"/>
          <w:color w:val="000000"/>
          <w:sz w:val="20"/>
          <w:lang w:val="en-US" w:eastAsia="en-US" w:bidi="ar-SA"/>
        </w:rPr>
        <w:t xml:space="preserve"> at para. 11; </w:t>
      </w:r>
      <w:r>
        <w:rPr>
          <w:rFonts w:ascii="arial" w:eastAsia="arial" w:hAnsi="arial" w:cs="arial"/>
          <w:i/>
          <w:color w:val="000000"/>
          <w:sz w:val="20"/>
          <w:lang w:val="en-US" w:eastAsia="en-US" w:bidi="ar-SA"/>
        </w:rPr>
        <w:t>Vesuna v. British Columbia (Transportation)</w:t>
      </w:r>
      <w:r>
        <w:rPr>
          <w:rFonts w:ascii="arial" w:eastAsia="arial" w:hAnsi="arial" w:cs="arial"/>
          <w:color w:val="000000"/>
          <w:sz w:val="20"/>
          <w:lang w:val="en-US" w:eastAsia="en-US" w:bidi="ar-SA"/>
        </w:rPr>
        <w:t xml:space="preserve">, </w:t>
      </w:r>
      <w:hyperlink r:id="rId205" w:history="1">
        <w:r>
          <w:rPr>
            <w:rFonts w:ascii="arial" w:eastAsia="arial" w:hAnsi="arial" w:cs="arial"/>
            <w:i/>
            <w:color w:val="0077CC"/>
            <w:sz w:val="20"/>
            <w:u w:val="single"/>
            <w:shd w:val="clear" w:color="auto" w:fill="FFFFFF"/>
            <w:lang w:val="en-US" w:eastAsia="en-US" w:bidi="ar-SA"/>
          </w:rPr>
          <w:t>2011 BCSC 1618</w:t>
        </w:r>
      </w:hyperlink>
      <w:r>
        <w:rPr>
          <w:rFonts w:ascii="arial" w:eastAsia="arial" w:hAnsi="arial" w:cs="arial"/>
          <w:color w:val="000000"/>
          <w:sz w:val="20"/>
          <w:lang w:val="en-US" w:eastAsia="en-US" w:bidi="ar-SA"/>
        </w:rPr>
        <w:t xml:space="preserve"> at para.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Robinson v. Lakner</w:t>
      </w:r>
      <w:r>
        <w:rPr>
          <w:rFonts w:ascii="arial" w:eastAsia="arial" w:hAnsi="arial" w:cs="arial"/>
          <w:color w:val="000000"/>
          <w:sz w:val="20"/>
          <w:lang w:val="en-US" w:eastAsia="en-US" w:bidi="ar-SA"/>
        </w:rPr>
        <w:t xml:space="preserve"> </w:t>
      </w:r>
      <w:hyperlink r:id="rId206" w:history="1">
        <w:r>
          <w:rPr>
            <w:rFonts w:ascii="arial" w:eastAsia="arial" w:hAnsi="arial" w:cs="arial"/>
            <w:i/>
            <w:color w:val="0077CC"/>
            <w:sz w:val="20"/>
            <w:u w:val="single"/>
            <w:shd w:val="clear" w:color="auto" w:fill="FFFFFF"/>
            <w:lang w:val="en-US" w:eastAsia="en-US" w:bidi="ar-SA"/>
          </w:rPr>
          <w:t>(1998), 159 D.L.R. (4th) 191</w:t>
        </w:r>
      </w:hyperlink>
      <w:r>
        <w:rPr>
          <w:rFonts w:ascii="arial" w:eastAsia="arial" w:hAnsi="arial" w:cs="arial"/>
          <w:color w:val="000000"/>
          <w:sz w:val="20"/>
          <w:lang w:val="en-US" w:eastAsia="en-US" w:bidi="ar-SA"/>
        </w:rPr>
        <w:t>, the Court of Appeal allowed an appeal from a decision by the trial judge to limit costs awarded to a successful defendant to $1,500 because of the plaintiff's "difficult financial circumstance". The court held at para. 5 that "financial hardship in itself is not a sound basis for departing from the usual rule with respect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In my view there is no merit in Mr. Gill's submission the lawsuit against Transport Canada and its managers raised novel points of law hitherto not considered by the courts. While similar facts involving Transport Canada had not been litigated, the issue of whether a public regulator such as Transport Canada owed a duty of care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IEA had been considered in a number of authorities as discussed in my reasons for judgement. I refer to </w:t>
      </w:r>
      <w:r>
        <w:rPr>
          <w:rFonts w:ascii="arial" w:eastAsia="arial" w:hAnsi="arial" w:cs="arial"/>
          <w:i/>
          <w:color w:val="000000"/>
          <w:sz w:val="20"/>
          <w:lang w:val="en-US" w:eastAsia="en-US" w:bidi="ar-SA"/>
        </w:rPr>
        <w:t>The Los Angeles Salad Company Inc. v. Canadian Food Inspection Agency</w:t>
      </w:r>
      <w:r>
        <w:rPr>
          <w:rFonts w:ascii="arial" w:eastAsia="arial" w:hAnsi="arial" w:cs="arial"/>
          <w:color w:val="000000"/>
          <w:sz w:val="20"/>
          <w:lang w:val="en-US" w:eastAsia="en-US" w:bidi="ar-SA"/>
        </w:rPr>
        <w:t xml:space="preserve">, </w:t>
      </w:r>
      <w:hyperlink r:id="rId207" w:history="1">
        <w:r>
          <w:rPr>
            <w:rFonts w:ascii="arial" w:eastAsia="arial" w:hAnsi="arial" w:cs="arial"/>
            <w:i/>
            <w:color w:val="0077CC"/>
            <w:sz w:val="20"/>
            <w:u w:val="single"/>
            <w:shd w:val="clear" w:color="auto" w:fill="FFFFFF"/>
            <w:lang w:val="en-US" w:eastAsia="en-US" w:bidi="ar-SA"/>
          </w:rPr>
          <w:t>2013 BCCA 34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Holland v. Saskatchewan</w:t>
      </w:r>
      <w:r>
        <w:rPr>
          <w:rFonts w:ascii="arial" w:eastAsia="arial" w:hAnsi="arial" w:cs="arial"/>
          <w:color w:val="000000"/>
          <w:sz w:val="20"/>
          <w:lang w:val="en-US" w:eastAsia="en-US" w:bidi="ar-SA"/>
        </w:rPr>
        <w:t xml:space="preserve">, </w:t>
      </w:r>
      <w:hyperlink r:id="rId208" w:history="1">
        <w:r>
          <w:rPr>
            <w:rFonts w:ascii="arial" w:eastAsia="arial" w:hAnsi="arial" w:cs="arial"/>
            <w:i/>
            <w:color w:val="0077CC"/>
            <w:sz w:val="20"/>
            <w:u w:val="single"/>
            <w:shd w:val="clear" w:color="auto" w:fill="FFFFFF"/>
            <w:lang w:val="en-US" w:eastAsia="en-US" w:bidi="ar-SA"/>
          </w:rPr>
          <w:t>2008 SCC 42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Hill v. Hamilton Wentworth Regional Police Service Board</w:t>
      </w:r>
      <w:r>
        <w:rPr>
          <w:rFonts w:ascii="arial" w:eastAsia="arial" w:hAnsi="arial" w:cs="arial"/>
          <w:color w:val="000000"/>
          <w:sz w:val="20"/>
          <w:lang w:val="en-US" w:eastAsia="en-US" w:bidi="ar-SA"/>
        </w:rPr>
        <w:t xml:space="preserve">, </w:t>
      </w:r>
      <w:hyperlink r:id="rId209" w:history="1">
        <w:r>
          <w:rPr>
            <w:rFonts w:ascii="arial" w:eastAsia="arial" w:hAnsi="arial" w:cs="arial"/>
            <w:i/>
            <w:color w:val="0077CC"/>
            <w:sz w:val="20"/>
            <w:u w:val="single"/>
            <w:shd w:val="clear" w:color="auto" w:fill="FFFFFF"/>
            <w:lang w:val="en-US" w:eastAsia="en-US" w:bidi="ar-SA"/>
          </w:rPr>
          <w:t>2007 SCC 41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Logan v. Dermatech Distribution Inc.</w:t>
      </w:r>
      <w:r>
        <w:rPr>
          <w:rFonts w:ascii="arial" w:eastAsia="arial" w:hAnsi="arial" w:cs="arial"/>
          <w:color w:val="000000"/>
          <w:sz w:val="20"/>
          <w:lang w:val="en-US" w:eastAsia="en-US" w:bidi="ar-SA"/>
        </w:rPr>
        <w:t xml:space="preserve">, </w:t>
      </w:r>
      <w:hyperlink r:id="rId210" w:history="1">
        <w:r>
          <w:rPr>
            <w:rFonts w:ascii="arial" w:eastAsia="arial" w:hAnsi="arial" w:cs="arial"/>
            <w:i/>
            <w:color w:val="0077CC"/>
            <w:sz w:val="20"/>
            <w:u w:val="single"/>
            <w:shd w:val="clear" w:color="auto" w:fill="FFFFFF"/>
            <w:lang w:val="en-US" w:eastAsia="en-US" w:bidi="ar-SA"/>
          </w:rPr>
          <w:t>2010 BCSC 481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and Canada (Attorney General) v. Telezone</w:t>
      </w:r>
      <w:r>
        <w:rPr>
          <w:rFonts w:ascii="arial" w:eastAsia="arial" w:hAnsi="arial" w:cs="arial"/>
          <w:color w:val="000000"/>
          <w:sz w:val="20"/>
          <w:lang w:val="en-US" w:eastAsia="en-US" w:bidi="ar-SA"/>
        </w:rPr>
        <w:t xml:space="preserve">, </w:t>
      </w:r>
      <w:hyperlink r:id="rId211" w:history="1">
        <w:r>
          <w:rPr>
            <w:rFonts w:ascii="arial" w:eastAsia="arial" w:hAnsi="arial" w:cs="arial"/>
            <w:i/>
            <w:color w:val="0077CC"/>
            <w:sz w:val="20"/>
            <w:u w:val="single"/>
            <w:shd w:val="clear" w:color="auto" w:fill="FFFFFF"/>
            <w:lang w:val="en-US" w:eastAsia="en-US" w:bidi="ar-SA"/>
          </w:rPr>
          <w:t>2010 SCC 62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present case did not involve issues of broad public importance or a Charter challenge with the potential of engaging a broader section of the public interest as was the case in several of the authorities referred to by Mr. Gill. In </w:t>
      </w:r>
      <w:r>
        <w:rPr>
          <w:rFonts w:ascii="arial" w:eastAsia="arial" w:hAnsi="arial" w:cs="arial"/>
          <w:i/>
          <w:color w:val="000000"/>
          <w:sz w:val="20"/>
          <w:lang w:val="en-US" w:eastAsia="en-US" w:bidi="ar-SA"/>
        </w:rPr>
        <w:t>Guide Outfitters Assoc. v. British Columbia (Information and Privacy Commissioner)</w:t>
      </w:r>
      <w:r>
        <w:rPr>
          <w:rFonts w:ascii="arial" w:eastAsia="arial" w:hAnsi="arial" w:cs="arial"/>
          <w:color w:val="000000"/>
          <w:sz w:val="20"/>
          <w:lang w:val="en-US" w:eastAsia="en-US" w:bidi="ar-SA"/>
        </w:rPr>
        <w:t xml:space="preserve">, </w:t>
      </w:r>
      <w:hyperlink r:id="rId191" w:history="1">
        <w:r>
          <w:rPr>
            <w:rFonts w:ascii="arial" w:eastAsia="arial" w:hAnsi="arial" w:cs="arial"/>
            <w:i/>
            <w:color w:val="0077CC"/>
            <w:sz w:val="20"/>
            <w:u w:val="single"/>
            <w:shd w:val="clear" w:color="auto" w:fill="FFFFFF"/>
            <w:lang w:val="en-US" w:eastAsia="en-US" w:bidi="ar-SA"/>
          </w:rPr>
          <w:t>2005 BCCA 368</w:t>
        </w:r>
      </w:hyperlink>
      <w:r>
        <w:rPr>
          <w:rFonts w:ascii="arial" w:eastAsia="arial" w:hAnsi="arial" w:cs="arial"/>
          <w:color w:val="000000"/>
          <w:sz w:val="20"/>
          <w:lang w:val="en-US" w:eastAsia="en-US" w:bidi="ar-SA"/>
        </w:rPr>
        <w:t>. Hall J.A. stated at paras. 8 and 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Several judgments of the courts in the province have recognized that questions of whether the public interest is served by the litigation may guide the court in exercising its discretion regarding costs. In </w:t>
      </w:r>
      <w:r>
        <w:rPr>
          <w:rFonts w:ascii="arial" w:eastAsia="arial" w:hAnsi="arial" w:cs="arial"/>
          <w:b/>
          <w:i/>
          <w:color w:val="000000"/>
          <w:sz w:val="20"/>
          <w:lang w:val="en-US" w:eastAsia="en-US" w:bidi="ar-SA"/>
        </w:rPr>
        <w:t>MacDonald</w:t>
      </w:r>
      <w:r>
        <w:rPr>
          <w:rFonts w:ascii="arial" w:eastAsia="arial" w:hAnsi="arial" w:cs="arial"/>
          <w:color w:val="000000"/>
          <w:sz w:val="20"/>
          <w:lang w:val="en-US" w:eastAsia="en-US" w:bidi="ar-SA"/>
        </w:rPr>
        <w:t xml:space="preserve">, </w:t>
      </w:r>
      <w:hyperlink r:id="rId212" w:history="1">
        <w:r>
          <w:rPr>
            <w:rFonts w:ascii="arial" w:eastAsia="arial" w:hAnsi="arial" w:cs="arial"/>
            <w:i/>
            <w:color w:val="0077CC"/>
            <w:sz w:val="20"/>
            <w:u w:val="single"/>
            <w:shd w:val="clear" w:color="auto" w:fill="FFFFFF"/>
            <w:lang w:val="en-US" w:eastAsia="en-US" w:bidi="ar-SA"/>
          </w:rPr>
          <w:t>[2004] B.C.J. No. 597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para. 13, Mr. Justice Bauman referred to factors the Ontario Law Reform Commission considered may lead a judge to rule the parties should bear their own costs:</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proceeding involves issues the importance of which extends beyond the immediate interests of the parties involved.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has no personal, proprietary or pecuniary interest in the outcome of the proceeding, or, if he or she has an interest, it clearly does not justify the proceeding economically.</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have not been previously determined by a court in a proceeding against the same defendant.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has a clearly superior capacity to bear the costs of the proceeding.</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not engaged in vexatious, frivolous or abusive conduct.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Although I consider these factors as useful ones to guide the Court in the exercise of its discretion as to costs, the overarching question is still whether the normal rule is unsuitable on the facts of this case. As Smith J. (as he then was) said in </w:t>
      </w:r>
      <w:r>
        <w:rPr>
          <w:rFonts w:ascii="arial" w:eastAsia="arial" w:hAnsi="arial" w:cs="arial"/>
          <w:b/>
          <w:i/>
          <w:color w:val="000000"/>
          <w:sz w:val="20"/>
          <w:lang w:val="en-US" w:eastAsia="en-US" w:bidi="ar-SA"/>
        </w:rPr>
        <w:t>Sierra Club of Western Canada v. British Columbia</w:t>
      </w:r>
      <w:r>
        <w:rPr>
          <w:rFonts w:ascii="arial" w:eastAsia="arial" w:hAnsi="arial" w:cs="arial"/>
          <w:b/>
          <w:color w:val="000000"/>
          <w:sz w:val="20"/>
          <w:lang w:val="en-US" w:eastAsia="en-US" w:bidi="ar-SA"/>
        </w:rPr>
        <w:t xml:space="preserve"> (</w:t>
      </w:r>
      <w:r>
        <w:rPr>
          <w:rFonts w:ascii="arial" w:eastAsia="arial" w:hAnsi="arial" w:cs="arial"/>
          <w:b/>
          <w:i/>
          <w:color w:val="000000"/>
          <w:sz w:val="20"/>
          <w:lang w:val="en-US" w:eastAsia="en-US" w:bidi="ar-SA"/>
        </w:rPr>
        <w:t>Chief Forester</w:t>
      </w:r>
      <w:r>
        <w:rPr>
          <w:rFonts w:ascii="arial" w:eastAsia="arial" w:hAnsi="arial" w:cs="arial"/>
          <w:b/>
          <w:color w:val="000000"/>
          <w:sz w:val="20"/>
          <w:lang w:val="en-US" w:eastAsia="en-US" w:bidi="ar-SA"/>
        </w:rPr>
        <w:t>)</w:t>
      </w:r>
      <w:r>
        <w:rPr>
          <w:rFonts w:ascii="arial" w:eastAsia="arial" w:hAnsi="arial" w:cs="arial"/>
          <w:color w:val="000000"/>
          <w:sz w:val="20"/>
          <w:lang w:val="en-US" w:eastAsia="en-US" w:bidi="ar-SA"/>
        </w:rPr>
        <w:t xml:space="preserve"> </w:t>
      </w:r>
      <w:hyperlink r:id="rId189" w:history="1">
        <w:r>
          <w:rPr>
            <w:rFonts w:ascii="arial" w:eastAsia="arial" w:hAnsi="arial" w:cs="arial"/>
            <w:i/>
            <w:color w:val="0077CC"/>
            <w:sz w:val="20"/>
            <w:u w:val="single"/>
            <w:shd w:val="clear" w:color="auto" w:fill="FFFFFF"/>
            <w:lang w:val="en-US" w:eastAsia="en-US" w:bidi="ar-SA"/>
          </w:rPr>
          <w:t>(1994), 94 B.C.L.R. (2d) 331</w:t>
        </w:r>
      </w:hyperlink>
      <w:r>
        <w:rPr>
          <w:rFonts w:ascii="arial" w:eastAsia="arial" w:hAnsi="arial" w:cs="arial"/>
          <w:color w:val="000000"/>
          <w:sz w:val="20"/>
          <w:lang w:val="en-US" w:eastAsia="en-US" w:bidi="ar-SA"/>
        </w:rPr>
        <w:t xml:space="preserve"> at paras. 49-50, </w:t>
      </w:r>
      <w:hyperlink r:id="rId189" w:history="1">
        <w:r>
          <w:rPr>
            <w:rFonts w:ascii="arial" w:eastAsia="arial" w:hAnsi="arial" w:cs="arial"/>
            <w:i/>
            <w:color w:val="0077CC"/>
            <w:sz w:val="20"/>
            <w:u w:val="single"/>
            <w:shd w:val="clear" w:color="auto" w:fill="FFFFFF"/>
            <w:lang w:val="en-US" w:eastAsia="en-US" w:bidi="ar-SA"/>
          </w:rPr>
          <w:t>117 D.L.R. (4th) 395</w:t>
        </w:r>
      </w:hyperlink>
      <w:r>
        <w:rPr>
          <w:rFonts w:ascii="arial" w:eastAsia="arial" w:hAnsi="arial" w:cs="arial"/>
          <w:color w:val="000000"/>
          <w:sz w:val="20"/>
          <w:lang w:val="en-US" w:eastAsia="en-US" w:bidi="ar-SA"/>
        </w:rPr>
        <w:t xml:space="preserve"> (S.C.), aff'd </w:t>
      </w:r>
      <w:hyperlink r:id="rId190" w:history="1">
        <w:r>
          <w:rPr>
            <w:rFonts w:ascii="arial" w:eastAsia="arial" w:hAnsi="arial" w:cs="arial"/>
            <w:i/>
            <w:color w:val="0077CC"/>
            <w:sz w:val="20"/>
            <w:u w:val="single"/>
            <w:shd w:val="clear" w:color="auto" w:fill="FFFFFF"/>
            <w:lang w:val="en-US" w:eastAsia="en-US" w:bidi="ar-SA"/>
          </w:rPr>
          <w:t>(1995), 7 B.C.L.R. (3d) 375</w:t>
        </w:r>
      </w:hyperlink>
      <w:r>
        <w:rPr>
          <w:rFonts w:ascii="arial" w:eastAsia="arial" w:hAnsi="arial" w:cs="arial"/>
          <w:color w:val="000000"/>
          <w:sz w:val="20"/>
          <w:lang w:val="en-US" w:eastAsia="en-US" w:bidi="ar-SA"/>
        </w:rPr>
        <w:t xml:space="preserve">, </w:t>
      </w:r>
      <w:hyperlink r:id="rId190" w:history="1">
        <w:r>
          <w:rPr>
            <w:rFonts w:ascii="arial" w:eastAsia="arial" w:hAnsi="arial" w:cs="arial"/>
            <w:i/>
            <w:color w:val="0077CC"/>
            <w:sz w:val="20"/>
            <w:u w:val="single"/>
            <w:shd w:val="clear" w:color="auto" w:fill="FFFFFF"/>
            <w:lang w:val="en-US" w:eastAsia="en-US" w:bidi="ar-SA"/>
          </w:rPr>
          <w:t>60 B.C.A.C. 230</w:t>
        </w:r>
      </w:hyperlink>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do not think it would be wise to establish a principle that any person bringing a proceeding out of a bona fide concern to vindicate his or her perception of the public interest should be insulated from an award of costs in all cases. Such a motive will always be a relevant and important factor, but it should not be considered to the exclusion of all other relevant and important factors. The Court must retain the flexibility to do justice in each case.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my view, the authorities cited do not set out any rule which must guide the exercise of my discretion. Rather, they set out examples of the relevant factors to be taken into account and illustrate that the factors... will be given more or less weight depending on their relationship to other pertinent considerations. In the result, whether to depart from the ordinary rule that costs follow the event is a matter within my discretion. The exercise of that discretion must be informed by proper principles, but it is nonetheless a decision to be made with regard to the particular facts before 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 I am not convinced that it can be successfully argued that this case raised issues of wide public importance.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present action involved the fact specific circumstances which led to the suspension of IEA license, Mr. Gill's unique economic interests as the shareholder of IEA and a claim for significant damages for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public malfeasance. On balance the factors outline by Bauman J, as he then was, have not been met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While the rulings of the TATC and the Review Tribunal are relevant to the background facts and are evidence the plaintiff's action was not undertaken in a "vexatious, frivolous or abusive" manner this factor, as well as the defendant's superior capacity to bear the costs of the proceedings, cannot be determinative of whether the court will exercise its discretion not to follow the usual rule with respect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Mr. Gill's reliance on </w:t>
      </w:r>
      <w:r>
        <w:rPr>
          <w:rFonts w:ascii="arial" w:eastAsia="arial" w:hAnsi="arial" w:cs="arial"/>
          <w:i/>
          <w:color w:val="000000"/>
          <w:sz w:val="20"/>
          <w:lang w:val="en-US" w:eastAsia="en-US" w:bidi="ar-SA"/>
        </w:rPr>
        <w:t>Laroux</w:t>
      </w:r>
      <w:r>
        <w:rPr>
          <w:rFonts w:ascii="arial" w:eastAsia="arial" w:hAnsi="arial" w:cs="arial"/>
          <w:color w:val="000000"/>
          <w:sz w:val="20"/>
          <w:lang w:val="en-US" w:eastAsia="en-US" w:bidi="ar-SA"/>
        </w:rPr>
        <w:t xml:space="preserve"> does not assist him. </w:t>
      </w:r>
      <w:r>
        <w:rPr>
          <w:rFonts w:ascii="arial" w:eastAsia="arial" w:hAnsi="arial" w:cs="arial"/>
          <w:i/>
          <w:color w:val="000000"/>
          <w:sz w:val="20"/>
          <w:lang w:val="en-US" w:eastAsia="en-US" w:bidi="ar-SA"/>
        </w:rPr>
        <w:t>Laroux</w:t>
      </w:r>
      <w:r>
        <w:rPr>
          <w:rFonts w:ascii="arial" w:eastAsia="arial" w:hAnsi="arial" w:cs="arial"/>
          <w:color w:val="000000"/>
          <w:sz w:val="20"/>
          <w:lang w:val="en-US" w:eastAsia="en-US" w:bidi="ar-SA"/>
        </w:rPr>
        <w:t xml:space="preserve"> is quite distinguishable on its facts. In </w:t>
      </w:r>
      <w:r>
        <w:rPr>
          <w:rFonts w:ascii="arial" w:eastAsia="arial" w:hAnsi="arial" w:cs="arial"/>
          <w:i/>
          <w:color w:val="000000"/>
          <w:sz w:val="20"/>
          <w:lang w:val="en-US" w:eastAsia="en-US" w:bidi="ar-SA"/>
        </w:rPr>
        <w:t>Laroux</w:t>
      </w:r>
      <w:r>
        <w:rPr>
          <w:rFonts w:ascii="arial" w:eastAsia="arial" w:hAnsi="arial" w:cs="arial"/>
          <w:color w:val="000000"/>
          <w:sz w:val="20"/>
          <w:lang w:val="en-US" w:eastAsia="en-US" w:bidi="ar-SA"/>
        </w:rPr>
        <w:t xml:space="preserve"> Madam Justice Humphries concluded the actions of CRA's auditors in assessing penalties was "a clear breach of the standard of care expected of an auditor of CRA in relation to a taxpayer" (at para. 355). In the present case I found Transport Canada did not owe a duty of care to IEA.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conclusion, I find there are no special circumstances in this case which relieve Mr. Gill from paying the defendant's costs. I am also of the view this is an appropriate case for the defendants to have two counsel representing them. As stated, the trial occurred over 24 days with some 21 witnesses including two business evaluation experts and 70 exhibits.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defendant's will receive their costs assessed at Scale B. The defendants are to forthwith prepare a draft bill of costs and provide it to Mr. Gill. If Mr. Gill does not approve the bill as drafted the matter will be referred to the Registrar for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B.M. GREYELL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1" style="position:absolute;z-index:2517678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13"/>
          <w:headerReference w:type="default" r:id="rId214"/>
          <w:footerReference w:type="even" r:id="rId215"/>
          <w:footerReference w:type="default" r:id="rId216"/>
          <w:headerReference w:type="first" r:id="rId217"/>
          <w:footerReference w:type="first" r:id="rId21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19" w:history="1">
        <w:r>
          <w:rPr>
            <w:rFonts w:ascii="arial" w:eastAsia="arial" w:hAnsi="arial" w:cs="arial"/>
            <w:b/>
            <w:bCs/>
            <w:i/>
            <w:color w:val="0077CC"/>
            <w:kern w:val="32"/>
            <w:sz w:val="28"/>
            <w:szCs w:val="32"/>
            <w:u w:val="single"/>
            <w:shd w:val="clear" w:color="auto" w:fill="FFFFFF"/>
            <w:lang w:val="en-US" w:eastAsia="en-US" w:bidi="ar-SA"/>
          </w:rPr>
          <w:t>Gladwell (Litigation guardian of) v. Busletta, [2018] B.C.J. No. 3570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R. McDiarmid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22,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September 14,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S164014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3570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1934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Austin Gladwell, an infant by his litigation guardian Angela Marie Gladwell, Plaintiff, and Dr. Angela V. Busletta, Dr. Ruth S. Abrahams, Fraser Health Authority, operating a public hospital under the name Langley Memorial Hospital, M. Knight, T. Jantzen, L. Clegg, J. Madsen, M. McGill, June Simpson, M. Fairly, John Doe and/or Jane Doe #1 and #2,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(68 paras.)</w:t>
      </w:r>
    </w:p>
    <w:p>
      <w:pPr>
        <w:jc w:val="both"/>
        <w:rPr>
          <w:rFonts w:ascii="arial" w:eastAsia="arial" w:hAnsi="arial" w:cs="arial"/>
          <w:sz w:val="20"/>
          <w:lang w:val="en-US" w:eastAsia="en-US" w:bidi="ar-SA"/>
        </w:rPr>
      </w:pPr>
      <w:bookmarkStart w:id="31" w:name="Counsel_7"/>
      <w:bookmarkEnd w:id="3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2" style="position:absolute;z-index:2516674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D.J. Renaud.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Dr. Angela Busletta and Dr. Ruth Abrahams: C.B. Elder.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2" w:name="Judgment_7"/>
      <w:bookmarkEnd w:id="32"/>
      <w:r>
        <w:pict>
          <v:line id="_x0000_s1053" style="position:absolute;z-index:25171865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7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3" w:name="MASTER R. McDIARMID (orally)"/>
            <w:bookmarkEnd w:id="33"/>
            <w:r>
              <w:rPr>
                <w:rFonts w:ascii="arial" w:eastAsia="arial" w:hAnsi="arial" w:cs="arial"/>
                <w:b/>
                <w:color w:val="000000"/>
                <w:sz w:val="30"/>
                <w:lang w:val="en-US" w:eastAsia="en-US" w:bidi="ar-SA"/>
              </w:rPr>
              <w:t>MASTER R. McDIARMID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by the defendants, Drs. Busletta and Abrahams, to strike the plaintiff's jury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giving these reasons, I reserve the right to supplement them with more detailed and additional references to both law and facts. Any such supplementing will not change the result. I am giving these reasons orally.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trial is set for 20 days commencing October 15,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 am going to refer to the applicants as the defendants, assuming as was submitted that the plaintiff is no longer claiming against the other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Notice of Application succinctly sets out the applicant's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defendants submit that the jury notice should be struck pursuant to Rule 126(5)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Civil Rules</w:t>
      </w:r>
      <w:r>
        <w:rPr>
          <w:rFonts w:ascii="arial" w:eastAsia="arial" w:hAnsi="arial" w:cs="arial"/>
          <w:color w:val="000000"/>
          <w:sz w:val="20"/>
          <w:lang w:val="en-US" w:eastAsia="en-US" w:bidi="ar-SA"/>
        </w:rPr>
        <w:t>] on the grounds that the issues in this case will require a prolonged examination of documents that cannot be made conveniently with the jury, that the case will require a scientific investigation that cannot be made conveniently with a jury, and that the issues are of an intricate and complex character.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defendants' overview sets out that this is a claim in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physicians. It was also brought against the nurses. Standard of care, causation and damages are all issues that will need to be addressed. Apportionment between and among the defendant physicians could be an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defendants submit that the jury will be asked to review and consider at least 28 expert reports from 26 experts, totalling more than 562 pages, with addendums and rebuttal reports to come. Over the course of a four-week trial, the jury will have to conduct a scientific investigation to determine which opinions are to be preferred. The defendants submit that the issues the trier of fact will be asked to resolve are intricate and complex, particularly those relating to standard of care and causation. There is disagreement among the experts in this regard. The defendants submit that a jury is not in a good position to deal with the complexity of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background is not significantly in issue. The plaintiff was born shortly after noon on June 12, 2008 at Langley Memorial Hospital. His mother was 36 years old. She had been pregnant in 2004. That fetus died in the second trimester. She became pregnant again via </w:t>
      </w:r>
      <w:r>
        <w:rPr>
          <w:rFonts w:ascii="arial" w:eastAsia="arial" w:hAnsi="arial" w:cs="arial"/>
          <w:i/>
          <w:color w:val="000000"/>
          <w:sz w:val="20"/>
          <w:lang w:val="en-US" w:eastAsia="en-US" w:bidi="ar-SA"/>
        </w:rPr>
        <w:t>in vitro</w:t>
      </w:r>
      <w:r>
        <w:rPr>
          <w:rFonts w:ascii="arial" w:eastAsia="arial" w:hAnsi="arial" w:cs="arial"/>
          <w:color w:val="000000"/>
          <w:sz w:val="20"/>
          <w:lang w:val="en-US" w:eastAsia="en-US" w:bidi="ar-SA"/>
        </w:rPr>
        <w:t xml:space="preserve"> fertilization in 2007. According to the affidavit of Ian Campbell sworn and filed August 20, 2017, the plaintiff's mother, Mrs. Gladwell, was 5'2" tall. The </w:t>
      </w:r>
      <w:r>
        <w:rPr>
          <w:rFonts w:ascii="arial" w:eastAsia="arial" w:hAnsi="arial" w:cs="arial"/>
          <w:i/>
          <w:color w:val="000000"/>
          <w:sz w:val="20"/>
          <w:lang w:val="en-US" w:eastAsia="en-US" w:bidi="ar-SA"/>
        </w:rPr>
        <w:t>in vitro</w:t>
      </w:r>
      <w:r>
        <w:rPr>
          <w:rFonts w:ascii="arial" w:eastAsia="arial" w:hAnsi="arial" w:cs="arial"/>
          <w:color w:val="000000"/>
          <w:sz w:val="20"/>
          <w:lang w:val="en-US" w:eastAsia="en-US" w:bidi="ar-SA"/>
        </w:rPr>
        <w:t xml:space="preserve"> fertilization donor was six feet tall.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 copy of the antenatal record is attached as Exhibit C, exhibit page 15, to that affidavit. Under the heading, "18. PROBLEMS, INVESTIGATIONS" - there is a note, "March 28 - Large for dates." At birth Austin weighed 4,345 grams, which is a bit over 9 lbs. 9 oz.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affidavit should have deposed on information and belief as opposed to personal knowledge. It also contains some argument. I have reviewed it to provide a summary of what I think are non-contentious facts. I have considered the portions of the affidavit that I think are -- not proper is a bit too strong a word, but not sworn in accordance with the rules. I have considered that in reaching my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was eventually delivered vaginally. There were difficulties with that delivery, including the length of time the mother was in labour.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main issues in this case are whether the medical care provided was below the appropriate standard of care required to be provided by reasonably competent and careful obstetricians, and then, if it was below that standard, what damages were caused. That is an over-simplification of what will need to be decided.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Defendants' counsel has provided a document entitled "Questions for Trier of Fact". A copy of that document is annexed to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There is a threshold causation issue, which is whether the plaintiff's symptoms and alleged deficits were caused by the birthing process. There will need to be a determination by the jury as to whether the care received by the plaintiff and his mother was at or lower than the standard of care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jury will need to assess the damages, if any, to which the plaintiff is entitled. They may need to consider apportioning damages between the two remaining defendants. Unquestionably this will require a scientific investigation. It will require determination of issues which have some complexity and examination of some documents, including what I will call primary documents, as well as the opinion letters.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applicable law starts with Rule 12-6(5) of the </w:t>
      </w:r>
      <w:r>
        <w:rPr>
          <w:rFonts w:ascii="arial" w:eastAsia="arial" w:hAnsi="arial" w:cs="arial"/>
          <w:i/>
          <w:color w:val="000000"/>
          <w:sz w:val="20"/>
          <w:lang w:val="en-US" w:eastAsia="en-US" w:bidi="ar-SA"/>
        </w:rPr>
        <w:t>Civil Rules</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Court may refuse jury trial</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Except in cases of defamation, false imprisonment and malicious prosecution, a party on whom a notice under subrule (3) has been served may apply</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within 7 days after service for an order that the trial or part of it be heard by the court without a jury on the ground that</w:t>
      </w:r>
    </w:p>
    <w:p>
      <w:pPr>
        <w:numPr>
          <w:numId w:val="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require prolonged examination of documents or accounts or a scientific or local investigation that cannot be made conveniently with a jury,</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are of an intricate or complex character, or</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extra time and cost involved in requiring that the trial be heard by the court with a jury would be disproportionate to the amount involved in the action, or</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time for an order that the trial be heard by the court without a jury on the ground that the trial relates to a fast track action or to one of the proceedings referred to in subrule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seminal decision of Chief Justice McEachern of the Supreme Court of British Columbia, as he then was, in </w:t>
      </w:r>
      <w:r>
        <w:rPr>
          <w:rFonts w:ascii="arial" w:eastAsia="arial" w:hAnsi="arial" w:cs="arial"/>
          <w:i/>
          <w:color w:val="000000"/>
          <w:sz w:val="20"/>
          <w:lang w:val="en-US" w:eastAsia="en-US" w:bidi="ar-SA"/>
        </w:rPr>
        <w:t>Wipfli (Guardian ad litem of) v. Britten</w:t>
      </w:r>
      <w:r>
        <w:rPr>
          <w:rFonts w:ascii="arial" w:eastAsia="arial" w:hAnsi="arial" w:cs="arial"/>
          <w:color w:val="000000"/>
          <w:sz w:val="20"/>
          <w:lang w:val="en-US" w:eastAsia="en-US" w:bidi="ar-SA"/>
        </w:rPr>
        <w:t xml:space="preserve">, </w:t>
      </w:r>
      <w:hyperlink r:id="rId220" w:history="1">
        <w:r>
          <w:rPr>
            <w:rFonts w:ascii="arial" w:eastAsia="arial" w:hAnsi="arial" w:cs="arial"/>
            <w:i/>
            <w:color w:val="0077CC"/>
            <w:sz w:val="20"/>
            <w:u w:val="single"/>
            <w:shd w:val="clear" w:color="auto" w:fill="FFFFFF"/>
            <w:lang w:val="en-US" w:eastAsia="en-US" w:bidi="ar-SA"/>
          </w:rPr>
          <w:t>[1981] B.C.J. No. 1706</w:t>
        </w:r>
      </w:hyperlink>
      <w:r>
        <w:rPr>
          <w:rFonts w:ascii="arial" w:eastAsia="arial" w:hAnsi="arial" w:cs="arial"/>
          <w:color w:val="000000"/>
          <w:sz w:val="20"/>
          <w:lang w:val="en-US" w:eastAsia="en-US" w:bidi="ar-SA"/>
        </w:rPr>
        <w:t>, is a starting point of analysis of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para. 16, McEachern C.J.S.C. writes: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expected that expert evidence will be adduced on the issue of liability in the fields of obstetrics and gynaecology, pathology, family practice, clinical genetics and anaesthesiology. The trial of the issue of damages may also involve expert evidence on the cost of future care and economic and actuarial evidence on the plaintiff's prospective income loss over his anticipated life expectancy.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McEachern C.J.S.C. summarized the law at paras. 21-27: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I must instruct myself in accordance with the existing case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First, I must consider the question of onus. The plaintiff is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entitled to have a trial with a jury, unless the defendants can bring themselves within one or more of the exceptions contained in R. 39(20). I have also specifically instructed myself in accordance with the helpful analysis of this two-staged process described by Lambert J.A. in </w:t>
      </w:r>
      <w:r>
        <w:rPr>
          <w:rFonts w:ascii="arial" w:eastAsia="arial" w:hAnsi="arial" w:cs="arial"/>
          <w:i/>
          <w:color w:val="000000"/>
          <w:sz w:val="20"/>
          <w:lang w:val="en-US" w:eastAsia="en-US" w:bidi="ar-SA"/>
        </w:rPr>
        <w:t>Nichols v. Gray</w:t>
      </w:r>
      <w:r>
        <w:rPr>
          <w:rFonts w:ascii="arial" w:eastAsia="arial" w:hAnsi="arial" w:cs="arial"/>
          <w:color w:val="000000"/>
          <w:sz w:val="20"/>
          <w:lang w:val="en-US" w:eastAsia="en-US" w:bidi="ar-SA"/>
        </w:rPr>
        <w:t xml:space="preserve"> </w:t>
      </w:r>
      <w:hyperlink r:id="rId221" w:history="1">
        <w:r>
          <w:rPr>
            <w:rFonts w:ascii="arial" w:eastAsia="arial" w:hAnsi="arial" w:cs="arial"/>
            <w:i/>
            <w:color w:val="0077CC"/>
            <w:sz w:val="20"/>
            <w:u w:val="single"/>
            <w:shd w:val="clear" w:color="auto" w:fill="FFFFFF"/>
            <w:lang w:val="en-US" w:eastAsia="en-US" w:bidi="ar-SA"/>
          </w:rPr>
          <w:t>(1978), 9 B.C.L.R. 5</w:t>
        </w:r>
      </w:hyperlink>
      <w:r>
        <w:rPr>
          <w:rFonts w:ascii="arial" w:eastAsia="arial" w:hAnsi="arial" w:cs="arial"/>
          <w:color w:val="000000"/>
          <w:sz w:val="20"/>
          <w:lang w:val="en-US" w:eastAsia="en-US" w:bidi="ar-SA"/>
        </w:rPr>
        <w:t xml:space="preserve">; and in </w:t>
      </w:r>
      <w:r>
        <w:rPr>
          <w:rFonts w:ascii="arial" w:eastAsia="arial" w:hAnsi="arial" w:cs="arial"/>
          <w:i/>
          <w:color w:val="000000"/>
          <w:sz w:val="20"/>
          <w:lang w:val="en-US" w:eastAsia="en-US" w:bidi="ar-SA"/>
        </w:rPr>
        <w:t>Cook v. Ring</w:t>
      </w:r>
      <w:r>
        <w:rPr>
          <w:rFonts w:ascii="arial" w:eastAsia="arial" w:hAnsi="arial" w:cs="arial"/>
          <w:color w:val="000000"/>
          <w:sz w:val="20"/>
          <w:lang w:val="en-US" w:eastAsia="en-US" w:bidi="ar-SA"/>
        </w:rPr>
        <w:t>, B.C.C.A., November 23, 1978 (unreported).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Mr. Gardner relied most heavily upon </w:t>
      </w:r>
      <w:r>
        <w:rPr>
          <w:rFonts w:ascii="arial" w:eastAsia="arial" w:hAnsi="arial" w:cs="arial"/>
          <w:i/>
          <w:color w:val="000000"/>
          <w:sz w:val="20"/>
          <w:lang w:val="en-US" w:eastAsia="en-US" w:bidi="ar-SA"/>
        </w:rPr>
        <w:t>Holland v. Hallonquist</w:t>
      </w:r>
      <w:r>
        <w:rPr>
          <w:rFonts w:ascii="arial" w:eastAsia="arial" w:hAnsi="arial" w:cs="arial"/>
          <w:color w:val="000000"/>
          <w:sz w:val="20"/>
          <w:lang w:val="en-US" w:eastAsia="en-US" w:bidi="ar-SA"/>
        </w:rPr>
        <w:t xml:space="preserve"> (1968), 63 W.W.R. 207 (B.C.C.A). That was not a very complicated case. The plaintiff claimed damages for injuries sustained in a motor vehicle accident. One of the allegations was that the defendant failed properly to maintain his vehicle, which had a steering defect. In opposing a trial by jury, the defendant relied most heavily upon the "intricate and complex" part of the then R. 5, O. 36 [now R. 39(20)]. The chambers judge found that the issues were in no way comparable to the many varied and complex issues raised in </w:t>
      </w:r>
      <w:r>
        <w:rPr>
          <w:rFonts w:ascii="arial" w:eastAsia="arial" w:hAnsi="arial" w:cs="arial"/>
          <w:i/>
          <w:color w:val="000000"/>
          <w:sz w:val="20"/>
          <w:lang w:val="en-US" w:eastAsia="en-US" w:bidi="ar-SA"/>
        </w:rPr>
        <w:t>McDonald v. Inland Natural Gas Co</w:t>
      </w:r>
      <w:r>
        <w:rPr>
          <w:rFonts w:ascii="arial" w:eastAsia="arial" w:hAnsi="arial" w:cs="arial"/>
          <w:color w:val="000000"/>
          <w:sz w:val="20"/>
          <w:lang w:val="en-US" w:eastAsia="en-US" w:bidi="ar-SA"/>
        </w:rPr>
        <w:t>. (1966), 57 W.W.R. 87 (B.C.C.A), and held that a jury would be able to follow the evidence. On appeal, the majority judgments (Maclean and Tysoe JJ.A.) agreed with the chambers judge, who, they said, had not erred in law. They also said, at p. 212, that the issues were not of an intricate and complex character. Thus the majority judgment does not concern itself with the question of whether a scientific investigation could conveniently be made with a 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 In his concurring judgment, Robertson J.A. pointed out that the number and volume of the issues is beside the point. He said it is the "character" of the issues which must be intricate and complex. At p. 222 Robertson J.A. expressly made it clear that he was not dealing with the question of convenience in the conduct of a scientific investigation.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 I note also that </w:t>
      </w:r>
      <w:r>
        <w:rPr>
          <w:rFonts w:ascii="arial" w:eastAsia="arial" w:hAnsi="arial" w:cs="arial"/>
          <w:i/>
          <w:color w:val="000000"/>
          <w:sz w:val="20"/>
          <w:lang w:val="en-US" w:eastAsia="en-US" w:bidi="ar-SA"/>
        </w:rPr>
        <w:t>McDonald v. Inland Natural Gas Co., supra</w:t>
      </w:r>
      <w:r>
        <w:rPr>
          <w:rFonts w:ascii="arial" w:eastAsia="arial" w:hAnsi="arial" w:cs="arial"/>
          <w:color w:val="000000"/>
          <w:sz w:val="20"/>
          <w:lang w:val="en-US" w:eastAsia="en-US" w:bidi="ar-SA"/>
        </w:rPr>
        <w:t>, also turned on whether the issues were intricate or complex.</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[26] I have read and considered the numerous cases submitted by counsel on this application. I notice that, except for my own decision in </w:t>
      </w:r>
      <w:r>
        <w:rPr>
          <w:rFonts w:ascii="arial" w:eastAsia="arial" w:hAnsi="arial" w:cs="arial"/>
          <w:i/>
          <w:color w:val="000000"/>
          <w:sz w:val="20"/>
          <w:lang w:val="en-US" w:eastAsia="en-US" w:bidi="ar-SA"/>
        </w:rPr>
        <w:t>Mewhort, supra</w:t>
      </w:r>
      <w:r>
        <w:rPr>
          <w:rFonts w:ascii="arial" w:eastAsia="arial" w:hAnsi="arial" w:cs="arial"/>
          <w:color w:val="000000"/>
          <w:sz w:val="20"/>
          <w:lang w:val="en-US" w:eastAsia="en-US" w:bidi="ar-SA"/>
        </w:rPr>
        <w:t>, those cases hardly mention convenience. They all relate to the issue of "intricate or complex".</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 Convenience, in the sense in which that word is used in the rule, does not depend solely upon whether or not the jury can be made to understand the evidence. I accept the evidence of Drs. Riddell and Henniger, whose useful evidence on their cross-examinations satisfies me that they can probably make an understandable description of the actual surgical procedures and they can explain the present condition of the infant plaintiff. But that is not the point. What is required before it is convenient to have a scientific investigation made with a jury, is the ability to have a proper trial, which includes not just an understanding of the evidence as it is being given, but also an ability to retain this understanding throughout a long trial in a form which permits an analysis of the evidence in relation to the difficult questions which must be decided at the end of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Paragraph 22 confirms that the onus to strike the jury is on the applicant.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Paragraphs 41-42 are also relevant: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[41] As I said in </w:t>
      </w:r>
      <w:r>
        <w:rPr>
          <w:rFonts w:ascii="arial" w:eastAsia="arial" w:hAnsi="arial" w:cs="arial"/>
          <w:i/>
          <w:color w:val="000000"/>
          <w:sz w:val="20"/>
          <w:lang w:val="en-US" w:eastAsia="en-US" w:bidi="ar-SA"/>
        </w:rPr>
        <w:t>Mewhort</w:t>
      </w:r>
      <w:r>
        <w:rPr>
          <w:rFonts w:ascii="arial" w:eastAsia="arial" w:hAnsi="arial" w:cs="arial"/>
          <w:color w:val="000000"/>
          <w:sz w:val="20"/>
          <w:lang w:val="en-US" w:eastAsia="en-US" w:bidi="ar-SA"/>
        </w:rPr>
        <w:t xml:space="preserve"> [at p. 61]: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convenience in the context of this Rule does not refer to physical or personal convenience. Rather, it relates to the proper conduct of the trial, including an understanding of the issues and evidence, the submissions of counsel, and the judge's charge.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[42] I will subscribe to what I said there, except that I now realize that this passage may be thought completely to exclude physical or personal convenience as relevant factors on this question. I do not think such matters must be disregarded. In a long case such as this one the personal convenience of all parties must be considered if it may affect the proper trial of the case, particularly if the volume of evidence may become difficult to manage or if the decisional process may adversely be affected by the personal or physical discomfort of the jury. Having said that for the purpose of expanding upon what I said earlier, I am still of the view that "convenience" in this rule relates to the proper conduct and management of the entire trial, including, of course, the decisional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Paragraphs 27 and 41 deal with convenience, which means proper conduct of the trial, including an understanding of the issues in evidence, submissions of counsel and judge's charge. Paragraph 42 assists in what I should consider in determining convenience.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need to decide:</w:t>
      </w:r>
      <w:r>
        <w:rPr>
          <w:rFonts w:ascii="arial" w:eastAsia="arial" w:hAnsi="arial" w:cs="arial"/>
          <w:sz w:val="20"/>
          <w:lang w:val="en-US" w:eastAsia="en-US" w:bidi="ar-SA"/>
        </w:rPr>
        <w:cr/>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do the issues require prolonged examination of documents or accounts, or a scientific or local investigation that cannot be made conveniently to the jury?</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issues of an intricate or complex character? and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extra time and cost requiring a jury disproportionate to the amount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Andersen v. Porter</w:t>
      </w:r>
      <w:r>
        <w:rPr>
          <w:rFonts w:ascii="arial" w:eastAsia="arial" w:hAnsi="arial" w:cs="arial"/>
          <w:color w:val="000000"/>
          <w:sz w:val="20"/>
          <w:lang w:val="en-US" w:eastAsia="en-US" w:bidi="ar-SA"/>
        </w:rPr>
        <w:t xml:space="preserve">, </w:t>
      </w:r>
      <w:hyperlink r:id="rId222" w:history="1">
        <w:r>
          <w:rPr>
            <w:rFonts w:ascii="arial" w:eastAsia="arial" w:hAnsi="arial" w:cs="arial"/>
            <w:i/>
            <w:color w:val="0077CC"/>
            <w:sz w:val="20"/>
            <w:u w:val="single"/>
            <w:shd w:val="clear" w:color="auto" w:fill="FFFFFF"/>
            <w:lang w:val="en-US" w:eastAsia="en-US" w:bidi="ar-SA"/>
          </w:rPr>
          <w:t>2000 BCSC 1000</w:t>
        </w:r>
      </w:hyperlink>
      <w:r>
        <w:rPr>
          <w:rFonts w:ascii="arial" w:eastAsia="arial" w:hAnsi="arial" w:cs="arial"/>
          <w:color w:val="000000"/>
          <w:sz w:val="20"/>
          <w:lang w:val="en-US" w:eastAsia="en-US" w:bidi="ar-SA"/>
        </w:rPr>
        <w:t>, Justice Wilson determined that the factors in a medical malpractice case were sufficiently complex towards striking the jury notice. At paras. 14-15, Wilson J. writes: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 Absent a universal referent for "intricate or complex", prior decisions have identified a constellation of factors, quantitative and qualitative, which may assume the character "intricate or complex". See </w:t>
      </w:r>
      <w:r>
        <w:rPr>
          <w:rFonts w:ascii="arial" w:eastAsia="arial" w:hAnsi="arial" w:cs="arial"/>
          <w:i/>
          <w:color w:val="000000"/>
          <w:sz w:val="20"/>
          <w:lang w:val="en-US" w:eastAsia="en-US" w:bidi="ar-SA"/>
        </w:rPr>
        <w:t>World Wide Treasure Adventures Ltd. v. Ralph</w:t>
      </w:r>
      <w:r>
        <w:rPr>
          <w:rFonts w:ascii="arial" w:eastAsia="arial" w:hAnsi="arial" w:cs="arial"/>
          <w:color w:val="000000"/>
          <w:sz w:val="20"/>
          <w:lang w:val="en-US" w:eastAsia="en-US" w:bidi="ar-SA"/>
        </w:rPr>
        <w:t xml:space="preserve">, </w:t>
      </w:r>
      <w:hyperlink r:id="rId223" w:history="1">
        <w:r>
          <w:rPr>
            <w:rFonts w:ascii="arial" w:eastAsia="arial" w:hAnsi="arial" w:cs="arial"/>
            <w:i/>
            <w:color w:val="0077CC"/>
            <w:sz w:val="20"/>
            <w:u w:val="single"/>
            <w:shd w:val="clear" w:color="auto" w:fill="FFFFFF"/>
            <w:lang w:val="en-US" w:eastAsia="en-US" w:bidi="ar-SA"/>
          </w:rPr>
          <w:t>[1995] B.C.J. No. 579</w:t>
        </w:r>
      </w:hyperlink>
      <w:r>
        <w:rPr>
          <w:rFonts w:ascii="arial" w:eastAsia="arial" w:hAnsi="arial" w:cs="arial"/>
          <w:color w:val="000000"/>
          <w:sz w:val="20"/>
          <w:lang w:val="en-US" w:eastAsia="en-US" w:bidi="ar-SA"/>
        </w:rPr>
        <w:t>. Examples of those factors include:</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Multiplicity of parties: </w:t>
      </w:r>
      <w:r>
        <w:rPr>
          <w:rFonts w:ascii="arial" w:eastAsia="arial" w:hAnsi="arial" w:cs="arial"/>
          <w:i/>
          <w:color w:val="000000"/>
          <w:sz w:val="20"/>
          <w:lang w:val="en-US" w:eastAsia="en-US" w:bidi="ar-SA"/>
        </w:rPr>
        <w:t>Nikal (Guardian ad litem of) v. Caira</w:t>
      </w:r>
      <w:r>
        <w:rPr>
          <w:rFonts w:ascii="arial" w:eastAsia="arial" w:hAnsi="arial" w:cs="arial"/>
          <w:color w:val="000000"/>
          <w:sz w:val="20"/>
          <w:lang w:val="en-US" w:eastAsia="en-US" w:bidi="ar-SA"/>
        </w:rPr>
        <w:t xml:space="preserve">, </w:t>
      </w:r>
      <w:hyperlink r:id="rId224" w:history="1">
        <w:r>
          <w:rPr>
            <w:rFonts w:ascii="arial" w:eastAsia="arial" w:hAnsi="arial" w:cs="arial"/>
            <w:i/>
            <w:color w:val="0077CC"/>
            <w:sz w:val="20"/>
            <w:u w:val="single"/>
            <w:shd w:val="clear" w:color="auto" w:fill="FFFFFF"/>
            <w:lang w:val="en-US" w:eastAsia="en-US" w:bidi="ar-SA"/>
          </w:rPr>
          <w:t>[1993] B.C.J. No. 277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Lew (Guardian ad litem of) v. Mount Saint Joseph Hospital Society</w:t>
      </w:r>
      <w:r>
        <w:rPr>
          <w:rFonts w:ascii="arial" w:eastAsia="arial" w:hAnsi="arial" w:cs="arial"/>
          <w:color w:val="000000"/>
          <w:sz w:val="20"/>
          <w:lang w:val="en-US" w:eastAsia="en-US" w:bidi="ar-SA"/>
        </w:rPr>
        <w:t xml:space="preserve">, </w:t>
      </w:r>
      <w:hyperlink r:id="rId225" w:history="1">
        <w:r>
          <w:rPr>
            <w:rFonts w:ascii="arial" w:eastAsia="arial" w:hAnsi="arial" w:cs="arial"/>
            <w:i/>
            <w:color w:val="0077CC"/>
            <w:sz w:val="20"/>
            <w:u w:val="single"/>
            <w:shd w:val="clear" w:color="auto" w:fill="FFFFFF"/>
            <w:lang w:val="en-US" w:eastAsia="en-US" w:bidi="ar-SA"/>
          </w:rPr>
          <w:t>[1995] B.C.J. No. 1974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Maki (Guardian ad litem of) v. Abrahams</w:t>
      </w:r>
      <w:r>
        <w:rPr>
          <w:rFonts w:ascii="arial" w:eastAsia="arial" w:hAnsi="arial" w:cs="arial"/>
          <w:color w:val="000000"/>
          <w:sz w:val="20"/>
          <w:lang w:val="en-US" w:eastAsia="en-US" w:bidi="ar-SA"/>
        </w:rPr>
        <w:t xml:space="preserve">, </w:t>
      </w:r>
      <w:hyperlink r:id="rId226" w:history="1">
        <w:r>
          <w:rPr>
            <w:rFonts w:ascii="arial" w:eastAsia="arial" w:hAnsi="arial" w:cs="arial"/>
            <w:i/>
            <w:color w:val="0077CC"/>
            <w:sz w:val="20"/>
            <w:u w:val="single"/>
            <w:shd w:val="clear" w:color="auto" w:fill="FFFFFF"/>
            <w:lang w:val="en-US" w:eastAsia="en-US" w:bidi="ar-SA"/>
          </w:rPr>
          <w:t>[1996] B.C.J. No. 54</w:t>
        </w:r>
      </w:hyperlink>
      <w:r>
        <w:rPr>
          <w:rFonts w:ascii="arial" w:eastAsia="arial" w:hAnsi="arial" w:cs="arial"/>
          <w:color w:val="000000"/>
          <w:sz w:val="20"/>
          <w:lang w:val="en-US" w:eastAsia="en-US" w:bidi="ar-SA"/>
        </w:rPr>
        <w:t>.</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Duration of trial: </w:t>
      </w:r>
      <w:r>
        <w:rPr>
          <w:rFonts w:ascii="arial" w:eastAsia="arial" w:hAnsi="arial" w:cs="arial"/>
          <w:i/>
          <w:color w:val="000000"/>
          <w:sz w:val="20"/>
          <w:lang w:val="en-US" w:eastAsia="en-US" w:bidi="ar-SA"/>
        </w:rPr>
        <w:t>Wipfli (Guardian ad litem of) v. Britten</w:t>
      </w:r>
      <w:r>
        <w:rPr>
          <w:rFonts w:ascii="arial" w:eastAsia="arial" w:hAnsi="arial" w:cs="arial"/>
          <w:color w:val="000000"/>
          <w:sz w:val="20"/>
          <w:lang w:val="en-US" w:eastAsia="en-US" w:bidi="ar-SA"/>
        </w:rPr>
        <w:t xml:space="preserve">, </w:t>
      </w:r>
      <w:hyperlink r:id="rId220" w:history="1">
        <w:r>
          <w:rPr>
            <w:rFonts w:ascii="arial" w:eastAsia="arial" w:hAnsi="arial" w:cs="arial"/>
            <w:i/>
            <w:color w:val="0077CC"/>
            <w:sz w:val="20"/>
            <w:u w:val="single"/>
            <w:shd w:val="clear" w:color="auto" w:fill="FFFFFF"/>
            <w:lang w:val="en-US" w:eastAsia="en-US" w:bidi="ar-SA"/>
          </w:rPr>
          <w:t>[1981] B.C.J. No. 1706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Scott v. Davies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Maki</w:t>
      </w:r>
      <w:r>
        <w:rPr>
          <w:rFonts w:ascii="arial" w:eastAsia="arial" w:hAnsi="arial" w:cs="arial"/>
          <w:color w:val="000000"/>
          <w:sz w:val="20"/>
          <w:lang w:val="en-US" w:eastAsia="en-US" w:bidi="ar-SA"/>
        </w:rPr>
        <w:t>.</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Volume of expert testimony: </w:t>
      </w:r>
      <w:r>
        <w:rPr>
          <w:rFonts w:ascii="arial" w:eastAsia="arial" w:hAnsi="arial" w:cs="arial"/>
          <w:i/>
          <w:color w:val="000000"/>
          <w:sz w:val="20"/>
          <w:lang w:val="en-US" w:eastAsia="en-US" w:bidi="ar-SA"/>
        </w:rPr>
        <w:t>Scott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Nikal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Maki</w:t>
      </w:r>
      <w:r>
        <w:rPr>
          <w:rFonts w:ascii="arial" w:eastAsia="arial" w:hAnsi="arial" w:cs="arial"/>
          <w:color w:val="000000"/>
          <w:sz w:val="20"/>
          <w:lang w:val="en-US" w:eastAsia="en-US" w:bidi="ar-SA"/>
        </w:rPr>
        <w:t>.</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Multiplicity of standards of care: </w:t>
      </w:r>
      <w:r>
        <w:rPr>
          <w:rFonts w:ascii="arial" w:eastAsia="arial" w:hAnsi="arial" w:cs="arial"/>
          <w:i/>
          <w:color w:val="000000"/>
          <w:sz w:val="20"/>
          <w:lang w:val="en-US" w:eastAsia="en-US" w:bidi="ar-SA"/>
        </w:rPr>
        <w:t>Nikal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Lew</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Maki</w:t>
      </w:r>
      <w:r>
        <w:rPr>
          <w:rFonts w:ascii="arial" w:eastAsia="arial" w:hAnsi="arial" w:cs="arial"/>
          <w:color w:val="000000"/>
          <w:sz w:val="20"/>
          <w:lang w:val="en-US" w:eastAsia="en-US" w:bidi="ar-SA"/>
        </w:rPr>
        <w:t>.</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use of unfamiliar medical terms: </w:t>
      </w:r>
      <w:r>
        <w:rPr>
          <w:rFonts w:ascii="arial" w:eastAsia="arial" w:hAnsi="arial" w:cs="arial"/>
          <w:i/>
          <w:color w:val="000000"/>
          <w:sz w:val="20"/>
          <w:lang w:val="en-US" w:eastAsia="en-US" w:bidi="ar-SA"/>
        </w:rPr>
        <w:t>Nikal</w:t>
      </w:r>
      <w:r>
        <w:rPr>
          <w:rFonts w:ascii="arial" w:eastAsia="arial" w:hAnsi="arial" w:cs="arial"/>
          <w:color w:val="000000"/>
          <w:sz w:val="20"/>
          <w:lang w:val="en-US" w:eastAsia="en-US" w:bidi="ar-SA"/>
        </w:rPr>
        <w:t>.</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Apportionment of fault: </w:t>
      </w:r>
      <w:r>
        <w:rPr>
          <w:rFonts w:ascii="arial" w:eastAsia="arial" w:hAnsi="arial" w:cs="arial"/>
          <w:i/>
          <w:color w:val="000000"/>
          <w:sz w:val="20"/>
          <w:lang w:val="en-US" w:eastAsia="en-US" w:bidi="ar-SA"/>
        </w:rPr>
        <w:t>Wipfli</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Mighton v. Maile</w:t>
      </w:r>
      <w:r>
        <w:rPr>
          <w:rFonts w:ascii="arial" w:eastAsia="arial" w:hAnsi="arial" w:cs="arial"/>
          <w:color w:val="000000"/>
          <w:sz w:val="20"/>
          <w:lang w:val="en-US" w:eastAsia="en-US" w:bidi="ar-SA"/>
        </w:rPr>
        <w:t xml:space="preserve">, </w:t>
      </w:r>
      <w:hyperlink r:id="rId227" w:history="1">
        <w:r>
          <w:rPr>
            <w:rFonts w:ascii="arial" w:eastAsia="arial" w:hAnsi="arial" w:cs="arial"/>
            <w:i/>
            <w:color w:val="0077CC"/>
            <w:sz w:val="20"/>
            <w:u w:val="single"/>
            <w:shd w:val="clear" w:color="auto" w:fill="FFFFFF"/>
            <w:lang w:val="en-US" w:eastAsia="en-US" w:bidi="ar-SA"/>
          </w:rPr>
          <w:t>[1986] B.C.J. No. 1340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Jennings Estate v. Gibson</w:t>
      </w:r>
      <w:r>
        <w:rPr>
          <w:rFonts w:ascii="arial" w:eastAsia="arial" w:hAnsi="arial" w:cs="arial"/>
          <w:color w:val="000000"/>
          <w:sz w:val="20"/>
          <w:lang w:val="en-US" w:eastAsia="en-US" w:bidi="ar-SA"/>
        </w:rPr>
        <w:t xml:space="preserve">, </w:t>
      </w:r>
      <w:hyperlink r:id="rId228" w:history="1">
        <w:r>
          <w:rPr>
            <w:rFonts w:ascii="arial" w:eastAsia="arial" w:hAnsi="arial" w:cs="arial"/>
            <w:i/>
            <w:color w:val="0077CC"/>
            <w:sz w:val="20"/>
            <w:u w:val="single"/>
            <w:shd w:val="clear" w:color="auto" w:fill="FFFFFF"/>
            <w:lang w:val="en-US" w:eastAsia="en-US" w:bidi="ar-SA"/>
          </w:rPr>
          <w:t>[1992] B.C.J. No. 1822</w:t>
        </w:r>
      </w:hyperlink>
      <w:r>
        <w:rPr>
          <w:rFonts w:ascii="arial" w:eastAsia="arial" w:hAnsi="arial" w:cs="arial"/>
          <w:color w:val="000000"/>
          <w:sz w:val="20"/>
          <w:lang w:val="en-US" w:eastAsia="en-US" w:bidi="ar-SA"/>
        </w:rPr>
        <w:t>.</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assessment of future loss: </w:t>
      </w:r>
      <w:r>
        <w:rPr>
          <w:rFonts w:ascii="arial" w:eastAsia="arial" w:hAnsi="arial" w:cs="arial"/>
          <w:i/>
          <w:color w:val="000000"/>
          <w:sz w:val="20"/>
          <w:lang w:val="en-US" w:eastAsia="en-US" w:bidi="ar-SA"/>
        </w:rPr>
        <w:t>Wipfli</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Maki</w:t>
      </w:r>
      <w:r>
        <w:rPr>
          <w:rFonts w:ascii="arial" w:eastAsia="arial" w:hAnsi="arial" w:cs="arial"/>
          <w:color w:val="000000"/>
          <w:sz w:val="20"/>
          <w:lang w:val="en-US" w:eastAsia="en-US" w:bidi="ar-SA"/>
        </w:rPr>
        <w:t>.</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Novel applications of the law: </w:t>
      </w:r>
      <w:r>
        <w:rPr>
          <w:rFonts w:ascii="arial" w:eastAsia="arial" w:hAnsi="arial" w:cs="arial"/>
          <w:i/>
          <w:color w:val="000000"/>
          <w:sz w:val="20"/>
          <w:lang w:val="en-US" w:eastAsia="en-US" w:bidi="ar-SA"/>
        </w:rPr>
        <w:t>Shobridge v. Thomas</w:t>
      </w:r>
      <w:r>
        <w:rPr>
          <w:rFonts w:ascii="arial" w:eastAsia="arial" w:hAnsi="arial" w:cs="arial"/>
          <w:color w:val="000000"/>
          <w:sz w:val="20"/>
          <w:lang w:val="en-US" w:eastAsia="en-US" w:bidi="ar-SA"/>
        </w:rPr>
        <w:t xml:space="preserve">, </w:t>
      </w:r>
      <w:hyperlink r:id="rId229" w:history="1">
        <w:r>
          <w:rPr>
            <w:rFonts w:ascii="arial" w:eastAsia="arial" w:hAnsi="arial" w:cs="arial"/>
            <w:i/>
            <w:color w:val="0077CC"/>
            <w:sz w:val="20"/>
            <w:u w:val="single"/>
            <w:shd w:val="clear" w:color="auto" w:fill="FFFFFF"/>
            <w:lang w:val="en-US" w:eastAsia="en-US" w:bidi="ar-SA"/>
          </w:rPr>
          <w:t>[1999] B.C.J. No. 1747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Lew</w:t>
      </w:r>
      <w:r>
        <w:rPr>
          <w:rFonts w:ascii="arial" w:eastAsia="arial" w:hAnsi="arial" w:cs="arial"/>
          <w:color w:val="000000"/>
          <w:sz w:val="20"/>
          <w:lang w:val="en-US" w:eastAsia="en-US" w:bidi="ar-SA"/>
        </w:rPr>
        <w:t>.</w:t>
      </w:r>
    </w:p>
    <w:p>
      <w:pPr>
        <w:numPr>
          <w:numId w:val="1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Deliberation time: </w:t>
      </w:r>
      <w:r>
        <w:rPr>
          <w:rFonts w:ascii="arial" w:eastAsia="arial" w:hAnsi="arial" w:cs="arial"/>
          <w:i/>
          <w:color w:val="000000"/>
          <w:sz w:val="20"/>
          <w:lang w:val="en-US" w:eastAsia="en-US" w:bidi="ar-SA"/>
        </w:rPr>
        <w:t>Wipfli</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Scott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Nikal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Maki</w:t>
      </w:r>
      <w:r>
        <w:rPr>
          <w:rFonts w:ascii="arial" w:eastAsia="arial" w:hAnsi="arial" w:cs="arial"/>
          <w:color w:val="000000"/>
          <w:sz w:val="20"/>
          <w:lang w:val="en-US" w:eastAsia="en-US" w:bidi="ar-SA"/>
        </w:rPr>
        <w:t>.</w:t>
      </w:r>
    </w:p>
    <w:p>
      <w:pPr>
        <w:numPr>
          <w:numId w:val="1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Preservation of the civil jury system: </w:t>
      </w:r>
      <w:r>
        <w:rPr>
          <w:rFonts w:ascii="arial" w:eastAsia="arial" w:hAnsi="arial" w:cs="arial"/>
          <w:i/>
          <w:color w:val="000000"/>
          <w:sz w:val="20"/>
          <w:lang w:val="en-US" w:eastAsia="en-US" w:bidi="ar-SA"/>
        </w:rPr>
        <w:t>Foote v. Royal Columbian Hospital</w:t>
      </w:r>
      <w:r>
        <w:rPr>
          <w:rFonts w:ascii="arial" w:eastAsia="arial" w:hAnsi="arial" w:cs="arial"/>
          <w:color w:val="000000"/>
          <w:sz w:val="20"/>
          <w:lang w:val="en-US" w:eastAsia="en-US" w:bidi="ar-SA"/>
        </w:rPr>
        <w:t xml:space="preserve">, </w:t>
      </w:r>
      <w:hyperlink r:id="rId230" w:history="1">
        <w:r>
          <w:rPr>
            <w:rFonts w:ascii="arial" w:eastAsia="arial" w:hAnsi="arial" w:cs="arial"/>
            <w:i/>
            <w:color w:val="0077CC"/>
            <w:sz w:val="20"/>
            <w:u w:val="single"/>
            <w:shd w:val="clear" w:color="auto" w:fill="FFFFFF"/>
            <w:lang w:val="en-US" w:eastAsia="en-US" w:bidi="ar-SA"/>
          </w:rPr>
          <w:t>[1982] B.C.J. No. 456</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Quantitatively, all of those factors are present in this case. To the extent it is possible, on an interlocutory application, to set one set of circumstances against another, I find a preponderance of qualitative similarity between this case, and those in which circumstances were found to be "intricate or complex". Comparing the circumstances in the previous decisions urged upon me by the defendants, where jury notices have been struck; with the previous decisions urged upon me by the plaintiff where the jury notices were not struck, I conclude that the factors in this case are of sufficient gravity to attract the designation "complex". That finding is made with the same regret expressed by other judges, in similar circumstances, where jury notices have been struck. In result, the motions are allowed and the notice of trial by jury in this case is struck out. In making that order, I follow the precedent set by McEachern C.J.S.C. (as he then was), in </w:t>
      </w:r>
      <w:r>
        <w:rPr>
          <w:rFonts w:ascii="arial" w:eastAsia="arial" w:hAnsi="arial" w:cs="arial"/>
          <w:i/>
          <w:color w:val="000000"/>
          <w:sz w:val="20"/>
          <w:lang w:val="en-US" w:eastAsia="en-US" w:bidi="ar-SA"/>
        </w:rPr>
        <w:t>Mighton v. Maile</w:t>
      </w:r>
      <w:r>
        <w:rPr>
          <w:rFonts w:ascii="arial" w:eastAsia="arial" w:hAnsi="arial" w:cs="arial"/>
          <w:color w:val="000000"/>
          <w:sz w:val="20"/>
          <w:lang w:val="en-US" w:eastAsia="en-US" w:bidi="ar-SA"/>
        </w:rPr>
        <w:t xml:space="preserve">, </w:t>
      </w:r>
      <w:hyperlink r:id="rId227" w:history="1">
        <w:r>
          <w:rPr>
            <w:rFonts w:ascii="arial" w:eastAsia="arial" w:hAnsi="arial" w:cs="arial"/>
            <w:i/>
            <w:color w:val="0077CC"/>
            <w:sz w:val="20"/>
            <w:u w:val="single"/>
            <w:shd w:val="clear" w:color="auto" w:fill="FFFFFF"/>
            <w:lang w:val="en-US" w:eastAsia="en-US" w:bidi="ar-SA"/>
          </w:rPr>
          <w:t>[1986] B.C.J. No. 1340</w:t>
        </w:r>
      </w:hyperlink>
      <w:r>
        <w:rPr>
          <w:rFonts w:ascii="arial" w:eastAsia="arial" w:hAnsi="arial" w:cs="arial"/>
          <w:color w:val="000000"/>
          <w:sz w:val="20"/>
          <w:lang w:val="en-US" w:eastAsia="en-US" w:bidi="ar-SA"/>
        </w:rPr>
        <w:t>, and order that there be no costs on those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Paragraph 14 sets out a number of factors, some of which are present here, such as duration of trial, volume of expert testimony, use of unfamiliar medical terms, assessment of future loss. Some factors are not applicable here. Multiplicity of parties is not really a factor here. The multiplicity of standards of care is not a factor here. Novel applications of law are not a factor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Clower v. Poeckert</w:t>
      </w:r>
      <w:r>
        <w:rPr>
          <w:rFonts w:ascii="arial" w:eastAsia="arial" w:hAnsi="arial" w:cs="arial"/>
          <w:color w:val="000000"/>
          <w:sz w:val="20"/>
          <w:lang w:val="en-US" w:eastAsia="en-US" w:bidi="ar-SA"/>
        </w:rPr>
        <w:t xml:space="preserve">, </w:t>
      </w:r>
      <w:hyperlink r:id="rId231" w:history="1">
        <w:r>
          <w:rPr>
            <w:rFonts w:ascii="arial" w:eastAsia="arial" w:hAnsi="arial" w:cs="arial"/>
            <w:i/>
            <w:color w:val="0077CC"/>
            <w:sz w:val="20"/>
            <w:u w:val="single"/>
            <w:shd w:val="clear" w:color="auto" w:fill="FFFFFF"/>
            <w:lang w:val="en-US" w:eastAsia="en-US" w:bidi="ar-SA"/>
          </w:rPr>
          <w:t>2007 BCSC 409</w:t>
        </w:r>
      </w:hyperlink>
      <w:r>
        <w:rPr>
          <w:rFonts w:ascii="arial" w:eastAsia="arial" w:hAnsi="arial" w:cs="arial"/>
          <w:color w:val="000000"/>
          <w:sz w:val="20"/>
          <w:lang w:val="en-US" w:eastAsia="en-US" w:bidi="ar-SA"/>
        </w:rPr>
        <w:t>, Truscott J., at para. 65 writes: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Defence counsel points to the comments of Rowles J.A. in </w:t>
      </w:r>
      <w:r>
        <w:rPr>
          <w:rFonts w:ascii="arial" w:eastAsia="arial" w:hAnsi="arial" w:cs="arial"/>
          <w:i/>
          <w:color w:val="000000"/>
          <w:sz w:val="20"/>
          <w:lang w:val="en-US" w:eastAsia="en-US" w:bidi="ar-SA"/>
        </w:rPr>
        <w:t>Cochrane</w:t>
      </w:r>
      <w:r>
        <w:rPr>
          <w:rFonts w:ascii="arial" w:eastAsia="arial" w:hAnsi="arial" w:cs="arial"/>
          <w:color w:val="000000"/>
          <w:sz w:val="20"/>
          <w:lang w:val="en-US" w:eastAsia="en-US" w:bidi="ar-SA"/>
        </w:rPr>
        <w:t xml:space="preserve"> at p. 8 where she said that even though "decisions under Rule 39(27) [that is the predecessor rule] are driven by the particular facts of the case ... the facts in prior decisions are helpful in determining whether the discretion to grant or refuse an order to strike a jury notice has been exercised judicially".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found that comment of assistance when reviewing the cases that both counsel provided to me. That decision was in a case where an assessment of damages for three plaintiffs was sought. There were 58 expert reports. Truscott J.'s summary analysis of the facts is at paras. 38-40, and then at paras. 60-64: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[38] This is a trial that will involve not one plaintiff but three plaintiffs each with separate claims for personal injuries and resulting loss caused by the motor vehicle accident. Each of the claims will involve a consideration of the pre-accident conditions of each of the plaintiffs and how their pre-accident conditions have affected their post-accident conditions, if at all. This will involve a consideration of the legal issues raised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30"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by the "crumbling skull" rule.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[39] I am not aware of how many physicians plaintiffs' counsel expects to call at trial as opposed to simply filing their reports, but either way the shear volume of medical information for the three plaintiffs is daunting. Some physicians who give evidence at trial in addition to the reports will be giving evidence on more than one plaintiff at one time in their evidence, as some of the physicians are common to two or all three plaintiffs. This is unavoidable as it would be impractical to ask a physician who has treated more than one plaintiff to re-attend trial at a different time to deal with a different plaintiff. I have no doubt that this trial will have to take place with all of the plaintiffs' claims being considered together.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[40] In my view this will create a risk that a jury will become confused as the evidence is being given and cross-examined on, as to which plaintiff the evidence applies. Undoubtedly they can consider and retain for a time the evidence pro and con for one plaintiff, but when the evidence is being received for all three plaintiffs pro and con, sometimes from the same doctor for two or more of the plaintiffs, it will be a difficult task for the jury to keep all this sorted out in their minds and retain all of the evidence in their minds sorted out according to the plaintiff involved.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[60] If this was to be a trial of the Clower action only, I venture to say that I would conclude the jury could conveniently hear her case and it would not be too intricate and complex for a 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[61] However with the addition of the claims of Dr. and Mrs. Sexton and their allegations of brain injury and the existence of pre-accident issues, this trial in my opinion will require a scientific investigation which cannot be made conveniently with a jury and will involve medical issues that are of such an intricate and complex character that would not be appropriate for a jury to determine.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[62] Despite the best efforts of the experts to make their findings and opinions clear at trial, and despite the best efforts of counsel and the trial judge to distil the evidence and the issues down to something manageable for the jury, in my view there will be a continuing real danger that the jury will become lost in the volume and complexity of the medical evidence and will rush to a premature decision without giving proper consideration to all of the evidence and issues.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[63] I echo the words of Huddart J.A. in </w:t>
      </w:r>
      <w:r>
        <w:rPr>
          <w:rFonts w:ascii="arial" w:eastAsia="arial" w:hAnsi="arial" w:cs="arial"/>
          <w:i/>
          <w:color w:val="000000"/>
          <w:sz w:val="20"/>
          <w:lang w:val="en-US" w:eastAsia="en-US" w:bidi="ar-SA"/>
        </w:rPr>
        <w:t>Scott v. Davies</w:t>
      </w:r>
      <w:r>
        <w:rPr>
          <w:rFonts w:ascii="arial" w:eastAsia="arial" w:hAnsi="arial" w:cs="arial"/>
          <w:color w:val="000000"/>
          <w:sz w:val="20"/>
          <w:lang w:val="en-US" w:eastAsia="en-US" w:bidi="ar-SA"/>
        </w:rPr>
        <w:t>, [1996] B.C.W.L.D. No. 1109 (S.C.), where she said: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single issue is too difficult for a jury to decide. A trial judge could probably outline the issues and instruct the jurors on the law and their task, if he or she is given enough time to prepare the charge. But the plaintiff asks too much of a jury in this case. There is simply no way that even the best instructed jury could fairly analyze the evidence, find the basic facts, consider the medical opinions, draw the appropriate inferences, and reach conclusion on all of these issues within a reasonable period of time without derogating from the duty to the parties.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[64] This trial will be difficult enough for a judge alone to hear and decide, but at least he or she has the ability to give unhurried and thoughtful consideration to all of the issues and competing opinions before having to render a decision. As MacEachern C.J.S.C. said in </w:t>
      </w:r>
      <w:r>
        <w:rPr>
          <w:rFonts w:ascii="arial" w:eastAsia="arial" w:hAnsi="arial" w:cs="arial"/>
          <w:i/>
          <w:color w:val="000000"/>
          <w:sz w:val="20"/>
          <w:lang w:val="en-US" w:eastAsia="en-US" w:bidi="ar-SA"/>
        </w:rPr>
        <w:t>MacDonald v. Smith</w:t>
      </w:r>
      <w:r>
        <w:rPr>
          <w:rFonts w:ascii="arial" w:eastAsia="arial" w:hAnsi="arial" w:cs="arial"/>
          <w:color w:val="000000"/>
          <w:sz w:val="20"/>
          <w:lang w:val="en-US" w:eastAsia="en-US" w:bidi="ar-SA"/>
        </w:rPr>
        <w:t xml:space="preserve"> </w:t>
      </w:r>
      <w:hyperlink r:id="rId232" w:history="1">
        <w:r>
          <w:rPr>
            <w:rFonts w:ascii="arial" w:eastAsia="arial" w:hAnsi="arial" w:cs="arial"/>
            <w:i/>
            <w:color w:val="0077CC"/>
            <w:sz w:val="20"/>
            <w:u w:val="single"/>
            <w:shd w:val="clear" w:color="auto" w:fill="FFFFFF"/>
            <w:lang w:val="en-US" w:eastAsia="en-US" w:bidi="ar-SA"/>
          </w:rPr>
          <w:t>(1983), 48 B.C.L.R. 285</w:t>
        </w:r>
      </w:hyperlink>
      <w:r>
        <w:rPr>
          <w:rFonts w:ascii="arial" w:eastAsia="arial" w:hAnsi="arial" w:cs="arial"/>
          <w:color w:val="000000"/>
          <w:sz w:val="20"/>
          <w:lang w:val="en-US" w:eastAsia="en-US" w:bidi="ar-SA"/>
        </w:rPr>
        <w:t xml:space="preserve"> (S.C.) at 288: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Briefly, I think a case of this complexity cannot conveniently or suitably be tried and a proper conclusion assured to the parties when there is no opportunity for thoughtful and timely consideration, particularly after several days of evidence and other proceedings which follow the completion of evidence. There must, in a case such as this, be an opportunity for thoughtful review after preliminary conclusions have been reached and there is too much risk of a compromised verdict being accepted by the jury or a majority of the jury under pressures of time and other personal considerations.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para. 60, he writes: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this was to be a trial of the Clower action only, I venture to say that I would conclude the jury could conveniently hear her case and it would not be too intricate and complex for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It was the fact that there were three plaintiffs all being tried together that made the case inappropriate for a jury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Ediger (Guardian Ad Litem of) v. Johnston</w:t>
      </w:r>
      <w:r>
        <w:rPr>
          <w:rFonts w:ascii="arial" w:eastAsia="arial" w:hAnsi="arial" w:cs="arial"/>
          <w:color w:val="000000"/>
          <w:sz w:val="20"/>
          <w:lang w:val="en-US" w:eastAsia="en-US" w:bidi="ar-SA"/>
        </w:rPr>
        <w:t xml:space="preserve">, </w:t>
      </w:r>
      <w:hyperlink r:id="rId233" w:history="1">
        <w:r>
          <w:rPr>
            <w:rFonts w:ascii="arial" w:eastAsia="arial" w:hAnsi="arial" w:cs="arial"/>
            <w:i/>
            <w:color w:val="0077CC"/>
            <w:sz w:val="20"/>
            <w:u w:val="single"/>
            <w:shd w:val="clear" w:color="auto" w:fill="FFFFFF"/>
            <w:lang w:val="en-US" w:eastAsia="en-US" w:bidi="ar-SA"/>
          </w:rPr>
          <w:t>2006 BCSC 1997</w:t>
        </w:r>
      </w:hyperlink>
      <w:r>
        <w:rPr>
          <w:rFonts w:ascii="arial" w:eastAsia="arial" w:hAnsi="arial" w:cs="arial"/>
          <w:color w:val="000000"/>
          <w:sz w:val="20"/>
          <w:lang w:val="en-US" w:eastAsia="en-US" w:bidi="ar-SA"/>
        </w:rPr>
        <w:t>, also a medical malpractice case, Metzger J. writes, at para. 9, about the issues -- he has 11 subpoints that he writes. In para. 10, he writes: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appreciate that complex issues can be framed in a way by counsel in the charge to the jury that enable a jury to deal with them in a competent and effective manner. However, in this case, I have a grave concern that a jury may not be capable of understanding the plethora of conflicting evidence and retaining that understanding for the length of the trial and into deliberation.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At para. 11, in making his determination to strike the jury notice, he writes: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are also issues of a breach of contract in trust in addition to the medical issues. There is no doubt in my mind that the factual, medical and legal issues of this case are of such a complex character that the case ought to be heard by a judge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In oral reasons given by Madam Justice Brown in </w:t>
      </w:r>
      <w:r>
        <w:rPr>
          <w:rFonts w:ascii="arial" w:eastAsia="arial" w:hAnsi="arial" w:cs="arial"/>
          <w:i/>
          <w:color w:val="000000"/>
          <w:sz w:val="20"/>
          <w:lang w:val="en-US" w:eastAsia="en-US" w:bidi="ar-SA"/>
        </w:rPr>
        <w:t>Forbes</w:t>
      </w:r>
      <w:r>
        <w:rPr>
          <w:rFonts w:ascii="arial" w:eastAsia="arial" w:hAnsi="arial" w:cs="arial"/>
          <w:color w:val="000000"/>
          <w:sz w:val="20"/>
          <w:lang w:val="en-US" w:eastAsia="en-US" w:bidi="ar-SA"/>
        </w:rPr>
        <w:t>, Vancouver Registry S063715, she reviews the law and the facts of that case. That was a case where a prenatal history was uneventful. Apparently labour was spontaneous. Complications occurred as set out in paras. 9-14. At para. 16, she writes: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are thirty experts who have prepared opinions and the parties have served thirty-three experts' reports and two summaries of opinion in various fields, including physical medicine and developmental paediatrics, neuropsychology, paediatrics, neuro-radiology, nursing, occupation therapy, family medicine, obstetrics and gynaecology, neonatology, statistics, clinical neuropsychology, and economics. All of the experts will testify.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She struck the jury notice in that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Forliti (Guardian ad litem) v. Wooley</w:t>
      </w:r>
      <w:r>
        <w:rPr>
          <w:rFonts w:ascii="arial" w:eastAsia="arial" w:hAnsi="arial" w:cs="arial"/>
          <w:color w:val="000000"/>
          <w:sz w:val="20"/>
          <w:lang w:val="en-US" w:eastAsia="en-US" w:bidi="ar-SA"/>
        </w:rPr>
        <w:t xml:space="preserve">, </w:t>
      </w:r>
      <w:hyperlink r:id="rId234" w:history="1">
        <w:r>
          <w:rPr>
            <w:rFonts w:ascii="arial" w:eastAsia="arial" w:hAnsi="arial" w:cs="arial"/>
            <w:i/>
            <w:color w:val="0077CC"/>
            <w:sz w:val="20"/>
            <w:u w:val="single"/>
            <w:shd w:val="clear" w:color="auto" w:fill="FFFFFF"/>
            <w:lang w:val="en-US" w:eastAsia="en-US" w:bidi="ar-SA"/>
          </w:rPr>
          <w:t>2003 BCSC 1513</w:t>
        </w:r>
      </w:hyperlink>
      <w:r>
        <w:rPr>
          <w:rFonts w:ascii="arial" w:eastAsia="arial" w:hAnsi="arial" w:cs="arial"/>
          <w:color w:val="000000"/>
          <w:sz w:val="20"/>
          <w:lang w:val="en-US" w:eastAsia="en-US" w:bidi="ar-SA"/>
        </w:rPr>
        <w:t>, Madam Justice Satanove wrote at para. 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court's experience with wrongful birth cases is that they are usually complicated, sensitive and require an incredible amount of focus and thoughtful consideration. I am not saying juries are not capable of such focus and thoughtful consideration, but it has long been recognized that it is unfair to juries, and to litigants who seek a fair trial, to encumber a jury with massive amounts of scientific information and issues of fact with so little time to consider them. [And she cites a number of decisions, including the Court of Appeal decision in </w:t>
      </w:r>
      <w:r>
        <w:rPr>
          <w:rFonts w:ascii="arial" w:eastAsia="arial" w:hAnsi="arial" w:cs="arial"/>
          <w:i/>
          <w:color w:val="000000"/>
          <w:sz w:val="20"/>
          <w:lang w:val="en-US" w:eastAsia="en-US" w:bidi="ar-SA"/>
        </w:rPr>
        <w:t>McDonald v. Inland Natural Gas Co</w:t>
      </w:r>
      <w:r>
        <w:rPr>
          <w:rFonts w:ascii="arial" w:eastAsia="arial" w:hAnsi="arial" w:cs="arial"/>
          <w:color w:val="000000"/>
          <w:sz w:val="20"/>
          <w:lang w:val="en-US" w:eastAsia="en-US" w:bidi="ar-SA"/>
        </w:rPr>
        <w:t xml:space="preserve">. and Justice McEachern's decision in </w:t>
      </w:r>
      <w:r>
        <w:rPr>
          <w:rFonts w:ascii="arial" w:eastAsia="arial" w:hAnsi="arial" w:cs="arial"/>
          <w:i/>
          <w:color w:val="000000"/>
          <w:sz w:val="20"/>
          <w:lang w:val="en-US" w:eastAsia="en-US" w:bidi="ar-SA"/>
        </w:rPr>
        <w:t>Wipfli</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That case had nine named defendants and two "Doe" defendants, seven of whom plus the two "Doe" defendants were also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Moll v. Parmar</w:t>
      </w:r>
      <w:r>
        <w:rPr>
          <w:rFonts w:ascii="arial" w:eastAsia="arial" w:hAnsi="arial" w:cs="arial"/>
          <w:color w:val="000000"/>
          <w:sz w:val="20"/>
          <w:lang w:val="en-US" w:eastAsia="en-US" w:bidi="ar-SA"/>
        </w:rPr>
        <w:t xml:space="preserve">, </w:t>
      </w:r>
      <w:hyperlink r:id="rId235" w:history="1">
        <w:r>
          <w:rPr>
            <w:rFonts w:ascii="arial" w:eastAsia="arial" w:hAnsi="arial" w:cs="arial"/>
            <w:i/>
            <w:color w:val="0077CC"/>
            <w:sz w:val="20"/>
            <w:u w:val="single"/>
            <w:shd w:val="clear" w:color="auto" w:fill="FFFFFF"/>
            <w:lang w:val="en-US" w:eastAsia="en-US" w:bidi="ar-SA"/>
          </w:rPr>
          <w:t>2012 BCSC 1915</w:t>
        </w:r>
      </w:hyperlink>
      <w:r>
        <w:rPr>
          <w:rFonts w:ascii="arial" w:eastAsia="arial" w:hAnsi="arial" w:cs="arial"/>
          <w:color w:val="000000"/>
          <w:sz w:val="20"/>
          <w:lang w:val="en-US" w:eastAsia="en-US" w:bidi="ar-SA"/>
        </w:rPr>
        <w:t>, a case resulting from a motor vehicle accident, Mr. Justice Abrioux, at para. 34, cites a decision of Madam Justice Arnold-Bailey: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In </w:t>
      </w:r>
      <w:r>
        <w:rPr>
          <w:rFonts w:ascii="arial" w:eastAsia="arial" w:hAnsi="arial" w:cs="arial"/>
          <w:i/>
          <w:color w:val="000000"/>
          <w:sz w:val="20"/>
          <w:lang w:val="en-US" w:eastAsia="en-US" w:bidi="ar-SA"/>
        </w:rPr>
        <w:t>Gulamani v. Chandra</w:t>
      </w:r>
      <w:r>
        <w:rPr>
          <w:rFonts w:ascii="arial" w:eastAsia="arial" w:hAnsi="arial" w:cs="arial"/>
          <w:color w:val="000000"/>
          <w:sz w:val="20"/>
          <w:lang w:val="en-US" w:eastAsia="en-US" w:bidi="ar-SA"/>
        </w:rPr>
        <w:t xml:space="preserve">, </w:t>
      </w:r>
      <w:hyperlink r:id="rId236" w:history="1">
        <w:r>
          <w:rPr>
            <w:rFonts w:ascii="arial" w:eastAsia="arial" w:hAnsi="arial" w:cs="arial"/>
            <w:i/>
            <w:color w:val="0077CC"/>
            <w:sz w:val="20"/>
            <w:u w:val="single"/>
            <w:shd w:val="clear" w:color="auto" w:fill="FFFFFF"/>
            <w:lang w:val="en-US" w:eastAsia="en-US" w:bidi="ar-SA"/>
          </w:rPr>
          <w:t>2009 BCSC 1042</w:t>
        </w:r>
      </w:hyperlink>
      <w:r>
        <w:rPr>
          <w:rFonts w:ascii="arial" w:eastAsia="arial" w:hAnsi="arial" w:cs="arial"/>
          <w:color w:val="000000"/>
          <w:sz w:val="20"/>
          <w:lang w:val="en-US" w:eastAsia="en-US" w:bidi="ar-SA"/>
        </w:rPr>
        <w:t>, decided under the current Rules' predecessor, Arnold-Bailey J. summarized the applicable law at para. 15: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 personal injury action, a trial by a judge and jury is a presumptive right (see: </w:t>
      </w:r>
      <w:r>
        <w:rPr>
          <w:rFonts w:ascii="arial" w:eastAsia="arial" w:hAnsi="arial" w:cs="arial"/>
          <w:i/>
          <w:color w:val="000000"/>
          <w:sz w:val="20"/>
          <w:lang w:val="en-US" w:eastAsia="en-US" w:bidi="ar-SA"/>
        </w:rPr>
        <w:t>Cochrane v. Insurance Corp. of British Columbia</w:t>
      </w:r>
      <w:r>
        <w:rPr>
          <w:rFonts w:ascii="arial" w:eastAsia="arial" w:hAnsi="arial" w:cs="arial"/>
          <w:color w:val="000000"/>
          <w:sz w:val="20"/>
          <w:lang w:val="en-US" w:eastAsia="en-US" w:bidi="ar-SA"/>
        </w:rPr>
        <w:t xml:space="preserve">, </w:t>
      </w:r>
      <w:hyperlink r:id="rId237" w:history="1">
        <w:r>
          <w:rPr>
            <w:rFonts w:ascii="arial" w:eastAsia="arial" w:hAnsi="arial" w:cs="arial"/>
            <w:i/>
            <w:color w:val="0077CC"/>
            <w:sz w:val="20"/>
            <w:u w:val="single"/>
            <w:shd w:val="clear" w:color="auto" w:fill="FFFFFF"/>
            <w:lang w:val="en-US" w:eastAsia="en-US" w:bidi="ar-SA"/>
          </w:rPr>
          <w:t>2005 BCCA 399</w:t>
        </w:r>
      </w:hyperlink>
      <w:r>
        <w:rPr>
          <w:rFonts w:ascii="arial" w:eastAsia="arial" w:hAnsi="arial" w:cs="arial"/>
          <w:color w:val="000000"/>
          <w:sz w:val="20"/>
          <w:lang w:val="en-US" w:eastAsia="en-US" w:bidi="ar-SA"/>
        </w:rPr>
        <w:t xml:space="preserve"> at para. 22). It is only where the applicant opposing the jury has satisfied one or more of the exceptions set out in Rule 39(27) that the jury notice may be struck. The relevant subsections in Rule 39(27) are as follows:</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Except in cases of defamation, false imprisonment and malicious prosecution, a party to whom a notice under subrule (26) has been delivered may apply</w:t>
      </w:r>
    </w:p>
    <w:p>
      <w:pPr>
        <w:numPr>
          <w:numId w:val="2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within 7 days for an order that the trial or part of it be heard by the court without a jury on the ground that</w:t>
      </w:r>
    </w:p>
    <w:p>
      <w:pPr>
        <w:numPr>
          <w:numId w:val="2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require prolonged examination of documents or accounts or a scientific or local investigation which cannot be made conveniently with a jury, or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are of an intricate or complex character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Then furthermore at para. 27: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 Returning to Rule 39(27)(a), the legal test for striking a jury notice under (i) involves two steps.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 First, the court must determine whether the issues require "prolonged examination of documents or accounts or a scientific or local investigation." That the materials in evidence are lengthy does not, however, necessarily mean that a prolonged examination of them is required. In </w:t>
      </w:r>
      <w:r>
        <w:rPr>
          <w:rFonts w:ascii="arial" w:eastAsia="arial" w:hAnsi="arial" w:cs="arial"/>
          <w:i/>
          <w:color w:val="000000"/>
          <w:sz w:val="20"/>
          <w:lang w:val="en-US" w:eastAsia="en-US" w:bidi="ar-SA"/>
        </w:rPr>
        <w:t>Wipfli (Guardian ad litem of) v. Britten</w:t>
      </w:r>
      <w:r>
        <w:rPr>
          <w:rFonts w:ascii="arial" w:eastAsia="arial" w:hAnsi="arial" w:cs="arial"/>
          <w:color w:val="000000"/>
          <w:sz w:val="20"/>
          <w:lang w:val="en-US" w:eastAsia="en-US" w:bidi="ar-SA"/>
        </w:rPr>
        <w:t xml:space="preserve">, </w:t>
      </w:r>
      <w:hyperlink r:id="rId220" w:history="1">
        <w:r>
          <w:rPr>
            <w:rFonts w:ascii="arial" w:eastAsia="arial" w:hAnsi="arial" w:cs="arial"/>
            <w:i/>
            <w:color w:val="0077CC"/>
            <w:sz w:val="20"/>
            <w:u w:val="single"/>
            <w:shd w:val="clear" w:color="auto" w:fill="FFFFFF"/>
            <w:lang w:val="en-US" w:eastAsia="en-US" w:bidi="ar-SA"/>
          </w:rPr>
          <w:t>[1981] B.C.J. No. 1706</w:t>
        </w:r>
      </w:hyperlink>
      <w:r>
        <w:rPr>
          <w:rFonts w:ascii="arial" w:eastAsia="arial" w:hAnsi="arial" w:cs="arial"/>
          <w:color w:val="000000"/>
          <w:sz w:val="20"/>
          <w:lang w:val="en-US" w:eastAsia="en-US" w:bidi="ar-SA"/>
        </w:rPr>
        <w:t xml:space="preserve"> (S.C.) at para. 14, Chief Justice McEachern expressed doubt that a 715-page record and hospital procedure manuals would require a detailed or prolonged examination, citing the following statement made by Hutcheon J. in a previous unreported decision: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common experience is that in most cases the hospital records, having been made an exhibit, play very little part in the proceedings.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[29] To determine whether a prolonged examination would be required by the trier of fact, rather, the court must consider more carefully what the evidence will actually be. </w:t>
      </w:r>
      <w:r>
        <w:rPr>
          <w:rFonts w:ascii="arial" w:eastAsia="arial" w:hAnsi="arial" w:cs="arial"/>
          <w:i/>
          <w:color w:val="000000"/>
          <w:sz w:val="20"/>
          <w:lang w:val="en-US" w:eastAsia="en-US" w:bidi="ar-SA"/>
        </w:rPr>
        <w:t>Guichon v. Johnston</w:t>
      </w:r>
      <w:r>
        <w:rPr>
          <w:rFonts w:ascii="arial" w:eastAsia="arial" w:hAnsi="arial" w:cs="arial"/>
          <w:color w:val="000000"/>
          <w:sz w:val="20"/>
          <w:lang w:val="en-US" w:eastAsia="en-US" w:bidi="ar-SA"/>
        </w:rPr>
        <w:t xml:space="preserve">, </w:t>
      </w:r>
      <w:hyperlink r:id="rId238" w:history="1">
        <w:r>
          <w:rPr>
            <w:rFonts w:ascii="arial" w:eastAsia="arial" w:hAnsi="arial" w:cs="arial"/>
            <w:i/>
            <w:color w:val="0077CC"/>
            <w:sz w:val="20"/>
            <w:u w:val="single"/>
            <w:shd w:val="clear" w:color="auto" w:fill="FFFFFF"/>
            <w:lang w:val="en-US" w:eastAsia="en-US" w:bidi="ar-SA"/>
          </w:rPr>
          <w:t>[1998] B.C.J. No. 2643</w:t>
        </w:r>
      </w:hyperlink>
      <w:r>
        <w:rPr>
          <w:rFonts w:ascii="arial" w:eastAsia="arial" w:hAnsi="arial" w:cs="arial"/>
          <w:color w:val="000000"/>
          <w:sz w:val="20"/>
          <w:lang w:val="en-US" w:eastAsia="en-US" w:bidi="ar-SA"/>
        </w:rPr>
        <w:t xml:space="preserve"> (S.C.), exemplifies this type of analysis. In that case, the plaintiff was a passenger in the defendants' uninsured motor vehicle, and when it was involved in an accident he allegedly suffered a brain injury. At para. 23 the court noted firstly that it is not sufficient to "state simply that a jury will be obliged to consider medical or scientific evidence in order to set the jury notice aside." There were at least three medical experts involved in the case who collectively administered dozens of tests and wrote several reports. Master Baker turned to analyze the specific evidence in these reports that would likely be put to a jury in that case. That evidence included "complex, multi-facetted [sic] and not easily or lightly considered or understood" medical perspectives on brain injuries, as evident in two quotes from one expert report that Master Baker included by way of illustration: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Cytotoxic processes (processes causing cell damage) include the release of free oxygen radicals, particularly the highly reactive hydroxyl radical, lipid peroxidation of cell membranes, opening of ion channels to influx of calcium, release of cytokines and metabolism of free fatty acids into highly vasoactive substances that may cause vasoconstriction (blood vessel constriction) and ischemia (reduced oxygen supply to the tissues). Such processes may also be interruptible by mechanism-specific therapeutic agents such as lipid antioxidants, calcium channel blockers, and glutamate (i.e., a neurotransmitter) receptor antagonists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"Systemic" factors that may cause "secondary insults" to the injured brain include hypoxemia (i.e., low blood oxygen concentration) arteriolar hypotension (i.e., low pressure within the smaller arterial blood vessels), hypercarbia (i.e., high blood carbon dioxide concentration), severe hypercarbia (i.e., low blood carbon dioxide concentration), pyrexia (i.e., fever), hyponatremia (i.e., low blood sodium concentration), anaemia (i.e., low blood haemoglobin concentration (haemoglobin is the protein in the red blood cells that carries oxygen), and diffuse intravascular coagulopathy (i.e., a process in which there is a derangement in the clotting process).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[30] Given the nature of that evidence, it was found that a prolonged examination would be necessary.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When the finding is made that a prolonged examination or investigation will be necessary, the court must then turn to the second part of the test, which is whether or not that examination can be made "conveniently with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Justice Arnold-Bailey summarizes the applicable law. She confirms that a trial by a judge and jury is a presumptive right. She sets out the test, involving two steps: First, the court must determine whether the issues require prolonged examination of documents or accounts for scientific or local investigation. That the materials in evidence are lengthy does not, however, necessarily mean that a prolonged examination of them is required. She cites McEachern C.J.B.C.'s comments about the 715page record that was before him in </w:t>
      </w:r>
      <w:r>
        <w:rPr>
          <w:rFonts w:ascii="arial" w:eastAsia="arial" w:hAnsi="arial" w:cs="arial"/>
          <w:i/>
          <w:color w:val="000000"/>
          <w:sz w:val="20"/>
          <w:lang w:val="en-US" w:eastAsia="en-US" w:bidi="ar-SA"/>
        </w:rPr>
        <w:t>Wipfli</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Then, in para. 29 of Gulamani, Arnold-Bailey J. sets out that to determine whether a prolonged examination would be required by the trier of fact, the court must consider more carefully what the evidence will actually be, and goes on to give some examples, citing </w:t>
      </w:r>
      <w:r>
        <w:rPr>
          <w:rFonts w:ascii="arial" w:eastAsia="arial" w:hAnsi="arial" w:cs="arial"/>
          <w:i/>
          <w:color w:val="000000"/>
          <w:sz w:val="20"/>
          <w:lang w:val="en-US" w:eastAsia="en-US" w:bidi="ar-SA"/>
        </w:rPr>
        <w:t>Guichon v. Johnston</w:t>
      </w:r>
      <w:r>
        <w:rPr>
          <w:rFonts w:ascii="arial" w:eastAsia="arial" w:hAnsi="arial" w:cs="arial"/>
          <w:color w:val="000000"/>
          <w:sz w:val="20"/>
          <w:lang w:val="en-US" w:eastAsia="en-US" w:bidi="ar-SA"/>
        </w:rPr>
        <w:t xml:space="preserve">, </w:t>
      </w:r>
      <w:hyperlink r:id="rId238" w:history="1">
        <w:r>
          <w:rPr>
            <w:rFonts w:ascii="arial" w:eastAsia="arial" w:hAnsi="arial" w:cs="arial"/>
            <w:i/>
            <w:color w:val="0077CC"/>
            <w:sz w:val="20"/>
            <w:u w:val="single"/>
            <w:shd w:val="clear" w:color="auto" w:fill="FFFFFF"/>
            <w:lang w:val="en-US" w:eastAsia="en-US" w:bidi="ar-SA"/>
          </w:rPr>
          <w:t>[1998] B.C.J. No. 2643</w:t>
        </w:r>
      </w:hyperlink>
      <w:r>
        <w:rPr>
          <w:rFonts w:ascii="arial" w:eastAsia="arial" w:hAnsi="arial" w:cs="arial"/>
          <w:color w:val="000000"/>
          <w:sz w:val="20"/>
          <w:lang w:val="en-US" w:eastAsia="en-US" w:bidi="ar-SA"/>
        </w:rPr>
        <w:t>. She sets out at para. 31, when a finding is made that a prolonged examination or investigation will be necessary, the court must then turn to the second part of the test, which is whether or not that examination can be made conveniently with a jury. The rules have changed slightly in wording. I do not think that makes a significant change in the legal test that I should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At para. 36 of Abrioux J.'s decision, he cites a decision of Mr. Justice Low, who was a trial judge then. He writes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[36] There is another citation from former Chief Justice McEachern which is also illustrative of one of the issues before me. It is found in </w:t>
      </w:r>
      <w:r>
        <w:rPr>
          <w:rFonts w:ascii="arial" w:eastAsia="arial" w:hAnsi="arial" w:cs="arial"/>
          <w:i/>
          <w:color w:val="000000"/>
          <w:sz w:val="20"/>
          <w:lang w:val="en-US" w:eastAsia="en-US" w:bidi="ar-SA"/>
        </w:rPr>
        <w:t>MacDonald v. Smith</w:t>
      </w:r>
      <w:r>
        <w:rPr>
          <w:rFonts w:ascii="arial" w:eastAsia="arial" w:hAnsi="arial" w:cs="arial"/>
          <w:color w:val="000000"/>
          <w:sz w:val="20"/>
          <w:lang w:val="en-US" w:eastAsia="en-US" w:bidi="ar-SA"/>
        </w:rPr>
        <w:t xml:space="preserve">, cited in </w:t>
      </w:r>
      <w:r>
        <w:rPr>
          <w:rFonts w:ascii="arial" w:eastAsia="arial" w:hAnsi="arial" w:cs="arial"/>
          <w:i/>
          <w:color w:val="000000"/>
          <w:sz w:val="20"/>
          <w:lang w:val="en-US" w:eastAsia="en-US" w:bidi="ar-SA"/>
        </w:rPr>
        <w:t>Campbell v. Khan</w:t>
      </w:r>
      <w:r>
        <w:rPr>
          <w:rFonts w:ascii="arial" w:eastAsia="arial" w:hAnsi="arial" w:cs="arial"/>
          <w:color w:val="000000"/>
          <w:sz w:val="20"/>
          <w:lang w:val="en-US" w:eastAsia="en-US" w:bidi="ar-SA"/>
        </w:rPr>
        <w:t xml:space="preserve">, </w:t>
      </w:r>
      <w:hyperlink r:id="rId239" w:history="1">
        <w:r>
          <w:rPr>
            <w:rFonts w:ascii="arial" w:eastAsia="arial" w:hAnsi="arial" w:cs="arial"/>
            <w:i/>
            <w:color w:val="0077CC"/>
            <w:sz w:val="20"/>
            <w:u w:val="single"/>
            <w:shd w:val="clear" w:color="auto" w:fill="FFFFFF"/>
            <w:lang w:val="en-US" w:eastAsia="en-US" w:bidi="ar-SA"/>
          </w:rPr>
          <w:t>[1996] B.C.J. No. 2005</w:t>
        </w:r>
      </w:hyperlink>
      <w:r>
        <w:rPr>
          <w:rFonts w:ascii="arial" w:eastAsia="arial" w:hAnsi="arial" w:cs="arial"/>
          <w:color w:val="000000"/>
          <w:sz w:val="20"/>
          <w:lang w:val="en-US" w:eastAsia="en-US" w:bidi="ar-SA"/>
        </w:rPr>
        <w:t xml:space="preserve"> at para. 9 (S.C.). In </w:t>
      </w:r>
      <w:r>
        <w:rPr>
          <w:rFonts w:ascii="arial" w:eastAsia="arial" w:hAnsi="arial" w:cs="arial"/>
          <w:i/>
          <w:color w:val="000000"/>
          <w:sz w:val="20"/>
          <w:lang w:val="en-US" w:eastAsia="en-US" w:bidi="ar-SA"/>
        </w:rPr>
        <w:t>Campbell v. Khan</w:t>
      </w:r>
      <w:r>
        <w:rPr>
          <w:rFonts w:ascii="arial" w:eastAsia="arial" w:hAnsi="arial" w:cs="arial"/>
          <w:color w:val="000000"/>
          <w:sz w:val="20"/>
          <w:lang w:val="en-US" w:eastAsia="en-US" w:bidi="ar-SA"/>
        </w:rPr>
        <w:t>, Mr. Justice Low, as he then was, stated: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MacDonald v. Smith</w:t>
      </w:r>
      <w:r>
        <w:rPr>
          <w:rFonts w:ascii="arial" w:eastAsia="arial" w:hAnsi="arial" w:cs="arial"/>
          <w:color w:val="000000"/>
          <w:sz w:val="20"/>
          <w:lang w:val="en-US" w:eastAsia="en-US" w:bidi="ar-SA"/>
        </w:rPr>
        <w:t xml:space="preserve">, </w:t>
      </w:r>
      <w:hyperlink r:id="rId232" w:history="1">
        <w:r>
          <w:rPr>
            <w:rFonts w:ascii="arial" w:eastAsia="arial" w:hAnsi="arial" w:cs="arial"/>
            <w:i/>
            <w:color w:val="0077CC"/>
            <w:sz w:val="20"/>
            <w:u w:val="single"/>
            <w:shd w:val="clear" w:color="auto" w:fill="FFFFFF"/>
            <w:lang w:val="en-US" w:eastAsia="en-US" w:bidi="ar-SA"/>
          </w:rPr>
          <w:t>(1983) 48 B.C.L.R. 285</w:t>
        </w:r>
      </w:hyperlink>
      <w:r>
        <w:rPr>
          <w:rFonts w:ascii="arial" w:eastAsia="arial" w:hAnsi="arial" w:cs="arial"/>
          <w:color w:val="000000"/>
          <w:sz w:val="20"/>
          <w:lang w:val="en-US" w:eastAsia="en-US" w:bidi="ar-SA"/>
        </w:rPr>
        <w:t>, McEachern, then C.J.S.C., said (p. 288):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Briefly, I think a case of this complexity cannot conveniently or suitably be tried and a proper conclusion assured to the parties when there is no opportunity for thoughtful and timely consideration, particularly after several days of evidence and other proceedings which follow the completion of evidence. There must, in a case such as this, be an opportunity for thoughtful review after preliminary conclusions have been reached and there is too much risk of a compromise verdict being accepted by the jury or a majority of the jury under pressures of time and other personal consideration.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an application such as this the following considerations also apply:</w:t>
      </w:r>
    </w:p>
    <w:p>
      <w:pPr>
        <w:numPr>
          <w:numId w:val="2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chambers judge on the basis of the evidence before him or her may find or decline to find that the issues require prolonged examination of documents or accounts, that they require scientific or local investigation, or that they are of an intricate or complex character. When he or she makes those findings, he is not at that stage exercising discretion, but rather making findings of fact on the basis of the evidence. If after considering the evidence he or she does not make one of those findings, then there is no ground for granting the order. If on the other hand the evidence is such that one or more of these findings of fact is made or should be made, the judge is required to exercise the discretionary jurisdiction contemplated by the subrule: see </w:t>
      </w:r>
      <w:r>
        <w:rPr>
          <w:rFonts w:ascii="arial" w:eastAsia="arial" w:hAnsi="arial" w:cs="arial"/>
          <w:i/>
          <w:color w:val="000000"/>
          <w:sz w:val="20"/>
          <w:lang w:val="en-US" w:eastAsia="en-US" w:bidi="ar-SA"/>
        </w:rPr>
        <w:t>Nichols v. Gray</w:t>
      </w:r>
      <w:r>
        <w:rPr>
          <w:rFonts w:ascii="arial" w:eastAsia="arial" w:hAnsi="arial" w:cs="arial"/>
          <w:color w:val="000000"/>
          <w:sz w:val="20"/>
          <w:lang w:val="en-US" w:eastAsia="en-US" w:bidi="ar-SA"/>
        </w:rPr>
        <w:t xml:space="preserve"> </w:t>
      </w:r>
      <w:hyperlink r:id="rId221" w:history="1">
        <w:r>
          <w:rPr>
            <w:rFonts w:ascii="arial" w:eastAsia="arial" w:hAnsi="arial" w:cs="arial"/>
            <w:i/>
            <w:color w:val="0077CC"/>
            <w:sz w:val="20"/>
            <w:u w:val="single"/>
            <w:shd w:val="clear" w:color="auto" w:fill="FFFFFF"/>
            <w:lang w:val="en-US" w:eastAsia="en-US" w:bidi="ar-SA"/>
          </w:rPr>
          <w:t>(1978), 9 B.C.L.R. 5</w:t>
        </w:r>
      </w:hyperlink>
      <w:r>
        <w:rPr>
          <w:rFonts w:ascii="arial" w:eastAsia="arial" w:hAnsi="arial" w:cs="arial"/>
          <w:color w:val="000000"/>
          <w:sz w:val="20"/>
          <w:lang w:val="en-US" w:eastAsia="en-US" w:bidi="ar-SA"/>
        </w:rPr>
        <w:t xml:space="preserve"> (C.A.) at page 14.</w:t>
      </w:r>
    </w:p>
    <w:p>
      <w:pPr>
        <w:numPr>
          <w:numId w:val="2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the trial of an action before a jury that involved a scientific investigation may not be the most convenient mode of trial, that is not enough to displace the presumptive right of a litigant who seeks trial by jury: see </w:t>
      </w:r>
      <w:r>
        <w:rPr>
          <w:rFonts w:ascii="arial" w:eastAsia="arial" w:hAnsi="arial" w:cs="arial"/>
          <w:i/>
          <w:color w:val="000000"/>
          <w:sz w:val="20"/>
          <w:lang w:val="en-US" w:eastAsia="en-US" w:bidi="ar-SA"/>
        </w:rPr>
        <w:t>Patterson v. Rankel</w:t>
      </w:r>
      <w:r>
        <w:rPr>
          <w:rFonts w:ascii="arial" w:eastAsia="arial" w:hAnsi="arial" w:cs="arial"/>
          <w:color w:val="000000"/>
          <w:sz w:val="20"/>
          <w:lang w:val="en-US" w:eastAsia="en-US" w:bidi="ar-SA"/>
        </w:rPr>
        <w:t xml:space="preserve">, </w:t>
      </w:r>
      <w:hyperlink r:id="rId240" w:history="1">
        <w:r>
          <w:rPr>
            <w:rFonts w:ascii="arial" w:eastAsia="arial" w:hAnsi="arial" w:cs="arial"/>
            <w:i/>
            <w:color w:val="0077CC"/>
            <w:sz w:val="20"/>
            <w:u w:val="single"/>
            <w:shd w:val="clear" w:color="auto" w:fill="FFFFFF"/>
            <w:lang w:val="en-US" w:eastAsia="en-US" w:bidi="ar-SA"/>
          </w:rPr>
          <w:t>2001 BCSC 952</w:t>
        </w:r>
      </w:hyperlink>
      <w:r>
        <w:rPr>
          <w:rFonts w:ascii="arial" w:eastAsia="arial" w:hAnsi="arial" w:cs="arial"/>
          <w:color w:val="000000"/>
          <w:sz w:val="20"/>
          <w:lang w:val="en-US" w:eastAsia="en-US" w:bidi="ar-SA"/>
        </w:rPr>
        <w:t xml:space="preserve"> at para. 25.</w:t>
      </w:r>
    </w:p>
    <w:p>
      <w:pPr>
        <w:numPr>
          <w:numId w:val="3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issue needs to be considered in the context of the entire case and the other issues involved in the litigation, rather than in isolation. It is the combination of the issues which make them sufficiently complex such that the matter should be tried without a jury: see </w:t>
      </w:r>
      <w:r>
        <w:rPr>
          <w:rFonts w:ascii="arial" w:eastAsia="arial" w:hAnsi="arial" w:cs="arial"/>
          <w:i/>
          <w:color w:val="000000"/>
          <w:sz w:val="20"/>
          <w:lang w:val="en-US" w:eastAsia="en-US" w:bidi="ar-SA"/>
        </w:rPr>
        <w:t>Gulamani</w:t>
      </w:r>
      <w:r>
        <w:rPr>
          <w:rFonts w:ascii="arial" w:eastAsia="arial" w:hAnsi="arial" w:cs="arial"/>
          <w:color w:val="000000"/>
          <w:sz w:val="20"/>
          <w:lang w:val="en-US" w:eastAsia="en-US" w:bidi="ar-SA"/>
        </w:rPr>
        <w:t xml:space="preserve"> at para. 35.</w:t>
      </w:r>
    </w:p>
    <w:p>
      <w:pPr>
        <w:numPr>
          <w:numId w:val="3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Modern juries are sophisticated and in many cases, with the assistance of counsel and the instructions of the trial judge, will not find the evidence beyond their ability to comprehend, retain and apply to the case: see </w:t>
      </w:r>
      <w:r>
        <w:rPr>
          <w:rFonts w:ascii="arial" w:eastAsia="arial" w:hAnsi="arial" w:cs="arial"/>
          <w:i/>
          <w:color w:val="000000"/>
          <w:sz w:val="20"/>
          <w:lang w:val="en-US" w:eastAsia="en-US" w:bidi="ar-SA"/>
        </w:rPr>
        <w:t>MacKinnon v. Ebner</w:t>
      </w:r>
      <w:r>
        <w:rPr>
          <w:rFonts w:ascii="arial" w:eastAsia="arial" w:hAnsi="arial" w:cs="arial"/>
          <w:color w:val="000000"/>
          <w:sz w:val="20"/>
          <w:lang w:val="en-US" w:eastAsia="en-US" w:bidi="ar-SA"/>
        </w:rPr>
        <w:t xml:space="preserve">, </w:t>
      </w:r>
      <w:hyperlink r:id="rId241" w:history="1">
        <w:r>
          <w:rPr>
            <w:rFonts w:ascii="arial" w:eastAsia="arial" w:hAnsi="arial" w:cs="arial"/>
            <w:i/>
            <w:color w:val="0077CC"/>
            <w:sz w:val="20"/>
            <w:u w:val="single"/>
            <w:shd w:val="clear" w:color="auto" w:fill="FFFFFF"/>
            <w:lang w:val="en-US" w:eastAsia="en-US" w:bidi="ar-SA"/>
          </w:rPr>
          <w:t>[1997] B.C.J. No. 364</w:t>
        </w:r>
      </w:hyperlink>
      <w:r>
        <w:rPr>
          <w:rFonts w:ascii="arial" w:eastAsia="arial" w:hAnsi="arial" w:cs="arial"/>
          <w:color w:val="000000"/>
          <w:sz w:val="20"/>
          <w:lang w:val="en-US" w:eastAsia="en-US" w:bidi="ar-SA"/>
        </w:rPr>
        <w:t xml:space="preserve"> (S.C.).</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overriding consideration is whether the case is one appropriate for a jury such that all parties receive the benefit of a fair trial: </w:t>
      </w:r>
      <w:r>
        <w:rPr>
          <w:rFonts w:ascii="arial" w:eastAsia="arial" w:hAnsi="arial" w:cs="arial"/>
          <w:i/>
          <w:color w:val="000000"/>
          <w:sz w:val="20"/>
          <w:lang w:val="en-US" w:eastAsia="en-US" w:bidi="ar-SA"/>
        </w:rPr>
        <w:t>Lomax v. Weins</w:t>
      </w:r>
      <w:r>
        <w:rPr>
          <w:rFonts w:ascii="arial" w:eastAsia="arial" w:hAnsi="arial" w:cs="arial"/>
          <w:color w:val="000000"/>
          <w:sz w:val="20"/>
          <w:lang w:val="en-US" w:eastAsia="en-US" w:bidi="ar-SA"/>
        </w:rPr>
        <w:t xml:space="preserve">, </w:t>
      </w:r>
      <w:hyperlink r:id="rId242" w:history="1">
        <w:r>
          <w:rPr>
            <w:rFonts w:ascii="arial" w:eastAsia="arial" w:hAnsi="arial" w:cs="arial"/>
            <w:i/>
            <w:color w:val="0077CC"/>
            <w:sz w:val="20"/>
            <w:u w:val="single"/>
            <w:shd w:val="clear" w:color="auto" w:fill="FFFFFF"/>
            <w:lang w:val="en-US" w:eastAsia="en-US" w:bidi="ar-SA"/>
          </w:rPr>
          <w:t>2003 BCSC 396</w:t>
        </w:r>
      </w:hyperlink>
      <w:r>
        <w:rPr>
          <w:rFonts w:ascii="arial" w:eastAsia="arial" w:hAnsi="arial" w:cs="arial"/>
          <w:color w:val="000000"/>
          <w:sz w:val="20"/>
          <w:lang w:val="en-US" w:eastAsia="en-US" w:bidi="ar-SA"/>
        </w:rPr>
        <w:t xml:space="preserve"> at para. 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am just going to paraphrase a bit of the law. The Chambers Judge, on the basis of the evidence before him or her may find or decline to find that the issues require prolonged examination, that they require scientific or local investigation, or that they are of an intricate or complex character. When he or she makes those findings, it is not at that stage exercising discretion but rather making findings of fact on the basis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If, after considering the evidence, he or she does not make one of those findings, then there is no ground for granting the order. If, on the other hand, the evidence is such that one or more of the findings is made or should be made, the judge is required to exercise the discretionary jurisdiction contemplated by the subrule.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subparagraph (b), while the trial of an action before a jury that involved scientific investigation may not be the most convenient mode of trial, that is not enough to displace the presumptive right of a litigant who seeks trial by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subparagraph (c), the issue needs to be considered in the context of the entire case and the other issues involved in the litigation. Modern juries are sophisticated and, in many cases, with the assistance of counsel and the instructions of the trial judge, will not find the evidence beyond their ability to comprehend, retain and apply to the case. The overriding consideration is whether the case is one appropriate for a jury such that all parties receive the benefit of a fair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 have also considered the reasons of Madam Justice Holmes, now Holmes A.C.J., in </w:t>
      </w:r>
      <w:r>
        <w:rPr>
          <w:rFonts w:ascii="arial" w:eastAsia="arial" w:hAnsi="arial" w:cs="arial"/>
          <w:i/>
          <w:color w:val="000000"/>
          <w:sz w:val="20"/>
          <w:lang w:val="en-US" w:eastAsia="en-US" w:bidi="ar-SA"/>
        </w:rPr>
        <w:t>Steinebach (Litigation guardian of) v. Fraser Health Authority (c.o.b. Surrey Memorial Hospital)</w:t>
      </w:r>
      <w:r>
        <w:rPr>
          <w:rFonts w:ascii="arial" w:eastAsia="arial" w:hAnsi="arial" w:cs="arial"/>
          <w:color w:val="000000"/>
          <w:sz w:val="20"/>
          <w:lang w:val="en-US" w:eastAsia="en-US" w:bidi="ar-SA"/>
        </w:rPr>
        <w:t xml:space="preserve">, </w:t>
      </w:r>
      <w:hyperlink r:id="rId243" w:history="1">
        <w:r>
          <w:rPr>
            <w:rFonts w:ascii="arial" w:eastAsia="arial" w:hAnsi="arial" w:cs="arial"/>
            <w:i/>
            <w:color w:val="0077CC"/>
            <w:sz w:val="20"/>
            <w:u w:val="single"/>
            <w:shd w:val="clear" w:color="auto" w:fill="FFFFFF"/>
            <w:lang w:val="en-US" w:eastAsia="en-US" w:bidi="ar-SA"/>
          </w:rPr>
          <w:t>2009 BCSC 1577</w:t>
        </w:r>
      </w:hyperlink>
      <w:r>
        <w:rPr>
          <w:rFonts w:ascii="arial" w:eastAsia="arial" w:hAnsi="arial" w:cs="arial"/>
          <w:color w:val="000000"/>
          <w:sz w:val="20"/>
          <w:lang w:val="en-US" w:eastAsia="en-US" w:bidi="ar-SA"/>
        </w:rPr>
        <w:t>and in particular at para. 9, where she determined: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case as pleaded and now prepared for trial will require determinations of numerous challenging issues in a complex medical context ... standards of care variously applicable to the numerous defendants, and whether any breaches of those standards caused the plaintiff's brain injury. The various applicable standards of care and the corresponding questions of causation will find further complication in the interrelationship, on the facts, among the defendants and their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that case, she struck the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have also reviewed the CIVJI Jury Instruction commentary provided to me, and I note the concerns raised with respect to playback of evidence, instruction to jury, deciding opinion evidence. I have considered them in light of the expert evidence which will probably be led and cross-examination of those experts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 have also reviewed the cases referred by the plaintiff. The decision of Justice McEwan J. in </w:t>
      </w:r>
      <w:r>
        <w:rPr>
          <w:rFonts w:ascii="arial" w:eastAsia="arial" w:hAnsi="arial" w:cs="arial"/>
          <w:i/>
          <w:color w:val="000000"/>
          <w:sz w:val="20"/>
          <w:lang w:val="en-US" w:eastAsia="en-US" w:bidi="ar-SA"/>
        </w:rPr>
        <w:t>Renaerts (Guardian of) v. Korn</w:t>
      </w:r>
      <w:r>
        <w:rPr>
          <w:rFonts w:ascii="arial" w:eastAsia="arial" w:hAnsi="arial" w:cs="arial"/>
          <w:color w:val="000000"/>
          <w:sz w:val="20"/>
          <w:lang w:val="en-US" w:eastAsia="en-US" w:bidi="ar-SA"/>
        </w:rPr>
        <w:t>, Vancouver Registry, C937086, is a case similar to the case at bar. At paras. 16-17, McEwan J. writes: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In reviewing the material in this case it strikes me that the issue as to whether there was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any of the medical defendants will turn largely on a series of findings of fact as to what actually occurred over a matter of hours on the night of December 16-17, 1985. While the jury may require some guidance respecting some aspects of some of the defendants' involvement, I do not see this matter as either intricate or complex. The documents that bear directly on this aspect of the claim are not numerous and will not involve prolonged investigation. The evidence as to the child's possible condition at birth is not extensive, nor is the expert evidence to be considered in connection with the apportionment of causation and liability.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On the issue of damages, there is a mass of detailed evidence including actuarial, medical, rehabilitation and other reports addressing the plaintiff's future needs and the cost of future care together with supporting medical, school and other records. Despite the daunting appearance of all this material, it appears that very little of it will require prolonged examination; there is no dispute that Ximena Renaerts is severely disabled and the issues concerning damages essentially concern the degree of assistance she will need and the duration over which it will be required. These are not matters inherently too complex or intricate for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Justice McEwan dismissed the application to strike.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General principles were stated by Madam Justice Griffin, as she then was, in </w:t>
      </w:r>
      <w:r>
        <w:rPr>
          <w:rFonts w:ascii="arial" w:eastAsia="arial" w:hAnsi="arial" w:cs="arial"/>
          <w:i/>
          <w:color w:val="000000"/>
          <w:sz w:val="20"/>
          <w:lang w:val="en-US" w:eastAsia="en-US" w:bidi="ar-SA"/>
        </w:rPr>
        <w:t>Han v. Cho</w:t>
      </w:r>
      <w:r>
        <w:rPr>
          <w:rFonts w:ascii="arial" w:eastAsia="arial" w:hAnsi="arial" w:cs="arial"/>
          <w:color w:val="000000"/>
          <w:sz w:val="20"/>
          <w:lang w:val="en-US" w:eastAsia="en-US" w:bidi="ar-SA"/>
        </w:rPr>
        <w:t xml:space="preserve">, </w:t>
      </w:r>
      <w:hyperlink r:id="rId244" w:history="1">
        <w:r>
          <w:rPr>
            <w:rFonts w:ascii="arial" w:eastAsia="arial" w:hAnsi="arial" w:cs="arial"/>
            <w:i/>
            <w:color w:val="0077CC"/>
            <w:sz w:val="20"/>
            <w:u w:val="single"/>
            <w:shd w:val="clear" w:color="auto" w:fill="FFFFFF"/>
            <w:lang w:val="en-US" w:eastAsia="en-US" w:bidi="ar-SA"/>
          </w:rPr>
          <w:t>2008 BCSC 1192</w:t>
        </w:r>
      </w:hyperlink>
      <w:r>
        <w:rPr>
          <w:rFonts w:ascii="arial" w:eastAsia="arial" w:hAnsi="arial" w:cs="arial"/>
          <w:color w:val="000000"/>
          <w:sz w:val="20"/>
          <w:lang w:val="en-US" w:eastAsia="en-US" w:bidi="ar-SA"/>
        </w:rPr>
        <w:t>. Paras. 12-15 of that decision deal with entitlement and confirm that there is a common law right to a jury. Griffin J. writes: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There is a common law right to a jury. A party ought not to be deprived of this important right except for cogent reasons: </w:t>
      </w:r>
      <w:r>
        <w:rPr>
          <w:rFonts w:ascii="arial" w:eastAsia="arial" w:hAnsi="arial" w:cs="arial"/>
          <w:i/>
          <w:color w:val="000000"/>
          <w:sz w:val="20"/>
          <w:lang w:val="en-US" w:eastAsia="en-US" w:bidi="ar-SA"/>
        </w:rPr>
        <w:t>King v. Colonial Homes Ltd.</w:t>
      </w:r>
      <w:r>
        <w:rPr>
          <w:rFonts w:ascii="arial" w:eastAsia="arial" w:hAnsi="arial" w:cs="arial"/>
          <w:color w:val="000000"/>
          <w:sz w:val="20"/>
          <w:lang w:val="en-US" w:eastAsia="en-US" w:bidi="ar-SA"/>
        </w:rPr>
        <w:t xml:space="preserve">, </w:t>
      </w:r>
      <w:hyperlink r:id="rId245" w:history="1">
        <w:r>
          <w:rPr>
            <w:rFonts w:ascii="arial" w:eastAsia="arial" w:hAnsi="arial" w:cs="arial"/>
            <w:i/>
            <w:color w:val="0077CC"/>
            <w:sz w:val="20"/>
            <w:u w:val="single"/>
            <w:shd w:val="clear" w:color="auto" w:fill="FFFFFF"/>
            <w:lang w:val="en-US" w:eastAsia="en-US" w:bidi="ar-SA"/>
          </w:rPr>
          <w:t>[1956] S.C.R. 528</w:t>
        </w:r>
      </w:hyperlink>
      <w:r>
        <w:rPr>
          <w:rFonts w:ascii="arial" w:eastAsia="arial" w:hAnsi="arial" w:cs="arial"/>
          <w:color w:val="000000"/>
          <w:sz w:val="20"/>
          <w:lang w:val="en-US" w:eastAsia="en-US" w:bidi="ar-SA"/>
        </w:rPr>
        <w:t xml:space="preserve"> at 533.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 In </w:t>
      </w:r>
      <w:r>
        <w:rPr>
          <w:rFonts w:ascii="arial" w:eastAsia="arial" w:hAnsi="arial" w:cs="arial"/>
          <w:i/>
          <w:color w:val="000000"/>
          <w:sz w:val="20"/>
          <w:lang w:val="en-US" w:eastAsia="en-US" w:bidi="ar-SA"/>
        </w:rPr>
        <w:t>Nichols v. Gray</w:t>
      </w:r>
      <w:r>
        <w:rPr>
          <w:rFonts w:ascii="arial" w:eastAsia="arial" w:hAnsi="arial" w:cs="arial"/>
          <w:color w:val="000000"/>
          <w:sz w:val="20"/>
          <w:lang w:val="en-US" w:eastAsia="en-US" w:bidi="ar-SA"/>
        </w:rPr>
        <w:t xml:space="preserve"> </w:t>
      </w:r>
      <w:hyperlink r:id="rId221" w:history="1">
        <w:r>
          <w:rPr>
            <w:rFonts w:ascii="arial" w:eastAsia="arial" w:hAnsi="arial" w:cs="arial"/>
            <w:i/>
            <w:color w:val="0077CC"/>
            <w:sz w:val="20"/>
            <w:u w:val="single"/>
            <w:shd w:val="clear" w:color="auto" w:fill="FFFFFF"/>
            <w:lang w:val="en-US" w:eastAsia="en-US" w:bidi="ar-SA"/>
          </w:rPr>
          <w:t>(1978), 9 B.C.L.R. 5</w:t>
        </w:r>
      </w:hyperlink>
      <w:r>
        <w:rPr>
          <w:rFonts w:ascii="arial" w:eastAsia="arial" w:hAnsi="arial" w:cs="arial"/>
          <w:color w:val="000000"/>
          <w:sz w:val="20"/>
          <w:lang w:val="en-US" w:eastAsia="en-US" w:bidi="ar-SA"/>
        </w:rPr>
        <w:t xml:space="preserve"> (C.A.), Craig J.A. explained the plaintiff's entitlement to a jury in civil cases (at 10):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plaintiff is entitled to trial by jury, except in certain types of cases specified in the Rules, and he can be deprived of this right only if a party opposing a trial by jury establishes "clearly" that one of more of the exceptions in R. 39(20) [the predecessor to Rule 39(27)] is applicable. </w:t>
      </w:r>
      <w:r>
        <w:rPr>
          <w:rFonts w:ascii="arial" w:eastAsia="arial" w:hAnsi="arial" w:cs="arial"/>
          <w:i/>
          <w:color w:val="000000"/>
          <w:sz w:val="20"/>
          <w:lang w:val="en-US" w:eastAsia="en-US" w:bidi="ar-SA"/>
        </w:rPr>
        <w:t>McDonald v .Inland Natural Gas Co</w:t>
      </w:r>
      <w:r>
        <w:rPr>
          <w:rFonts w:ascii="arial" w:eastAsia="arial" w:hAnsi="arial" w:cs="arial"/>
          <w:color w:val="000000"/>
          <w:sz w:val="20"/>
          <w:lang w:val="en-US" w:eastAsia="en-US" w:bidi="ar-SA"/>
        </w:rPr>
        <w:t>. (1966), 57 W.W.R. 87 at 95.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 In </w:t>
      </w:r>
      <w:r>
        <w:rPr>
          <w:rFonts w:ascii="arial" w:eastAsia="arial" w:hAnsi="arial" w:cs="arial"/>
          <w:i/>
          <w:color w:val="000000"/>
          <w:sz w:val="20"/>
          <w:lang w:val="en-US" w:eastAsia="en-US" w:bidi="ar-SA"/>
        </w:rPr>
        <w:t>McDonald v. Inland Natural Gas Co</w:t>
      </w:r>
      <w:r>
        <w:rPr>
          <w:rFonts w:ascii="arial" w:eastAsia="arial" w:hAnsi="arial" w:cs="arial"/>
          <w:color w:val="000000"/>
          <w:sz w:val="20"/>
          <w:lang w:val="en-US" w:eastAsia="en-US" w:bidi="ar-SA"/>
        </w:rPr>
        <w:t>. (1966), 57 W.W.R.87 (B.C.C.A.), Branca J.A. commented at 95 that "while the right of a trial by jury goes back far and is imbedded deeply in the history of our law, and while a litigant is not to be deprived of that right unless he is clearly within an exception created by law, where such an exception applies, that right should be refused."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The onus is on the applicant seeking to set aside a jury notice to show that the party who selected trial by jury is not entitled to that mode of trial: </w:t>
      </w:r>
      <w:r>
        <w:rPr>
          <w:rFonts w:ascii="arial" w:eastAsia="arial" w:hAnsi="arial" w:cs="arial"/>
          <w:i/>
          <w:color w:val="000000"/>
          <w:sz w:val="20"/>
          <w:lang w:val="en-US" w:eastAsia="en-US" w:bidi="ar-SA"/>
        </w:rPr>
        <w:t>Creasy v. Sweny</w:t>
      </w:r>
      <w:r>
        <w:rPr>
          <w:rFonts w:ascii="arial" w:eastAsia="arial" w:hAnsi="arial" w:cs="arial"/>
          <w:color w:val="000000"/>
          <w:sz w:val="20"/>
          <w:lang w:val="en-US" w:eastAsia="en-US" w:bidi="ar-SA"/>
        </w:rPr>
        <w:t xml:space="preserve"> </w:t>
      </w:r>
      <w:hyperlink r:id="rId246" w:history="1">
        <w:r>
          <w:rPr>
            <w:rFonts w:ascii="arial" w:eastAsia="arial" w:hAnsi="arial" w:cs="arial"/>
            <w:i/>
            <w:color w:val="0077CC"/>
            <w:sz w:val="20"/>
            <w:u w:val="single"/>
            <w:shd w:val="clear" w:color="auto" w:fill="FFFFFF"/>
            <w:lang w:val="en-US" w:eastAsia="en-US" w:bidi="ar-SA"/>
          </w:rPr>
          <w:t>(1942), 57 B.C.R. 457</w:t>
        </w:r>
      </w:hyperlink>
      <w:r>
        <w:rPr>
          <w:rFonts w:ascii="arial" w:eastAsia="arial" w:hAnsi="arial" w:cs="arial"/>
          <w:color w:val="000000"/>
          <w:sz w:val="20"/>
          <w:lang w:val="en-US" w:eastAsia="en-US" w:bidi="ar-SA"/>
        </w:rPr>
        <w:t>, [1942] 3 W.W.R.457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Justice Griffin cites Mr. Justice Branca's decision in </w:t>
      </w:r>
      <w:r>
        <w:rPr>
          <w:rFonts w:ascii="arial" w:eastAsia="arial" w:hAnsi="arial" w:cs="arial"/>
          <w:i/>
          <w:color w:val="000000"/>
          <w:sz w:val="20"/>
          <w:lang w:val="en-US" w:eastAsia="en-US" w:bidi="ar-SA"/>
        </w:rPr>
        <w:t>McDonald</w:t>
      </w:r>
      <w:r>
        <w:rPr>
          <w:rFonts w:ascii="arial" w:eastAsia="arial" w:hAnsi="arial" w:cs="arial"/>
          <w:color w:val="000000"/>
          <w:sz w:val="20"/>
          <w:lang w:val="en-US" w:eastAsia="en-US" w:bidi="ar-SA"/>
        </w:rPr>
        <w:t>, who commented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while the right of a trial by jury goes back far and is imbedded deeply in the history of our law, and while a litigant is not to be deprived of that right unless he is clearly within an exception created by law, where such an exception applies, that right should be refused.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 considered what Mr. Justice Scarth wrote in </w:t>
      </w:r>
      <w:r>
        <w:rPr>
          <w:rFonts w:ascii="arial" w:eastAsia="arial" w:hAnsi="arial" w:cs="arial"/>
          <w:i/>
          <w:color w:val="000000"/>
          <w:sz w:val="20"/>
          <w:lang w:val="en-US" w:eastAsia="en-US" w:bidi="ar-SA"/>
        </w:rPr>
        <w:t>Forde v. Royal Inland Hospital</w:t>
      </w:r>
      <w:r>
        <w:rPr>
          <w:rFonts w:ascii="arial" w:eastAsia="arial" w:hAnsi="arial" w:cs="arial"/>
          <w:color w:val="000000"/>
          <w:sz w:val="20"/>
          <w:lang w:val="en-US" w:eastAsia="en-US" w:bidi="ar-SA"/>
        </w:rPr>
        <w:t xml:space="preserve">, </w:t>
      </w:r>
      <w:hyperlink r:id="rId247" w:history="1">
        <w:r>
          <w:rPr>
            <w:rFonts w:ascii="arial" w:eastAsia="arial" w:hAnsi="arial" w:cs="arial"/>
            <w:i/>
            <w:color w:val="0077CC"/>
            <w:sz w:val="20"/>
            <w:u w:val="single"/>
            <w:shd w:val="clear" w:color="auto" w:fill="FFFFFF"/>
            <w:lang w:val="en-US" w:eastAsia="en-US" w:bidi="ar-SA"/>
          </w:rPr>
          <w:t>2009 BCSC 254</w:t>
        </w:r>
      </w:hyperlink>
      <w:r>
        <w:rPr>
          <w:rFonts w:ascii="arial" w:eastAsia="arial" w:hAnsi="arial" w:cs="arial"/>
          <w:color w:val="000000"/>
          <w:sz w:val="20"/>
          <w:lang w:val="en-US" w:eastAsia="en-US" w:bidi="ar-SA"/>
        </w:rPr>
        <w:t>, especially paras. 15-17 where Scarth J. writes: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 On behalf of the plaintiff, Mr. Renaud submits that the onus resting on an applicant to strike out a jury notice is heavy. It is argued that the burden on a defendant in an application of this nature should be especially heavy because it is the plaintiff who carries the burden at trial and will not discharge that burden if the jury is confused.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 Mr. Renaud submits that the issues in this case are not of an intricate or complex character; rather, the key issues are simple factual findings that the jury will make. Further, Mr. Renaud says that both the factual and legal issues have been narrowed and simplified by the examinations for discovery. Of significance, it is argued, are the issues relating to human behaviour and human interaction.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The case is particularly suitable for a trial by jury, Mr. Renaud argues, because it will compel the medical experts to explain their opinions to lay people in understandable terms. Moreover, a trial by jury compels counsel to refine and simplify the issues for presentation to the trier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 note that Mr. Renaud was counsel on that case, and made essentially the same submission to me as is set out in paras. 16-17 of that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decision of the Nova Scotia Court of Appeal in </w:t>
      </w:r>
      <w:r>
        <w:rPr>
          <w:rFonts w:ascii="arial" w:eastAsia="arial" w:hAnsi="arial" w:cs="arial"/>
          <w:i/>
          <w:color w:val="000000"/>
          <w:sz w:val="20"/>
          <w:lang w:val="en-US" w:eastAsia="en-US" w:bidi="ar-SA"/>
        </w:rPr>
        <w:t>Anderson v. Cyr</w:t>
      </w:r>
      <w:r>
        <w:rPr>
          <w:rFonts w:ascii="arial" w:eastAsia="arial" w:hAnsi="arial" w:cs="arial"/>
          <w:color w:val="000000"/>
          <w:sz w:val="20"/>
          <w:lang w:val="en-US" w:eastAsia="en-US" w:bidi="ar-SA"/>
        </w:rPr>
        <w:t xml:space="preserve">, </w:t>
      </w:r>
      <w:hyperlink r:id="rId248" w:history="1">
        <w:r>
          <w:rPr>
            <w:rFonts w:ascii="arial" w:eastAsia="arial" w:hAnsi="arial" w:cs="arial"/>
            <w:i/>
            <w:color w:val="0077CC"/>
            <w:sz w:val="20"/>
            <w:u w:val="single"/>
            <w:shd w:val="clear" w:color="auto" w:fill="FFFFFF"/>
            <w:lang w:val="en-US" w:eastAsia="en-US" w:bidi="ar-SA"/>
          </w:rPr>
          <w:t>2014 NSCA 51</w:t>
        </w:r>
      </w:hyperlink>
      <w:r>
        <w:rPr>
          <w:rFonts w:ascii="arial" w:eastAsia="arial" w:hAnsi="arial" w:cs="arial"/>
          <w:color w:val="000000"/>
          <w:sz w:val="20"/>
          <w:lang w:val="en-US" w:eastAsia="en-US" w:bidi="ar-SA"/>
        </w:rPr>
        <w:t>, written by Mr. Justice Farrar, was of assistance. Paragraphs 58-59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[58] Saunders J. (as he then was) in Crocker v. MacDonald and Myrden (No. 2) </w:t>
      </w:r>
      <w:hyperlink r:id="rId249" w:history="1">
        <w:r>
          <w:rPr>
            <w:rFonts w:ascii="arial" w:eastAsia="arial" w:hAnsi="arial" w:cs="arial"/>
            <w:i/>
            <w:color w:val="0077CC"/>
            <w:sz w:val="20"/>
            <w:u w:val="single"/>
            <w:shd w:val="clear" w:color="auto" w:fill="FFFFFF"/>
            <w:lang w:val="en-US" w:eastAsia="en-US" w:bidi="ar-SA"/>
          </w:rPr>
          <w:t>(1992), 116 N.S.R. (2d) 184</w:t>
        </w:r>
      </w:hyperlink>
      <w:r>
        <w:rPr>
          <w:rFonts w:ascii="arial" w:eastAsia="arial" w:hAnsi="arial" w:cs="arial"/>
          <w:color w:val="000000"/>
          <w:sz w:val="20"/>
          <w:lang w:val="en-US" w:eastAsia="en-US" w:bidi="ar-SA"/>
        </w:rPr>
        <w:t xml:space="preserve"> (T.D.) noted how the jurisprudence with respect to scientific or technical evidence has changed in Nova Scotia with respect to the striking of jury notices. Referring to Chief Justice Chisholm's observation in 1933 in </w:t>
      </w:r>
      <w:r>
        <w:rPr>
          <w:rFonts w:ascii="arial" w:eastAsia="arial" w:hAnsi="arial" w:cs="arial"/>
          <w:i/>
          <w:color w:val="000000"/>
          <w:sz w:val="20"/>
          <w:lang w:val="en-US" w:eastAsia="en-US" w:bidi="ar-SA"/>
        </w:rPr>
        <w:t>Marshall, supra</w:t>
      </w:r>
      <w:r>
        <w:rPr>
          <w:rFonts w:ascii="arial" w:eastAsia="arial" w:hAnsi="arial" w:cs="arial"/>
          <w:color w:val="000000"/>
          <w:sz w:val="20"/>
          <w:lang w:val="en-US" w:eastAsia="en-US" w:bidi="ar-SA"/>
        </w:rPr>
        <w:t>, that a scientific investigation cannot be conveniently made by a jury, he held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 I think it may be said that the sweep of this statement made 30 years ago has been somewhat tempered over time. Simply because the issues raised in the pleadings and evidence presented at trial necessitate an inquiry into the science of a subject or which would be described as "scientific" should not mean that a jury is incapable of understanding it. Experience has shown that juries are well equipped to determine medical malpractice cases or other actions involving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similarly intricate subjects and issues.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[59] In </w:t>
      </w:r>
      <w:r>
        <w:rPr>
          <w:rFonts w:ascii="arial" w:eastAsia="arial" w:hAnsi="arial" w:cs="arial"/>
          <w:i/>
          <w:color w:val="000000"/>
          <w:sz w:val="20"/>
          <w:lang w:val="en-US" w:eastAsia="en-US" w:bidi="ar-SA"/>
        </w:rPr>
        <w:t>Anderson v. QEII Health Sciences Centre</w:t>
      </w:r>
      <w:r>
        <w:rPr>
          <w:rFonts w:ascii="arial" w:eastAsia="arial" w:hAnsi="arial" w:cs="arial"/>
          <w:color w:val="000000"/>
          <w:sz w:val="20"/>
          <w:lang w:val="en-US" w:eastAsia="en-US" w:bidi="ar-SA"/>
        </w:rPr>
        <w:t xml:space="preserve">, </w:t>
      </w:r>
      <w:hyperlink r:id="rId250" w:history="1">
        <w:r>
          <w:rPr>
            <w:rFonts w:ascii="arial" w:eastAsia="arial" w:hAnsi="arial" w:cs="arial"/>
            <w:i/>
            <w:color w:val="0077CC"/>
            <w:sz w:val="20"/>
            <w:u w:val="single"/>
            <w:shd w:val="clear" w:color="auto" w:fill="FFFFFF"/>
            <w:lang w:val="en-US" w:eastAsia="en-US" w:bidi="ar-SA"/>
          </w:rPr>
          <w:t>2009 NSSC 242</w:t>
        </w:r>
      </w:hyperlink>
      <w:r>
        <w:rPr>
          <w:rFonts w:ascii="arial" w:eastAsia="arial" w:hAnsi="arial" w:cs="arial"/>
          <w:color w:val="000000"/>
          <w:sz w:val="20"/>
          <w:lang w:val="en-US" w:eastAsia="en-US" w:bidi="ar-SA"/>
        </w:rPr>
        <w:t>, Justice MacAdam stated: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[35] ... I am not persuaded that given sufficient time, and an opportunity to revisit areas of uncertainty, a jury of seven is not in as good a position to examine, weigh and determine scientific or any other issues, as a judge sitting alone. On what basis a judge, untrained in the scientific or technical area under review, is better qualified to determine whether a person with education and training related to the particular scientific or technical area in question, has acted properly or improperly, is unclear. Nothing in the submissions of counsel, particularly counsel for the individual defendants, satisfies me that this is either probable, or even a serious possibility.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Allen v. Le Roux</w:t>
      </w:r>
      <w:r>
        <w:rPr>
          <w:rFonts w:ascii="arial" w:eastAsia="arial" w:hAnsi="arial" w:cs="arial"/>
          <w:color w:val="000000"/>
          <w:sz w:val="20"/>
          <w:lang w:val="en-US" w:eastAsia="en-US" w:bidi="ar-SA"/>
        </w:rPr>
        <w:t xml:space="preserve">, Vancouver Registry S121698, Master Baker gave oral reasons for judgment. He dismissed an application to strike in a medical malpractice case where there were many more parties than in this case. He reviewed the evidence in paras. 18-23, and then at paras. 32-33. In para. 33, he said, "I will not guild the lily and carry on, but that and what else he says in that paragraph is, I think, applicable... " . He is referring to McEwan J.'s decision in </w:t>
      </w:r>
      <w:r>
        <w:rPr>
          <w:rFonts w:ascii="arial" w:eastAsia="arial" w:hAnsi="arial" w:cs="arial"/>
          <w:i/>
          <w:color w:val="000000"/>
          <w:sz w:val="20"/>
          <w:lang w:val="en-US" w:eastAsia="en-US" w:bidi="ar-SA"/>
        </w:rPr>
        <w:t>Renaerts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With that background of the law, I have reviewed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Renaud has satisfied me that a chronology will lead to an understanding of the sequential events, very few of which seem to have occurred in any concurrent way. Concurrent events make fact determination a little more complex or multifactorial. Here, events seem to have occurred in quite a sequential way. The record seems fairly clear. The charting, on my review of what I saw today, looks fairly clear. .I think I know about as much (or as little) of medical practice in charting as a jury member would. Following the charting does not seem more challenging for a jury. That sort of sequential chronology appears to be present in this case, and is as easily understood by a jury as by a judge, I would think.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This case involves one plaintiff and two defendants, both obstetricians. The documentation is similar to what McEachern C.J.S.C. writes in </w:t>
      </w:r>
      <w:r>
        <w:rPr>
          <w:rFonts w:ascii="arial" w:eastAsia="arial" w:hAnsi="arial" w:cs="arial"/>
          <w:i/>
          <w:color w:val="000000"/>
          <w:sz w:val="20"/>
          <w:lang w:val="en-US" w:eastAsia="en-US" w:bidi="ar-SA"/>
        </w:rPr>
        <w:t>Wipfli</w:t>
      </w:r>
      <w:r>
        <w:rPr>
          <w:rFonts w:ascii="arial" w:eastAsia="arial" w:hAnsi="arial" w:cs="arial"/>
          <w:color w:val="000000"/>
          <w:sz w:val="20"/>
          <w:lang w:val="en-US" w:eastAsia="en-US" w:bidi="ar-SA"/>
        </w:rPr>
        <w:t>, at para. 18, where it is somewhat voluminous -- and I think he is talking about the primary documentation and not the expert reports -- but not remotely what is often -- this is my observations, not McEachern J.'s -- it is not remotely voluminous compared to what is often seen in complex construction cases, and more importantly will not likely require a prolonged examination. I am talking about the primary documentation.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competing expert reports are set out in the Notice of Application, at paragraph 8, and I have reviewed them. They were attached to the Sherman affidavit. The claims against the nurses are resolved. There are four experts on obstetric standard of care, possibly Dr. Farmer on general practice standard of care, plus five other causation witnesses, neonatology causation, a paediatric neuroradiology causation, and a paediatric neurology causation linked to damages. There are also competing witnesses on life expectancy, psychology, psychiatry, neuropsychiatry, rehabilitation medicine, speech pathology, occupational therapy and economists.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Without wishing to over-simplify, all of those kinds of experts are often used in most complex personal injury cases and those are often set before juries with those competing issues and competing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One of the key factors in this case, and a significant factor to me, is that there are no third parties. Another key factor is that there is really one standard of care, the standard of care of a reasonably competent obstetrician.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was directed to opinions contained in the many expert reports attached to the Sherman affidavit. I do not propose to recite from those reports, but I have reviewed them. They contain conflicting opinions on various issues respecting liability, causation and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As a general comment, it seems to me that the differences in the various opinions can be explored by cross-examination in a manner which is as likely to be understood and intelligible by a juror as by a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All of the cases relied on by the defendants appear to present more complexities than this one. In </w:t>
      </w:r>
      <w:r>
        <w:rPr>
          <w:rFonts w:ascii="arial" w:eastAsia="arial" w:hAnsi="arial" w:cs="arial"/>
          <w:i/>
          <w:color w:val="000000"/>
          <w:sz w:val="20"/>
          <w:lang w:val="en-US" w:eastAsia="en-US" w:bidi="ar-SA"/>
        </w:rPr>
        <w:t>Andersen</w:t>
      </w:r>
      <w:r>
        <w:rPr>
          <w:rFonts w:ascii="arial" w:eastAsia="arial" w:hAnsi="arial" w:cs="arial"/>
          <w:color w:val="000000"/>
          <w:sz w:val="20"/>
          <w:lang w:val="en-US" w:eastAsia="en-US" w:bidi="ar-SA"/>
        </w:rPr>
        <w:t xml:space="preserve">, there was a multiplicity of parties, a multiplicity of standards of care, and apparently novel applications of the law. In </w:t>
      </w:r>
      <w:r>
        <w:rPr>
          <w:rFonts w:ascii="arial" w:eastAsia="arial" w:hAnsi="arial" w:cs="arial"/>
          <w:i/>
          <w:color w:val="000000"/>
          <w:sz w:val="20"/>
          <w:lang w:val="en-US" w:eastAsia="en-US" w:bidi="ar-SA"/>
        </w:rPr>
        <w:t>Clower</w:t>
      </w:r>
      <w:r>
        <w:rPr>
          <w:rFonts w:ascii="arial" w:eastAsia="arial" w:hAnsi="arial" w:cs="arial"/>
          <w:color w:val="000000"/>
          <w:sz w:val="20"/>
          <w:lang w:val="en-US" w:eastAsia="en-US" w:bidi="ar-SA"/>
        </w:rPr>
        <w:t xml:space="preserve">, there were three plaintiffs. I have already commented on Truscott J.'s views. In </w:t>
      </w:r>
      <w:r>
        <w:rPr>
          <w:rFonts w:ascii="arial" w:eastAsia="arial" w:hAnsi="arial" w:cs="arial"/>
          <w:i/>
          <w:color w:val="000000"/>
          <w:sz w:val="20"/>
          <w:lang w:val="en-US" w:eastAsia="en-US" w:bidi="ar-SA"/>
        </w:rPr>
        <w:t>Ediger</w:t>
      </w:r>
      <w:r>
        <w:rPr>
          <w:rFonts w:ascii="arial" w:eastAsia="arial" w:hAnsi="arial" w:cs="arial"/>
          <w:color w:val="000000"/>
          <w:sz w:val="20"/>
          <w:lang w:val="en-US" w:eastAsia="en-US" w:bidi="ar-SA"/>
        </w:rPr>
        <w:t>, the plaintiff agreed that the issues were of an intricate and complex character.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Here counsel for the plaintiff has submitted to me with some force, which I accept, the facts are not overly complex. The "plethora of conflicting evidence" in </w:t>
      </w:r>
      <w:r>
        <w:rPr>
          <w:rFonts w:ascii="arial" w:eastAsia="arial" w:hAnsi="arial" w:cs="arial"/>
          <w:i/>
          <w:color w:val="000000"/>
          <w:sz w:val="20"/>
          <w:lang w:val="en-US" w:eastAsia="en-US" w:bidi="ar-SA"/>
        </w:rPr>
        <w:t>Ediger</w:t>
      </w:r>
      <w:r>
        <w:rPr>
          <w:rFonts w:ascii="arial" w:eastAsia="arial" w:hAnsi="arial" w:cs="arial"/>
          <w:color w:val="000000"/>
          <w:sz w:val="20"/>
          <w:lang w:val="en-US" w:eastAsia="en-US" w:bidi="ar-SA"/>
        </w:rPr>
        <w:t xml:space="preserve"> included the difficult issue of apportionment of damage as a factor, which is not going to be as complex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Forbes</w:t>
      </w:r>
      <w:r>
        <w:rPr>
          <w:rFonts w:ascii="arial" w:eastAsia="arial" w:hAnsi="arial" w:cs="arial"/>
          <w:color w:val="000000"/>
          <w:sz w:val="20"/>
          <w:lang w:val="en-US" w:eastAsia="en-US" w:bidi="ar-SA"/>
        </w:rPr>
        <w:t xml:space="preserve">, there were numerous parties, including third party issues not present here. In </w:t>
      </w:r>
      <w:r>
        <w:rPr>
          <w:rFonts w:ascii="arial" w:eastAsia="arial" w:hAnsi="arial" w:cs="arial"/>
          <w:i/>
          <w:color w:val="000000"/>
          <w:sz w:val="20"/>
          <w:lang w:val="en-US" w:eastAsia="en-US" w:bidi="ar-SA"/>
        </w:rPr>
        <w:t>Forliti</w:t>
      </w:r>
      <w:r>
        <w:rPr>
          <w:rFonts w:ascii="arial" w:eastAsia="arial" w:hAnsi="arial" w:cs="arial"/>
          <w:color w:val="000000"/>
          <w:sz w:val="20"/>
          <w:lang w:val="en-US" w:eastAsia="en-US" w:bidi="ar-SA"/>
        </w:rPr>
        <w:t xml:space="preserve">, there were numerous parties and third party issues and the same in </w:t>
      </w:r>
      <w:r>
        <w:rPr>
          <w:rFonts w:ascii="arial" w:eastAsia="arial" w:hAnsi="arial" w:cs="arial"/>
          <w:i/>
          <w:color w:val="000000"/>
          <w:sz w:val="20"/>
          <w:lang w:val="en-US" w:eastAsia="en-US" w:bidi="ar-SA"/>
        </w:rPr>
        <w:t>Steinebach</w:t>
      </w:r>
      <w:r>
        <w:rPr>
          <w:rFonts w:ascii="arial" w:eastAsia="arial" w:hAnsi="arial" w:cs="arial"/>
          <w:color w:val="000000"/>
          <w:sz w:val="20"/>
          <w:lang w:val="en-US" w:eastAsia="en-US" w:bidi="ar-SA"/>
        </w:rPr>
        <w:t xml:space="preserve">. I agree that some of what ArnoldBailey J. decided in </w:t>
      </w:r>
      <w:r>
        <w:rPr>
          <w:rFonts w:ascii="arial" w:eastAsia="arial" w:hAnsi="arial" w:cs="arial"/>
          <w:i/>
          <w:color w:val="000000"/>
          <w:sz w:val="20"/>
          <w:lang w:val="en-US" w:eastAsia="en-US" w:bidi="ar-SA"/>
        </w:rPr>
        <w:t>Gulamani</w:t>
      </w:r>
      <w:r>
        <w:rPr>
          <w:rFonts w:ascii="arial" w:eastAsia="arial" w:hAnsi="arial" w:cs="arial"/>
          <w:color w:val="000000"/>
          <w:sz w:val="20"/>
          <w:lang w:val="en-US" w:eastAsia="en-US" w:bidi="ar-SA"/>
        </w:rPr>
        <w:t xml:space="preserve">, as cited by Abrioux J. in </w:t>
      </w:r>
      <w:r>
        <w:rPr>
          <w:rFonts w:ascii="arial" w:eastAsia="arial" w:hAnsi="arial" w:cs="arial"/>
          <w:i/>
          <w:color w:val="000000"/>
          <w:sz w:val="20"/>
          <w:lang w:val="en-US" w:eastAsia="en-US" w:bidi="ar-SA"/>
        </w:rPr>
        <w:t>Moll</w:t>
      </w:r>
      <w:r>
        <w:rPr>
          <w:rFonts w:ascii="arial" w:eastAsia="arial" w:hAnsi="arial" w:cs="arial"/>
          <w:color w:val="000000"/>
          <w:sz w:val="20"/>
          <w:lang w:val="en-US" w:eastAsia="en-US" w:bidi="ar-SA"/>
        </w:rPr>
        <w:t>, seems potentially analogous. Some of what defendants' counsel has set out in his "Questions for Trier of Fact" certainly contain complexity. The evidence before Arnold-Bailey J. seems to have demonstrated a greater complexity than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 trial by judge and jury is a presumptive right. I find that the issues here do not require prolonged examination of documents or accounts that cannot be made conveniently by a jury. They do require some scientific investigations and, though serious, are not in my view sufficiently intricate or complex to displace the presumptive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There will be some extra time set out for the actual trial, but that is not disproportionate to the amount involved here. Damages, if liability is found, will be significant.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Accordingly, the application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Costs to the plaintiff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R. McDIARMID</w:t>
      </w:r>
      <w:r>
        <w:rPr>
          <w:rFonts w:ascii="arial" w:eastAsia="arial" w:hAnsi="arial" w:cs="arial"/>
          <w:sz w:val="20"/>
          <w:lang w:val="en-US" w:eastAsia="en-US" w:bidi="ar-SA"/>
        </w:rPr>
        <w:cr/>
      </w:r>
    </w:p>
    <w:p>
      <w:pPr>
        <w:spacing w:line="260" w:lineRule="atLeast"/>
        <w:ind w:left="2520"/>
        <w:rPr>
          <w:rFonts w:ascii="arial" w:eastAsia="arial" w:hAnsi="arial" w:cs="arial"/>
          <w:sz w:val="20"/>
          <w:lang w:val="en-US" w:eastAsia="en-US" w:bidi="ar-SA"/>
        </w:rPr>
      </w:pP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Appendix 1</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Court File No.: S164014</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Court Registry: Vancouver</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THE SUPREME COURT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BETWEEN: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AUSTIN GLAD WELL, an infant by his litigation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guardian ANGELA MARIE GLAD WELL</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ANGELA V. BUSLETTA, DR. RUTH 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ABRAHAMS, FRASER HEALTH AUTHORITY</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operating a public hospital under the</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name LANGLEY MEMORIAL HOSPITAL, M.</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KNIGHT, T. JANTZEN, L. CLEGG, J. MADSEN,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 McGILL, JUNE SIMPSON, M. FAIRLY,</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JOHN DOE and/or JANE DOE #1 and #2</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DEFENDANTS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QUESTIONS FOR TRIER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Threshold Causation Issue</w:t>
      </w:r>
      <w:r>
        <w:rPr>
          <w:rFonts w:ascii="arial" w:eastAsia="arial" w:hAnsi="arial" w:cs="arial"/>
          <w:sz w:val="20"/>
          <w:lang w:val="en-US" w:eastAsia="en-US" w:bidi="ar-SA"/>
        </w:rPr>
        <w:cr/>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Austin suffer an intrapartum hypoxic ischemic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Dr. Abrahams</w:t>
      </w:r>
      <w:r>
        <w:rPr>
          <w:rFonts w:ascii="arial" w:eastAsia="arial" w:hAnsi="arial" w:cs="arial"/>
          <w:sz w:val="20"/>
          <w:lang w:val="en-US" w:eastAsia="en-US" w:bidi="ar-SA"/>
        </w:rPr>
        <w:cr/>
      </w:r>
    </w:p>
    <w:p>
      <w:pPr>
        <w:numPr>
          <w:numId w:val="3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Dr. Abrahams breach the standard of care:</w:t>
      </w:r>
    </w:p>
    <w:p>
      <w:pPr>
        <w:numPr>
          <w:numId w:val="3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By failing to offer Mrs. Gladwell an elective c-section prior to her induction?</w:t>
      </w:r>
    </w:p>
    <w:p>
      <w:pPr>
        <w:numPr>
          <w:numId w:val="3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By failing to offer Mrs. Gladwell a c-section at any point after her induction?</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Dr. Abrahams had offered a c-section at either of these points in time would a reasonable person in the position of Mrs. Gladwell have proceeded with a c-section?</w:t>
      </w:r>
    </w:p>
    <w:p>
      <w:pPr>
        <w:numPr>
          <w:numId w:val="39"/>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If Mrs. Gladwell had undergone a c-section at either of these points in time would Austin's brain injury have been avoided or substantially reduced?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Dr. Busletta</w:t>
      </w:r>
      <w:r>
        <w:rPr>
          <w:rFonts w:ascii="arial" w:eastAsia="arial" w:hAnsi="arial" w:cs="arial"/>
          <w:sz w:val="20"/>
          <w:lang w:val="en-US" w:eastAsia="en-US" w:bidi="ar-SA"/>
        </w:rPr>
        <w:cr/>
      </w:r>
    </w:p>
    <w:p>
      <w:pPr>
        <w:numPr>
          <w:numId w:val="40"/>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Did Dr. Busletta breach the standard of care:</w:t>
      </w:r>
    </w:p>
    <w:p>
      <w:pPr>
        <w:numPr>
          <w:numId w:val="41"/>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At or around 09:00 by failing to take steps to "normalize the pattern, prove fetal well-being, or deliver the baby"?</w:t>
      </w:r>
    </w:p>
    <w:p>
      <w:pPr>
        <w:numPr>
          <w:numId w:val="42"/>
        </w:numPr>
        <w:tabs>
          <w:tab w:val="clear" w:pos="184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If Dr. Busletta had normalized the pattern, proven fetal well-being or delivered, would Austin's brain injury have been avoided or substantially reduced?</w:t>
      </w:r>
    </w:p>
    <w:p>
      <w:pPr>
        <w:numPr>
          <w:numId w:val="4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At or by 10:20 by failing to:</w:t>
      </w:r>
    </w:p>
    <w:p>
      <w:pPr>
        <w:numPr>
          <w:numId w:val="44"/>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expedite delivery either by vaginal instrumentation or by c-section?</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Dr. Busletta had expedited delivery by vaginal instrumentation would Austin's brain injury have been avoided or substantially reduced?</w:t>
      </w:r>
    </w:p>
    <w:p>
      <w:pPr>
        <w:numPr>
          <w:numId w:val="46"/>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If Dr. Busletta had offered a c-section at this point in time would a reasonable person in the position of Mrs. Gladwell have proceeded with a c section?</w:t>
      </w:r>
    </w:p>
    <w:p>
      <w:pPr>
        <w:numPr>
          <w:numId w:val="4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If Mrs. Gladwell had undergone a c-section at this point in time would Austin's brain injury have been avoided or substantially reduced?</w:t>
      </w:r>
    </w:p>
    <w:p>
      <w:pPr>
        <w:numPr>
          <w:numId w:val="48"/>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call the operating room to forewarn them of an impending need for an immediate delivery and to have arranged coverage from anesthesia and pediatrics for an immediate vaginal or cesarean delivery?</w:t>
      </w:r>
    </w:p>
    <w:p>
      <w:pPr>
        <w:numPr>
          <w:numId w:val="4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Dr. Busletta had called the OR to forewarn them of an impending need for immediate delivery and arranged coverage from anesthesia and pediatrics, would Austin's brain injury have been avoided or substantially reduced?</w:t>
      </w:r>
    </w:p>
    <w:p>
      <w:pPr>
        <w:numPr>
          <w:numId w:val="50"/>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At or around 1130 by failing to properly advise Mrs. Gladwell of the risks of a vacuum-assisted delivery?</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Dr. Busletta failed to properly advise Mrs. Gladwell of the risks of a vacuum-assisted delivery, would a reasonable person in the position of Mrs. Gladwell, if properly advised of the risks, have proceeded with the vacuum-assisted delivery?</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Dr. Busletta had offered a c-section at this point in time would a reasonable person in the position of Mrs. Gladwell have proceeded with a c-section?</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Mrs. Gladwell had undergone a c-section at this point in time would Austin's brain injury have been avoided or substantially reduced?</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failing to abandon the vacuum-assisted delivery:</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seeing the response of the fetus to the initial traction?</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failing to deliver the fetus in the first four pulls?</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Dr. Busletta had abandoned the vacuum-assisted delivery at either of these points in time, what alternatives were available to Dr. Busletta?</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were the risks associated with the alternatives and if presented with those risks what procedure would a reasonable person in the position of Mrs. Gladwell have elected?</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Mrs. Gladwell had elected an alternative at either of these points in time would Austin's brain injury have been avoided or substantially reduced?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Apportionment</w:t>
      </w:r>
      <w:r>
        <w:rPr>
          <w:rFonts w:ascii="arial" w:eastAsia="arial" w:hAnsi="arial" w:cs="arial"/>
          <w:sz w:val="20"/>
          <w:lang w:val="en-US" w:eastAsia="en-US" w:bidi="ar-SA"/>
        </w:rPr>
        <w:cr/>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Dr. Abrahams and Dr. Busletta breached the standard of care and their breaches) caused or contributed to Austin's brain injury, to what extent did their conduct depart from the standard of care and what is an appropriate apportionment of fault between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Threshold Issues</w:t>
      </w:r>
      <w:r>
        <w:rPr>
          <w:rFonts w:ascii="arial" w:eastAsia="arial" w:hAnsi="arial" w:cs="arial"/>
          <w:sz w:val="20"/>
          <w:lang w:val="en-US" w:eastAsia="en-US" w:bidi="ar-SA"/>
        </w:rPr>
        <w:cr/>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What would Austin's prognosis have been in the absence of any established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defendants?</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Austin's prognosis now?</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Austin's life expectancy?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Heads of Damages</w:t>
      </w:r>
      <w:r>
        <w:rPr>
          <w:rFonts w:ascii="arial" w:eastAsia="arial" w:hAnsi="arial" w:cs="arial"/>
          <w:sz w:val="20"/>
          <w:lang w:val="en-US" w:eastAsia="en-US" w:bidi="ar-SA"/>
        </w:rPr>
        <w:cr/>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are Austin's non-pecuniary damages?</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Austin's loss of earning capacity?</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are Austin's care needs?</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are Austin's special damages?</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an appropriate in-trust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All of which is respectfully submitted.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Date: 22 August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HARPER GREY LLP</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(Per Cameron B. Elder)</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Lawyer for Drs. Abrahams and Busletta</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4" style="position:absolute;z-index:2517688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51"/>
          <w:headerReference w:type="default" r:id="rId252"/>
          <w:footerReference w:type="even" r:id="rId253"/>
          <w:footerReference w:type="default" r:id="rId254"/>
          <w:headerReference w:type="first" r:id="rId255"/>
          <w:footerReference w:type="first" r:id="rId25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57" w:history="1">
        <w:r>
          <w:rPr>
            <w:rFonts w:ascii="arial" w:eastAsia="arial" w:hAnsi="arial" w:cs="arial"/>
            <w:b/>
            <w:bCs/>
            <w:i/>
            <w:color w:val="0077CC"/>
            <w:kern w:val="32"/>
            <w:sz w:val="28"/>
            <w:szCs w:val="32"/>
            <w:u w:val="single"/>
            <w:shd w:val="clear" w:color="auto" w:fill="FFFFFF"/>
            <w:lang w:val="en-US" w:eastAsia="en-US" w:bidi="ar-SA"/>
          </w:rPr>
          <w:t>Hoessmann Estate v. Aldergrove Credit Union, [2018] B.C.J. No. 303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K.W. Ball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19,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22,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S134593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303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256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Janet Jasmine Hoessmann, Executor of the Estate of Karl Oskar Hoessmann, Plaintiff, and Aldergrove Credit Union and Devnor Developments,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(107 paras.)</w:t>
      </w:r>
    </w:p>
    <w:p>
      <w:pPr>
        <w:jc w:val="both"/>
        <w:rPr>
          <w:rFonts w:ascii="arial" w:eastAsia="arial" w:hAnsi="arial" w:cs="arial"/>
          <w:sz w:val="20"/>
          <w:lang w:val="en-US" w:eastAsia="en-US" w:bidi="ar-SA"/>
        </w:rPr>
      </w:pPr>
      <w:bookmarkStart w:id="34" w:name="Counsel_8"/>
      <w:bookmarkEnd w:id="3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5" style="position:absolute;z-index:251668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Janet Hoessmann (Appearing in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Aldergrove Credit Union: J. Goheen.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5" w:name="Judgment_8"/>
      <w:bookmarkEnd w:id="35"/>
      <w:r>
        <w:pict>
          <v:line id="_x0000_s1056" style="position:absolute;z-index:25171968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6" w:name="K.W. BALL J."/>
            <w:bookmarkEnd w:id="36"/>
            <w:r>
              <w:rPr>
                <w:rFonts w:ascii="arial" w:eastAsia="arial" w:hAnsi="arial" w:cs="arial"/>
                <w:b/>
                <w:color w:val="000000"/>
                <w:sz w:val="30"/>
                <w:lang w:val="en-US" w:eastAsia="en-US" w:bidi="ar-SA"/>
              </w:rPr>
              <w:t>K.W. BALL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application comes in the context of a number of proceedings involving the estate of Karl Oskar Hoessmann. The respective matters have had a long and tortured history as will be reviewed in more detail below. However, a high-level overview is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deceased was survived by one daughter, two sons, and an estranged spouse. The deceased's will named the plaintiff in this action, Janet Jasmine Hoessmann, as executor of the estate. The plaintiff had lived with her father on the family property (the "Property"). After his passing, she sought to remain in the home, but failed to maintain mortgage payments. While the specifics are set out below, the defendant, Aldergrove Credit Union ("ACU"), ultimately commenced foreclosure proceedings against the estate, and was granted an order </w:t>
      </w:r>
      <w:r>
        <w:rPr>
          <w:rFonts w:ascii="arial" w:eastAsia="arial" w:hAnsi="arial" w:cs="arial"/>
          <w:i/>
          <w:color w:val="000000"/>
          <w:sz w:val="20"/>
          <w:lang w:val="en-US" w:eastAsia="en-US" w:bidi="ar-SA"/>
        </w:rPr>
        <w:t>nisi</w:t>
      </w:r>
      <w:r>
        <w:rPr>
          <w:rFonts w:ascii="arial" w:eastAsia="arial" w:hAnsi="arial" w:cs="arial"/>
          <w:color w:val="000000"/>
          <w:sz w:val="20"/>
          <w:lang w:val="en-US" w:eastAsia="en-US" w:bidi="ar-SA"/>
        </w:rPr>
        <w:t xml:space="preserve"> with a six month redemption period on May 17, 2012. The Property was sold pursuant to a court order when the mortgage in default was not redeemed before the redemption period expired. A number of appeals by the plaintiff were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Meanwhile, the plaintiff's brothers had commenced a wills variation action. The will of Karl Oskar Hoessmann was varied, and as part of those proceedings, Ms. Hoessmann was removed as executor of the estate on September 27,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Notice of Civil Claim in this action was filed on June 18, 2013 by the plaintiff. Claims are made against ACU, and Devnor Developments ("Devnor"), the ultimate purchaser of the Property. The claims are apparently on behalf of the estate for the loss caused by the foreclosure.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Application 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ACU applies to dismiss this action pursuant to Rules 9-5 and 9-7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The defendant further seeks special costs coupled with an order that the plaintiff be designated a vexatious litigant not permitted to bring any further action or proceedings in this Court without first obtaining leave of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ACU submits that the Court should grant the relief sought pursuant to Rule 9-5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as the present proceedings are barred by the doctrines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and collateral attack.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In the alternative, ACU seeks dismissal of any claims not covered by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or collateral attack on the merits pursuant to a summary trial proceeding under Rule 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Hearing of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At the opening of this chambers application, the plaintiff applied for the Court to recuse itself. The basis for the recusal application was that the same judge made an order in 2012 to allow ACU to market the Property, subject of the mortgage which was being foreclosed, and where the redemption period had already expired. The Court dismissed the recusal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Thereafter, the plaintiff requested an adjournment for the purpose of obtaining a different judge. That application was also refused. The plaintiff then advised the Court that she intended to leave the courtroom. The Court advised the plaintiff that the application would continue in her absence. The application was heard with submissions only from counsel for ACU.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Style of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While the style of cause in this action - commenced in early 2013 - presently refers to the plaintiff as the executor of the late Mr. Hoessmann's estate, by order of McKinnon J. pronounced on September 27, 2013, she was replaced as the executor of the estate by Solus Trust Company Limited ("Solus"). In the Reasons for Judgment of McKinnon J., it is noted at para. 7 that probate was granted to the plaintiff by order of Masuhara J., on November 16, 2011. However, no probate fees were ever paid, and no Letters Probate were actually issued.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Solus has declined to participate in this action and takes no position on the application brought by ACU. The legal effect of the removal of Ms. Hoessmann as executrix of the estate, which is virtually determinative of this application, will be discussed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With respect to Devnor, the action was dismissed by Koenigsberg J. on an application on October 29, 2013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Chronology in Pre-Foreclosure Time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commenced this action in the Vancouver Registry under No. S-134593. A number of paragraphs contained in the Notice of Civil Claim refer to the period prior to the commencement of the foreclosure proceeding. Initially there were insufficient funds in the estate bank account to pay even three monthly payments on the mortgage. Thereafter, the plaintiff made a loan application for the purpose of helping to pay mortgage payments and pay her living expenses until she found employment. The loan application demonstrated that the plaintiff had no current employment, gross income of $1.00 per annum, net worth of $34.57, and a credit record replete with failures to pay several credit accounts which had been closed and written off for failures to pay.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will of Karl Oskar Hoessmann (the "Will"), a copy of which was presented to ACU by the plaintiff, was a hand written fill-in-the-blanks type of form, which provided incomplete instructions for the distribution of his estate and was not witnessed by two witnesses in the presence of one another. The Will was not made in compliance with the </w:t>
      </w:r>
      <w:r>
        <w:rPr>
          <w:rFonts w:ascii="arial" w:eastAsia="arial" w:hAnsi="arial" w:cs="arial"/>
          <w:i/>
          <w:color w:val="000000"/>
          <w:sz w:val="20"/>
          <w:lang w:val="en-US" w:eastAsia="en-US" w:bidi="ar-SA"/>
        </w:rPr>
        <w:t>Wills Act</w:t>
      </w:r>
      <w:r>
        <w:rPr>
          <w:rFonts w:ascii="arial" w:eastAsia="arial" w:hAnsi="arial" w:cs="arial"/>
          <w:color w:val="000000"/>
          <w:sz w:val="20"/>
          <w:lang w:val="en-US" w:eastAsia="en-US" w:bidi="ar-SA"/>
        </w:rPr>
        <w:t xml:space="preserve">, </w:t>
      </w:r>
      <w:hyperlink r:id="rId258" w:history="1">
        <w:r>
          <w:rPr>
            <w:rFonts w:ascii="arial" w:eastAsia="arial" w:hAnsi="arial" w:cs="arial"/>
            <w:i/>
            <w:color w:val="0077CC"/>
            <w:sz w:val="20"/>
            <w:u w:val="single"/>
            <w:shd w:val="clear" w:color="auto" w:fill="FFFFFF"/>
            <w:lang w:val="en-US" w:eastAsia="en-US" w:bidi="ar-SA"/>
          </w:rPr>
          <w:t>R.S.B.C. 1996, c. 489</w:t>
        </w:r>
      </w:hyperlink>
      <w:r>
        <w:rPr>
          <w:rFonts w:ascii="arial" w:eastAsia="arial" w:hAnsi="arial" w:cs="arial"/>
          <w:color w:val="000000"/>
          <w:sz w:val="20"/>
          <w:lang w:val="en-US" w:eastAsia="en-US" w:bidi="ar-SA"/>
        </w:rPr>
        <w:t>. The form of the Will caused some concern for the staff of ACU, and was considered a further risk factor by ACU in assessing the loan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After being told that the loan application was refused, the plaintiff requested that she be permitted to make interest-only payments on the mortgage. On the condition that the plaintiff bring the mortgage current, ACU agreed to allow a one year extension of the mortgage in February 2010, where the plaintiff would be obliged to make interest-only payments. The plaintiff thanked ACU for this arrangement.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managed to bring interest payments current after the February 2010 arrangement until July 2010, but the interest-only payment was not made in August,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 partial payment on account of the August 2010 payment was made in September 2010. No payment was then made in September nor October 2010. Payments totalling $500 were made in November and December of 2010, but the mortgage account continued to be in arrears.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January of 2011, ACU wrote to the plaintiff advising that if the arrears on the mortgage were not brought up to date, ACU would consider further action. At that time, the arrears on the mortgage was in the amount of $707.49. In February 2011, the plaintiff made a payment of $176.40 which covered interest-only installments for the month of October and part of November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March 2011, ACU received a letter from a lawyer acting for the plaintiff advising ACU that the plaintiff had applied for probate of her father's Will and that she was also applying for rectification of the Will, but no date was scheduled for the hearing of that application. This prevented anyone knowing when probate might be granted. In June of 2011, ACU received an email from the same lawyer advising that the plaintiff had signed a Notice of Intention to Act in Person. As a result, the lawyer would not be involved in the file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Having received no further payments on the mortgage since February 2011, with arrears persisting from November 2010, on June 6, 2011, ACU advised the plaintiff that it would not extend the mortgage further and requested the plaintiff make arrangements to pay out the entire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July 12, 2011, ACU, through counsel, demanded payment in full of the mortgage, failing which foreclosure proceedings would begin. On August 9, 2011, a further demand letter was sent by ACU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Shortly after the second demand letter, the plaintiff met with an officer of ACU. It was agreed at that meeting that the plaintiff would commence paying $400 per month until she had arranged the administration of the Estate and the ownership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thereafter made payments of $400 for each of August, September and October of 2011. No payment was made in November of 2011. In December of 2011, the plaintiff paid $200. The plaintiff made two further payments in January 2012 in the amount of $200 and $400. Thereafter, she made no further payments on the outstanding amount due under the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Given that no further payments were made on the mortgage, ACU began foreclosure proceedings in March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History of the Foreclosure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This case involves a mortgage originally granted in June 1998 to Karl Oskar Hoessmann, the father of the plaintiff in this action. The mortgage charged lands and premises located at 23861 - 36A Avenue in Langley, British Columbia, already defined above as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September 13, 2009 Mr. Hoessmann died. By his Will, the plaintiff in this action was appointed the executor of Mr. Hoessmann's estate. The estate did not maintain payments on the mortgage. As a result the mortgage went into default and foreclosure proceedings were started on March 15,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May 17, 2012, Master Keighley made an order that Ms. Hoessmann, as the executrix of the estate, had made default under the mortgage. He ordered that the amount required to redeem the mortgage during the redemption period was $55,792.08 plus interest and costs. The last date set for redemption was at the expiration of six months from the May 17, 2012 order. Standard foreclosure order terms were also contained in the May 17, 2012 order. This order was unsuccessfully appealed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 November 13, 2012 the Honourable Mr. Justice Truscott granted an order by consent that extended the redemption period on the foreclosure from November 17, 2012 to December 7,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December 7, 2012, this Court granted an order that ACU have exclusive conduct of sale of the Property subject to the mortgage with any offer to be reviewed by the Court prior to sale. This order was unsuccessfully appealed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On March 7, 2013 before the Honourable Madam Justice Levine, sitting in chambers, the plaintiff made application for relief as follows:</w:t>
      </w:r>
      <w:r>
        <w:rPr>
          <w:rFonts w:ascii="arial" w:eastAsia="arial" w:hAnsi="arial" w:cs="arial"/>
          <w:sz w:val="20"/>
          <w:lang w:val="en-US" w:eastAsia="en-US" w:bidi="ar-SA"/>
        </w:rPr>
        <w:cr/>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stay of execution of the order of the Honourable Mr. Justice Ball pronounced December 7, 2012, pending resolution of the appeal;</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for an extension of time to file the motion book;</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for an extension of time to file the application for leave to appeal the order of the Honourable Mr. Justice Ball pronounced December 7, 2012;</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for extension of time to file the appeal record;</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for indigent status in these proceedings; and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for costs of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Madam Justice Levine dismissed the plaintiff's applications and ACU was granted its costs against Ms. Hoessmann.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On March 27, 2013, the Honourable Mr. Justice Jenkins approved the sale of the Property to Devnor for the sum of $766,000 on the terms and conditions of the contract of purchase and sale dated March 19, 2013. The contract of purchase and sale was exhibited in court. The plaintiff, who resided in the home on the Property, was ordered by the Court to deliver up vacant possession of the Property at 9 am on May 28, 2013. Usual provisions in a court ordered sale were included in that order including the payment of taxes, water and sewer rates, interest, and penalties, as well as real estate commission and the payment of the mortgage to ACU. The balance of the proceeds of sale were ordered paid into Court. Litigation was then ongoing between the plaintiff and her brothers.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 April 19, 2013, in the Court of Appeal of British Columbia, the Honourable Mr. Justice Chiasson heard an application by the plaintiff to stay the order approving the sale. On May 3, 2013, the application of the plaintiff for a stay was dismissed. On May 23, 2013 a three judge division of the Court of Appeal dismissed an application by the plaintiff to vary the order made on May 3, 2013. On May 27, 2013 the Honourable Mr. Justice Low dismissed an application for a stay of the orders made on May 3, 2013 and May 23, 2013 pending an appeal to the Supreme Court of Canada. No appeal was ever heard by the Supreme Court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transaction of purchase and sale of the Property subject to the mortgage was completed on or about May 31, 2013. From the proceeds of the sale, the funds then due to ACU in the amount of $58,531.95 were paid to ACU.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 failed or refused to vacate the Property by May 28, 2013, as ordered. As a result, upon application by ACU, Master Keighley granted an order for a writ of possession to allow recovery of possession of the Property from the plaintiff in accordance with the order. Further, $10,000 was ordered paid to the plaintiff from the funds being held in trust arising from the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On or about June 14, 2013, $10,000 was paid on a without prejudice basis to the plaintiff from the estate, ostensibly to assist her with the cost of moving from the Property and arranging alternative accommodation.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mid-June 2013 pursuant to the writ of possession, bailiffs attended the Property to recover possession of it from the plaintiff and deliver vacant possession to the purchaser - and defendant in this action - Devnor . The personal property of the plaintiff was placed in storage lockers in Langley,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On or about June 18, 2013, the plaintiff began this action against ACU and Devnor by filing a Notice of Civil Claim. The plaintiff claimed, among other things, an interest in the Property. As a result, a certificate of pending litigation was filed against the Property on June 21,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On June 19, 2013 the plaintiff filed a notice of appeal from a Master seeking an order staying the order for vacant possession. That appeal has been reset several times and never heard.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 July 23, 2013, the Honourable Mr. Justice Bowden dismissed the plaintiff's application for a stay of the order directing vacant possession. He further dismissed the plaintiff's constructive trust claim for the Property, among other property-related claims made by the plaintiff that were also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July 2013, the bailiff provided keys to the storage lockers to the plaintiff to provide her access to all of the items in storage.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Any and all outstanding appeal proceedings have been closed by the Court of Appeal based on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On October 29, 2013, the Honourable Madam Justice Koenigsberg dismissed the claim against Devnor in this action, and cancelled the certificate of pending litigation against the Property. Koenigsberg J. also ordered the plaintiff to pay special costs to the defendant, Devnor.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On February 14, 2014, Master Muir dismissed the plaintiff's application to adjourn the application by Devnor to assess its special costs, which were ultimately assessed at $15,929.56.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 has taken no further steps in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Wills Variation Act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On September 27, 2013 the Honourable Mr. Justice McKinnon ordered that the plaintiff be removed as executor of Mr. Hoessmann's estate and appointed Solus, a corporate trustee, in her place and stead.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current plaintiff became involved in litigation with her mother and two brothers over the Will distributing her father's estate. Her brothers sought to vary the Will. The </w:t>
      </w:r>
      <w:r>
        <w:rPr>
          <w:rFonts w:ascii="arial" w:eastAsia="arial" w:hAnsi="arial" w:cs="arial"/>
          <w:i/>
          <w:color w:val="000000"/>
          <w:sz w:val="20"/>
          <w:lang w:val="en-US" w:eastAsia="en-US" w:bidi="ar-SA"/>
        </w:rPr>
        <w:t>Wills Variation Act</w:t>
      </w:r>
      <w:r>
        <w:rPr>
          <w:rFonts w:ascii="arial" w:eastAsia="arial" w:hAnsi="arial" w:cs="arial"/>
          <w:color w:val="000000"/>
          <w:sz w:val="20"/>
          <w:lang w:val="en-US" w:eastAsia="en-US" w:bidi="ar-SA"/>
        </w:rPr>
        <w:t xml:space="preserve">, </w:t>
      </w:r>
      <w:hyperlink r:id="rId259" w:history="1">
        <w:r>
          <w:rPr>
            <w:rFonts w:ascii="arial" w:eastAsia="arial" w:hAnsi="arial" w:cs="arial"/>
            <w:i/>
            <w:color w:val="0077CC"/>
            <w:sz w:val="20"/>
            <w:u w:val="single"/>
            <w:shd w:val="clear" w:color="auto" w:fill="FFFFFF"/>
            <w:lang w:val="en-US" w:eastAsia="en-US" w:bidi="ar-SA"/>
          </w:rPr>
          <w:t>R.S.B.C. 1996, c. 490</w:t>
        </w:r>
      </w:hyperlink>
      <w:r>
        <w:rPr>
          <w:rFonts w:ascii="arial" w:eastAsia="arial" w:hAnsi="arial" w:cs="arial"/>
          <w:color w:val="000000"/>
          <w:sz w:val="20"/>
          <w:lang w:val="en-US" w:eastAsia="en-US" w:bidi="ar-SA"/>
        </w:rPr>
        <w:t xml:space="preserve">, while repealed and replaced by the </w:t>
      </w:r>
      <w:r>
        <w:rPr>
          <w:rFonts w:ascii="arial" w:eastAsia="arial" w:hAnsi="arial" w:cs="arial"/>
          <w:i/>
          <w:color w:val="000000"/>
          <w:sz w:val="20"/>
          <w:lang w:val="en-US" w:eastAsia="en-US" w:bidi="ar-SA"/>
        </w:rPr>
        <w:t>Wills, Estates, and Succession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2009, c. 13</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WESA</w:t>
      </w:r>
      <w:r>
        <w:rPr>
          <w:rFonts w:ascii="arial" w:eastAsia="arial" w:hAnsi="arial" w:cs="arial"/>
          <w:color w:val="000000"/>
          <w:sz w:val="20"/>
          <w:lang w:val="en-US" w:eastAsia="en-US" w:bidi="ar-SA"/>
        </w:rPr>
        <w:t xml:space="preserve">], was still applicable under the transitional rules of </w:t>
      </w:r>
      <w:r>
        <w:rPr>
          <w:rFonts w:ascii="arial" w:eastAsia="arial" w:hAnsi="arial" w:cs="arial"/>
          <w:i/>
          <w:color w:val="000000"/>
          <w:sz w:val="20"/>
          <w:lang w:val="en-US" w:eastAsia="en-US" w:bidi="ar-SA"/>
        </w:rPr>
        <w:t>WESA</w:t>
      </w:r>
      <w:r>
        <w:rPr>
          <w:rFonts w:ascii="arial" w:eastAsia="arial" w:hAnsi="arial" w:cs="arial"/>
          <w:color w:val="000000"/>
          <w:sz w:val="20"/>
          <w:lang w:val="en-US" w:eastAsia="en-US" w:bidi="ar-SA"/>
        </w:rPr>
        <w:t xml:space="preserve">. The action was decided by Pearlman J. on August 31, 2015, with reasons indexed at </w:t>
      </w:r>
      <w:hyperlink r:id="rId260" w:history="1">
        <w:r>
          <w:rPr>
            <w:rFonts w:ascii="arial" w:eastAsia="arial" w:hAnsi="arial" w:cs="arial"/>
            <w:i/>
            <w:color w:val="0077CC"/>
            <w:sz w:val="20"/>
            <w:u w:val="single"/>
            <w:shd w:val="clear" w:color="auto" w:fill="FFFFFF"/>
            <w:lang w:val="en-US" w:eastAsia="en-US" w:bidi="ar-SA"/>
          </w:rPr>
          <w:t>2015 BCSC 1551</w:t>
        </w:r>
      </w:hyperlink>
      <w:r>
        <w:rPr>
          <w:rFonts w:ascii="arial" w:eastAsia="arial" w:hAnsi="arial" w:cs="arial"/>
          <w:color w:val="000000"/>
          <w:sz w:val="20"/>
          <w:lang w:val="en-US" w:eastAsia="en-US" w:bidi="ar-SA"/>
        </w:rPr>
        <w:t>. The Court varied the Will to provide lump sum payments (not otherwise provided in the Will) as follows: $60,000 to the mother, the deceased's surviving spouse, and $50,000 to each of the brothers.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On September 29, 2015, Ms. Hoessmann filed an appeal claiming the Will was fair and should not have been varied.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On December 30, 2015, Bennett J.A. set the appeal for case management. On February 1, 2016, Bennett J.A. ordered that Ms. Hoessmann file transcripts, appeal books, and her factum by April 4, 2016. Those filing dates were not met; the deadline was extended to May 13, 2016 and later to July 11, 2016. The brothers applied to have the appeal dismissed. That hearing was adjourned on several occasions until October 25, 2016, when it was finally heard by MacKenzie J.A.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Ultimately, Ms. Hoessmann filed the transcripts and the appeal books but did not serve either of her brothers with a copy. She did not file, nor serve her factum as of the date of the hearing before Mackenzie J.A.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Ms. Hoessmann did not attend the Court of Appeal on October 25, 2016, but instead sent an email to the Court of Appeal Registry. As summarized by the Court, the email stated "she was unable to attend court for unsubstantiated personal health reasons" (</w:t>
      </w:r>
      <w:r>
        <w:rPr>
          <w:rFonts w:ascii="arial" w:eastAsia="arial" w:hAnsi="arial" w:cs="arial"/>
          <w:i/>
          <w:color w:val="000000"/>
          <w:sz w:val="20"/>
          <w:lang w:val="en-US" w:eastAsia="en-US" w:bidi="ar-SA"/>
        </w:rPr>
        <w:t>B.H. v. J.H</w:t>
      </w:r>
      <w:r>
        <w:rPr>
          <w:rFonts w:ascii="arial" w:eastAsia="arial" w:hAnsi="arial" w:cs="arial"/>
          <w:color w:val="000000"/>
          <w:sz w:val="20"/>
          <w:lang w:val="en-US" w:eastAsia="en-US" w:bidi="ar-SA"/>
        </w:rPr>
        <w:t xml:space="preserve">. (25 October 2016), Vancouver CA43129 (B.C.C.A. Chambers) at para. 16). After hearing the application, the Court concluded that the appeal was dismissed as abandoned, citing with approval </w:t>
      </w:r>
      <w:r>
        <w:rPr>
          <w:rFonts w:ascii="arial" w:eastAsia="arial" w:hAnsi="arial" w:cs="arial"/>
          <w:i/>
          <w:color w:val="000000"/>
          <w:sz w:val="20"/>
          <w:lang w:val="en-US" w:eastAsia="en-US" w:bidi="ar-SA"/>
        </w:rPr>
        <w:t>Kemp v. Wittenberg</w:t>
      </w:r>
      <w:r>
        <w:rPr>
          <w:rFonts w:ascii="arial" w:eastAsia="arial" w:hAnsi="arial" w:cs="arial"/>
          <w:color w:val="000000"/>
          <w:sz w:val="20"/>
          <w:lang w:val="en-US" w:eastAsia="en-US" w:bidi="ar-SA"/>
        </w:rPr>
        <w:t xml:space="preserve">, </w:t>
      </w:r>
      <w:hyperlink r:id="rId261" w:history="1">
        <w:r>
          <w:rPr>
            <w:rFonts w:ascii="arial" w:eastAsia="arial" w:hAnsi="arial" w:cs="arial"/>
            <w:i/>
            <w:color w:val="0077CC"/>
            <w:sz w:val="20"/>
            <w:u w:val="single"/>
            <w:shd w:val="clear" w:color="auto" w:fill="FFFFFF"/>
            <w:lang w:val="en-US" w:eastAsia="en-US" w:bidi="ar-SA"/>
          </w:rPr>
          <w:t>2001 BCSC 273</w:t>
        </w:r>
      </w:hyperlink>
      <w:r>
        <w:rPr>
          <w:rFonts w:ascii="arial" w:eastAsia="arial" w:hAnsi="arial" w:cs="arial"/>
          <w:color w:val="000000"/>
          <w:sz w:val="20"/>
          <w:lang w:val="en-US" w:eastAsia="en-US" w:bidi="ar-SA"/>
        </w:rPr>
        <w:t xml:space="preserve"> at para.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Ms. Hoessmann then applied for a review of the order of MacKenzie J.A., but failed to file a motion book within the time prescribed by the </w:t>
      </w:r>
      <w:r>
        <w:rPr>
          <w:rFonts w:ascii="arial" w:eastAsia="arial" w:hAnsi="arial" w:cs="arial"/>
          <w:i/>
          <w:color w:val="000000"/>
          <w:sz w:val="20"/>
          <w:lang w:val="en-US" w:eastAsia="en-US" w:bidi="ar-SA"/>
        </w:rPr>
        <w:t>Court of Appeal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297/2001</w:t>
      </w:r>
      <w:r>
        <w:rPr>
          <w:rFonts w:ascii="arial" w:eastAsia="arial" w:hAnsi="arial" w:cs="arial"/>
          <w:color w:val="000000"/>
          <w:sz w:val="20"/>
          <w:lang w:val="en-US" w:eastAsia="en-US" w:bidi="ar-SA"/>
        </w:rPr>
        <w:t>. Ms. Hoessmann applied for an extension of time to file a motion book. That application was refused by Fenlon J.A. on January 16, 2017. Costs were awarded against Ms. Hoessmann and assessed in the amounts of $6,320.77 and $2,814.39 by Registrar of the Court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On February 16, 2017, the brothers of Ms. Hoessmann brought an application in the Court of Appeal to have Ms. Hoessmann declared a vexatious litigant. The order sought was granted by Donald J.A. in Chambers.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While the </w:t>
      </w:r>
      <w:r>
        <w:rPr>
          <w:rFonts w:ascii="arial" w:eastAsia="arial" w:hAnsi="arial" w:cs="arial"/>
          <w:i/>
          <w:color w:val="000000"/>
          <w:sz w:val="20"/>
          <w:lang w:val="en-US" w:eastAsia="en-US" w:bidi="ar-SA"/>
        </w:rPr>
        <w:t>Wills Variation Act</w:t>
      </w:r>
      <w:r>
        <w:rPr>
          <w:rFonts w:ascii="arial" w:eastAsia="arial" w:hAnsi="arial" w:cs="arial"/>
          <w:color w:val="000000"/>
          <w:sz w:val="20"/>
          <w:lang w:val="en-US" w:eastAsia="en-US" w:bidi="ar-SA"/>
        </w:rPr>
        <w:t xml:space="preserve"> action is not strictly relevant to the present proceeding, the course of conduct of Ms. Hoessmann leading to the order above is instructive.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 Orders and Debts Against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the reasons of Kent J. (</w:t>
      </w:r>
      <w:r>
        <w:rPr>
          <w:rFonts w:ascii="arial" w:eastAsia="arial" w:hAnsi="arial" w:cs="arial"/>
          <w:i/>
          <w:color w:val="000000"/>
          <w:sz w:val="20"/>
          <w:lang w:val="en-US" w:eastAsia="en-US" w:bidi="ar-SA"/>
        </w:rPr>
        <w:t>B.H. v. J.H</w:t>
      </w:r>
      <w:r>
        <w:rPr>
          <w:rFonts w:ascii="arial" w:eastAsia="arial" w:hAnsi="arial" w:cs="arial"/>
          <w:color w:val="000000"/>
          <w:sz w:val="20"/>
          <w:lang w:val="en-US" w:eastAsia="en-US" w:bidi="ar-SA"/>
        </w:rPr>
        <w:t>. (16 December 2015), New Westminster S140919 (B.C.S.C. Chambers)), the Court directed that the plaintiff's interest in the estate of her late father would be charged with a number of costs orders and debts. These include: monies owed to the Coquitlam School District for court costs in this Court and the Court Appeal in the amount of $56,000; special court costs ordered by Master Muir in favour of Devnor and assessed on May 5, 2014 in the amount of $15,929.56; and fees for private legal counsel retained by the plaintiff in the approximate amount of $95,000. The latter amount demonstrates that the plaintiff received significant legal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costs awarded to the mother of the plaintiff, payable by the plaintiff, were assessed at $10,000 by consent on July 21,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Further costs orders were made against Ms. Hoessman as follows:</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7" type="#_x0000_t75" style="width:432.06pt;height:152.27pt">
            <v:imagedata r:id="rId262" o:title=""/>
          </v:shape>
        </w:pict>
      </w:r>
      <w:r>
        <w:rPr>
          <w:rFonts w:ascii="arial" w:eastAsia="arial" w:hAnsi="arial" w:cs="arial"/>
          <w:sz w:val="20"/>
          <w:lang w:val="en-US" w:eastAsia="en-US" w:bidi="ar-SA"/>
        </w:rPr>
        <w:t xml:space="preserve">  </w:t>
      </w:r>
      <w:r>
        <w:pict>
          <v:shape id="_x0000_i1058" type="#_x0000_t75" style="width:432.06pt;height:201.78pt">
            <v:imagedata r:id="rId263" o:title=""/>
          </v:shape>
        </w:pic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At para. 99 of the Reasons of Pearlman, J., cited above, the financial condition of Ms. Hoessmann was described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[99] As a result of the foreclosure and the choices she made in depleting the advances she received from the estate, JH is now destitute and lives in a women's shelter. Among the three children, hers is the greatest need.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costs and claimed fees in the above table and paras. 54 and 55 above refer to proceedings that follow Pearlman J's reasons in time. When the costs, claimed fees, and items from para. 54 an 55 above are added together, the total is $243,727.62. The Court has attempted to make an encyclopedic listing of all costs orders but this listing is by no means 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figure $243,727.62, when considered along side the contents of para. 99 from the reasons of Pearlman J. noted above, simply reflect the remarkable futility of the litigious conduct of Ms. Hoessmann.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Notice of Civil Claim filed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As noted above, on June 18, 2013, Ms. Hoessmann filed this action with the style of cause used above, in which reference is made to the executor of the Will of the estate of the late Mr. Hoessmann. The opening claim was that the defendant ACU caused the loss of the estate through foreclosure. There is no evidence that the foreclosure caused any loss to the estate. The Property was sold in an open real estate market exposed to the public, and the sale was approved by a Court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There follows in the Notice of Civil Claim, 94 paragraphs of text which contain a combination of described historical events surrounding the foreclosure of the Property and the estate. Every aspect of the foreclosure proceedings was the subject of one or more court orders, applications for stays of proceedings, and appeals brought by the plaintiff which were universally unsuccessful.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plaintiff alleges that ACU failed to "fully apprise the plaintiff of her rights under the mortgage." If, by this allegation, the plaintiff intended to suggest that ACU is required to provide legal advice to the plaintiff in her capacity as the executrix of the estate or personally, it must be noted that she was served with the petition which commenced the foreclosure proceedings and that she had the advice of personal legal counsel. This included advice of the following legal counsel: Lee Sawatsky, who was retained on or about March 16, 2011 and whose retainer ended on or about June 2, 2011; Scott A. Turner, appointed to act for the plaintiff on or about September 17, 2013; and Allan MacDonald, counsel to the plaintiff for a period of approximately nine months beginning on approximately February 11, 2016 and ending in shortly before the scheduled hearing date for this application of October 27,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Specifically, paragraphs 70-86, 88-90, and 92-94 of the Notice of Civil Claim refer to a variety of matters which were or ought to have been advanced by the plaintiff during the foreclosure action. It is now too late for the plaintiff to raise these matters for litigation which has already been adjudicated.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Paragraph 87 concerns a donation made to a political party. The contents of that paragraph are completely irrelevant to any of the claims alleged in this action. This pleading demonstrates the complete lack of any reasonable cause of action being advanced by this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Paragraph 92 is simply argument and not a statement of fact which is material to any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Representation of the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As noted above, the style of cause states the action is brought on by Ms. Hoessmann as the "Executor of the Estate of Karl Oskar Hoessmann". While that may have been an appropriate title when the Notice of Civil Claim was filed in June of 2013, it was not accurate on September 27, 2013, when McKinnon J. made an order removing Ms. Hoessmann as executrix of the estate and replacing her with Solus.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According to s. 141(2) of the </w:t>
      </w:r>
      <w:r>
        <w:rPr>
          <w:rFonts w:ascii="arial" w:eastAsia="arial" w:hAnsi="arial" w:cs="arial"/>
          <w:i/>
          <w:color w:val="000000"/>
          <w:sz w:val="20"/>
          <w:lang w:val="en-US" w:eastAsia="en-US" w:bidi="ar-SA"/>
        </w:rPr>
        <w:t>WESA</w:t>
      </w:r>
      <w:r>
        <w:rPr>
          <w:rFonts w:ascii="arial" w:eastAsia="arial" w:hAnsi="arial" w:cs="arial"/>
          <w:color w:val="000000"/>
          <w:sz w:val="20"/>
          <w:lang w:val="en-US" w:eastAsia="en-US" w:bidi="ar-SA"/>
        </w:rPr>
        <w:t xml:space="preserve">, "[i]f a grant of probate or administration is revoked, the authority to act passes as if the person had never been appointed executor." Further, s. 136 of the </w:t>
      </w:r>
      <w:r>
        <w:rPr>
          <w:rFonts w:ascii="arial" w:eastAsia="arial" w:hAnsi="arial" w:cs="arial"/>
          <w:i/>
          <w:color w:val="000000"/>
          <w:sz w:val="20"/>
          <w:lang w:val="en-US" w:eastAsia="en-US" w:bidi="ar-SA"/>
        </w:rPr>
        <w:t>WESA</w:t>
      </w:r>
      <w:r>
        <w:rPr>
          <w:rFonts w:ascii="arial" w:eastAsia="arial" w:hAnsi="arial" w:cs="arial"/>
          <w:color w:val="000000"/>
          <w:sz w:val="20"/>
          <w:lang w:val="en-US" w:eastAsia="en-US" w:bidi="ar-SA"/>
        </w:rPr>
        <w:t xml:space="preserve"> states that "[a] representation grant, whether or not power is reserved to another person to apply for a subsequent representation grant, gives to the personal representative exclusive authority to administer the estate or that part of the estate to which the representation grant applies in accordance with its terms." This section is dispositive of the question of Ms. Hoessmann's continuing capacity to act on behalf of the estate. Shortly put, she has no such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Furthermore, according to s. 160(2) of </w:t>
      </w:r>
      <w:r>
        <w:rPr>
          <w:rFonts w:ascii="arial" w:eastAsia="arial" w:hAnsi="arial" w:cs="arial"/>
          <w:i/>
          <w:color w:val="000000"/>
          <w:sz w:val="20"/>
          <w:lang w:val="en-US" w:eastAsia="en-US" w:bidi="ar-SA"/>
        </w:rPr>
        <w:t>WESA</w:t>
      </w:r>
      <w:r>
        <w:rPr>
          <w:rFonts w:ascii="arial" w:eastAsia="arial" w:hAnsi="arial" w:cs="arial"/>
          <w:color w:val="000000"/>
          <w:sz w:val="20"/>
          <w:lang w:val="en-US" w:eastAsia="en-US" w:bidi="ar-SA"/>
        </w:rPr>
        <w:t>, "[i]f a person is discharged or removed as the personal representative of a deceased person, the estate of the deceased person ceases, without any further declaration or order, to be vested in that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On the appointment of a substitute personal representative, the new personal representative has the same authority that the former personal representative had in respect of the estate, and must perform the same duties and is subject to the same obligations as were imposed by law on the former personal representative: </w:t>
      </w:r>
      <w:r>
        <w:rPr>
          <w:rFonts w:ascii="arial" w:eastAsia="arial" w:hAnsi="arial" w:cs="arial"/>
          <w:i/>
          <w:color w:val="000000"/>
          <w:sz w:val="20"/>
          <w:lang w:val="en-US" w:eastAsia="en-US" w:bidi="ar-SA"/>
        </w:rPr>
        <w:t>WESA</w:t>
      </w:r>
      <w:r>
        <w:rPr>
          <w:rFonts w:ascii="arial" w:eastAsia="arial" w:hAnsi="arial" w:cs="arial"/>
          <w:color w:val="000000"/>
          <w:sz w:val="20"/>
          <w:lang w:val="en-US" w:eastAsia="en-US" w:bidi="ar-SA"/>
        </w:rPr>
        <w:t xml:space="preserve"> s. 159(3). It flows, therefore, that Solus as executor would have the sole legal authority to continue any claims on behalf of the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Further support for this conclusion is derived from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and in particular Rule 6-2. Subsection (3) states "[i]f, by assignment, conveyance or death, an estate, interest or title devolves or is transferred, a proceeding relating to that estate, interest or title </w:t>
      </w:r>
      <w:r>
        <w:rPr>
          <w:rFonts w:ascii="arial" w:eastAsia="arial" w:hAnsi="arial" w:cs="arial"/>
          <w:b/>
          <w:color w:val="000000"/>
          <w:sz w:val="20"/>
          <w:u w:val="single"/>
          <w:lang w:val="en-US" w:eastAsia="en-US" w:bidi="ar-SA"/>
        </w:rPr>
        <w:t>may</w:t>
      </w:r>
      <w:r>
        <w:rPr>
          <w:rFonts w:ascii="arial" w:eastAsia="arial" w:hAnsi="arial" w:cs="arial"/>
          <w:color w:val="000000"/>
          <w:sz w:val="20"/>
          <w:lang w:val="en-US" w:eastAsia="en-US" w:bidi="ar-SA"/>
        </w:rPr>
        <w:t xml:space="preserve"> be continued by or against the person on whom that estate, interest or title has devolved or to whom that estate, interest or title has been transferred." The operative word "may" demonstrates that Solus would have the authority to continue the proceeding, but Solus is not required to continue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I appreciate there are fine distinctions to be made concerning proceedings taken by an estate prior to the replacement of an executrix. Replacement of an executrix would not prejudice actions or suits by or against and estate, that is, even if revoked, a grant is not void </w:t>
      </w:r>
      <w:r>
        <w:rPr>
          <w:rFonts w:ascii="arial" w:eastAsia="arial" w:hAnsi="arial" w:cs="arial"/>
          <w:i/>
          <w:color w:val="000000"/>
          <w:sz w:val="20"/>
          <w:lang w:val="en-US" w:eastAsia="en-US" w:bidi="ar-SA"/>
        </w:rPr>
        <w:t>ab initio</w:t>
      </w:r>
      <w:r>
        <w:rPr>
          <w:rFonts w:ascii="arial" w:eastAsia="arial" w:hAnsi="arial" w:cs="arial"/>
          <w:color w:val="000000"/>
          <w:sz w:val="20"/>
          <w:lang w:val="en-US" w:eastAsia="en-US" w:bidi="ar-SA"/>
        </w:rPr>
        <w:t xml:space="preserve"> but only from the date of revocation: </w:t>
      </w:r>
      <w:r>
        <w:rPr>
          <w:rFonts w:ascii="arial" w:eastAsia="arial" w:hAnsi="arial" w:cs="arial"/>
          <w:i/>
          <w:color w:val="000000"/>
          <w:sz w:val="20"/>
          <w:lang w:val="en-US" w:eastAsia="en-US" w:bidi="ar-SA"/>
        </w:rPr>
        <w:t>Hewson v. Shelley</w:t>
      </w:r>
      <w:r>
        <w:rPr>
          <w:rFonts w:ascii="arial" w:eastAsia="arial" w:hAnsi="arial" w:cs="arial"/>
          <w:color w:val="000000"/>
          <w:sz w:val="20"/>
          <w:lang w:val="en-US" w:eastAsia="en-US" w:bidi="ar-SA"/>
        </w:rPr>
        <w:t xml:space="preserve">, [1914] 2 Ch. 13 (Eng. C.A.). (Also see Rule 6-2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Further, s. 150(8) of the </w:t>
      </w:r>
      <w:r>
        <w:rPr>
          <w:rFonts w:ascii="arial" w:eastAsia="arial" w:hAnsi="arial" w:cs="arial"/>
          <w:i/>
          <w:color w:val="000000"/>
          <w:sz w:val="20"/>
          <w:lang w:val="en-US" w:eastAsia="en-US" w:bidi="ar-SA"/>
        </w:rPr>
        <w:t>WESA</w:t>
      </w:r>
      <w:r>
        <w:rPr>
          <w:rFonts w:ascii="arial" w:eastAsia="arial" w:hAnsi="arial" w:cs="arial"/>
          <w:color w:val="000000"/>
          <w:sz w:val="20"/>
          <w:lang w:val="en-US" w:eastAsia="en-US" w:bidi="ar-SA"/>
        </w:rPr>
        <w:t xml:space="preserve"> states: "[a]ll proceedings under this section bind the estate of the deceased person, despite any previous or subsequent appointment of a personal representative." Orders made prior to the change of executors would be binding in favour of or against the estate, but at this juncture only Solus, without further court order, would be in a legal position to continue or discontinue legal proceedings on behalf of the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Also, the general rule is that only the estate has standing to complain of wrongs done to it: see </w:t>
      </w:r>
      <w:r>
        <w:rPr>
          <w:rFonts w:ascii="arial" w:eastAsia="arial" w:hAnsi="arial" w:cs="arial"/>
          <w:i/>
          <w:color w:val="000000"/>
          <w:sz w:val="20"/>
          <w:lang w:val="en-US" w:eastAsia="en-US" w:bidi="ar-SA"/>
        </w:rPr>
        <w:t>Engel v. Engel</w:t>
      </w:r>
      <w:r>
        <w:rPr>
          <w:rFonts w:ascii="arial" w:eastAsia="arial" w:hAnsi="arial" w:cs="arial"/>
          <w:color w:val="000000"/>
          <w:sz w:val="20"/>
          <w:lang w:val="en-US" w:eastAsia="en-US" w:bidi="ar-SA"/>
        </w:rPr>
        <w:t xml:space="preserve">, </w:t>
      </w:r>
      <w:hyperlink r:id="rId264" w:history="1">
        <w:r>
          <w:rPr>
            <w:rFonts w:ascii="arial" w:eastAsia="arial" w:hAnsi="arial" w:cs="arial"/>
            <w:i/>
            <w:color w:val="0077CC"/>
            <w:sz w:val="20"/>
            <w:u w:val="single"/>
            <w:shd w:val="clear" w:color="auto" w:fill="FFFFFF"/>
            <w:lang w:val="en-US" w:eastAsia="en-US" w:bidi="ar-SA"/>
          </w:rPr>
          <w:t>2005 BCSC 33</w:t>
        </w:r>
      </w:hyperlink>
      <w:r>
        <w:rPr>
          <w:rFonts w:ascii="arial" w:eastAsia="arial" w:hAnsi="arial" w:cs="arial"/>
          <w:color w:val="000000"/>
          <w:sz w:val="20"/>
          <w:lang w:val="en-US" w:eastAsia="en-US" w:bidi="ar-SA"/>
        </w:rPr>
        <w:t xml:space="preserve">. For any beneficiary to bring suit on behalf of the estate, leave of the court would be required as noted in sections 151(1), (3) and(4) of the </w:t>
      </w:r>
      <w:r>
        <w:rPr>
          <w:rFonts w:ascii="arial" w:eastAsia="arial" w:hAnsi="arial" w:cs="arial"/>
          <w:i/>
          <w:color w:val="000000"/>
          <w:sz w:val="20"/>
          <w:lang w:val="en-US" w:eastAsia="en-US" w:bidi="ar-SA"/>
        </w:rPr>
        <w:t>WESA</w:t>
      </w:r>
      <w:r>
        <w:rPr>
          <w:rFonts w:ascii="arial" w:eastAsia="arial" w:hAnsi="arial" w:cs="arial"/>
          <w:color w:val="000000"/>
          <w:sz w:val="20"/>
          <w:lang w:val="en-US" w:eastAsia="en-US" w:bidi="ar-SA"/>
        </w:rPr>
        <w:t xml:space="preserve"> . However, as this Court has already decided that Ms. Hoessmann should be replaced as executrix, an application for her to again represent this estate has no hope of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As matters stand at the date of application now before this Court, Ms. Hoessmann has no legal right nor legal authority to represent the estate or advance any claim for damages for the estate. As a result, any portion of the Notice of Civil Claim which purports to advance a claim for damages or other losses of the estate is hereby dismissed. Ms. Hoessmann can only advance a claim in this action in her personal capacity, and no such claim is readily identifiable in the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Application by Aldergrove Credit Union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ACU filed an amended notice of application on July 8, 2015, which was scheduled for hearing on October 12, 2017. Then, by consent, the date of hearing was moved to January 19,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ACU seeks the orders set out in paras. 5 to 7 inclusive herein. The applications are brought pursuant to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9-5 and 9-7. Rule 9-5 deals with the legal principal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which is that a matter once decided shall not be litigated again in subsequent or repetitive litigation. Such a claim is "unnecessary, scandalous, frivolous or vexatious" (Rule 9-5(b)) or otherwise an "abuse of the process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A party to litigation is required to bring all related claims forward at the same time in one proceeding; litigation is not permitted to be conducted in slices. The principal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applies not only to issues placed directly before the court by the parties, but issues which are related and could have been brought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Where an issue is decided or a cause of action is adjudicated by a court, the principal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would stop any attempt to re-litigate such issue or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Respecting the Pre-Foreclosure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Notice of Civil Claim contains a number of statements concerning events prior to the foreclosure action being commenced. Excluding claims which could only properly be brought by the estate, plans that the plaintiff may have had to reside in the Property in the future cannot form the basis of a claim by the plaintiff against ACU because there is no evidence that ACU had no knowledge or information about such plans. The allegation that the plaintiff planned to pay the mortgage is of no moment as the payments were not made and the mortgage was found to be in default. The sale of the home in a court ordered sale, likewise cannot be the foundation of a suit by the plaintiff as her "interest in the property" was always subject to the mortgage, both before and after the passing of the deceased.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Upon review of all of the pre-foreclosure activity, this Court finds that ACU was a mortgagee faced with a mortgage which was not being paid on a regular basis. The executrix appointed by the Will had limited personal resources and was a poor credit risk. ACU made a series of arrangements, including agreeing to accept interest-only payments for one year, to accommodate the plaintiff. The plaintiff was unable to obtain probate of the estate within a reasonable period of time, even though she had the assistance of legal counsel for a number of months. While the plaintiff submitted she was not completely familiar with the accounting of the mortgage, apart from a small number of payments made from her father's bank account, she made all of the other erratic payments; she knew exactly when payments were made and the amount of each payment. This Court also finds that ACU was faced with a situation where the only possible means of recovery of the balance of the mortgage, regardless of the equity in the Property, was to bring foreclosure proceedings. I find that no act of ACU prior to the commencement of the foreclosure proceedings would give rise to any cause of action in favour of the plaintiff in her personal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The plaintiff now has no capacity to advance any claim on behalf of the estate. I have chosen to treat the Notice of Civil Claim as a personal claim on behalf of the plaintiff because of that lack of capacity to represent the estate. Any claim available to the estate from the period before the foreclosure proceeding was either litigated or ought to have been litigated in the tortured course of that proceeding. Any such claim is now estopped because of the principal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Respecting the Present Action in Light of the Foreclosure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chronology of the foreclosure proceeding is noted in detail above and summarized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present action involves the foreclosure of a mortgage on the Property. The Court found that the mortgage was in default, declared the amount owing to the mortgagee, and fixed a redemption period. An extension of the redemption period was also provided by order of the Court. When the mortgage had not been repaid at the end of the extended redemption period, the mortgagee obtained an order to allow it exclusive authority to sell the Property for the purpose of recovering the balance due on the mortgage at the end of the redemption period. Thereafter, a purchaser presented an offer for purchase of the Property. The offer was approved by the Court. An order was made for the plaintiff to vacate the Property. When she failed to vacate the Property, the Court issued a writ of possession and a bailiff removed the personal property of the estate and the plaintiff from the Property. The bailiff placed the personal property into storage. The keys to provide access to the storage facility were provided by the bailiff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All of the issues in the foregoing paragraph have been thoroughly litigated with a number the subject of unsuccessful stay applications, appeals, and review applications - all brought by the plaintiff. Several appeals were not prosecuted and have been dismissed as abandoned or otherwise for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On the facts at bar, Ms. Hoessmann's only entitlement is as a person entitled to a share in the residue of the estate. She should have followed the procedures to seek leave to continue the elements of the action on behalf of the estate. Otherwise, it is up to Solus as the new personal representative of the estate to continue those portions of the action. Overall, therefore, I am of the opinion that she would have to seek leave to continue the proceedings on behalf of the estate if the trust company refuses to do so. There is no basis in the present application which could support an application for leave to be granted to the plaintiff to continue to advance this action on behalf of the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An order </w:t>
      </w:r>
      <w:r>
        <w:rPr>
          <w:rFonts w:ascii="arial" w:eastAsia="arial" w:hAnsi="arial" w:cs="arial"/>
          <w:i/>
          <w:color w:val="000000"/>
          <w:sz w:val="20"/>
          <w:lang w:val="en-US" w:eastAsia="en-US" w:bidi="ar-SA"/>
        </w:rPr>
        <w:t>nisi</w:t>
      </w:r>
      <w:r>
        <w:rPr>
          <w:rFonts w:ascii="arial" w:eastAsia="arial" w:hAnsi="arial" w:cs="arial"/>
          <w:color w:val="000000"/>
          <w:sz w:val="20"/>
          <w:lang w:val="en-US" w:eastAsia="en-US" w:bidi="ar-SA"/>
        </w:rPr>
        <w:t xml:space="preserve"> of foreclosure is founded on the Court being satisfied that a mortgage is valid and legally enforceable. The order also specifies the amount owing pursuant to the mortgage and that the mortgage is in default. Those findings have, in this case, been made in the order </w:t>
      </w:r>
      <w:r>
        <w:rPr>
          <w:rFonts w:ascii="arial" w:eastAsia="arial" w:hAnsi="arial" w:cs="arial"/>
          <w:i/>
          <w:color w:val="000000"/>
          <w:sz w:val="20"/>
          <w:lang w:val="en-US" w:eastAsia="en-US" w:bidi="ar-SA"/>
        </w:rPr>
        <w:t>nisi</w:t>
      </w:r>
      <w:r>
        <w:rPr>
          <w:rFonts w:ascii="arial" w:eastAsia="arial" w:hAnsi="arial" w:cs="arial"/>
          <w:color w:val="000000"/>
          <w:sz w:val="20"/>
          <w:lang w:val="en-US" w:eastAsia="en-US" w:bidi="ar-SA"/>
        </w:rPr>
        <w:t xml:space="preserve"> and appeals therefrom have been unsuccessful. As a result, a mortgagor has no ability to challenge the validity of the mortgage in a separate action such as this; the principle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applies: </w:t>
      </w:r>
      <w:r>
        <w:rPr>
          <w:rFonts w:ascii="arial" w:eastAsia="arial" w:hAnsi="arial" w:cs="arial"/>
          <w:i/>
          <w:color w:val="000000"/>
          <w:sz w:val="20"/>
          <w:lang w:val="en-US" w:eastAsia="en-US" w:bidi="ar-SA"/>
        </w:rPr>
        <w:t>Ba-Oose Inc. v. HSBC Bank Canada</w:t>
      </w:r>
      <w:r>
        <w:rPr>
          <w:rFonts w:ascii="arial" w:eastAsia="arial" w:hAnsi="arial" w:cs="arial"/>
          <w:color w:val="000000"/>
          <w:sz w:val="20"/>
          <w:lang w:val="en-US" w:eastAsia="en-US" w:bidi="ar-SA"/>
        </w:rPr>
        <w:t xml:space="preserve">, </w:t>
      </w:r>
      <w:hyperlink r:id="rId265" w:history="1">
        <w:r>
          <w:rPr>
            <w:rFonts w:ascii="arial" w:eastAsia="arial" w:hAnsi="arial" w:cs="arial"/>
            <w:i/>
            <w:color w:val="0077CC"/>
            <w:sz w:val="20"/>
            <w:u w:val="single"/>
            <w:shd w:val="clear" w:color="auto" w:fill="FFFFFF"/>
            <w:lang w:val="en-US" w:eastAsia="en-US" w:bidi="ar-SA"/>
          </w:rPr>
          <w:t>2011 BCCA 511</w:t>
        </w:r>
      </w:hyperlink>
      <w:r>
        <w:rPr>
          <w:rFonts w:ascii="arial" w:eastAsia="arial" w:hAnsi="arial" w:cs="arial"/>
          <w:color w:val="000000"/>
          <w:sz w:val="20"/>
          <w:lang w:val="en-US" w:eastAsia="en-US" w:bidi="ar-SA"/>
        </w:rPr>
        <w:t xml:space="preserve"> at paras. 21-22. See also: </w:t>
      </w:r>
      <w:r>
        <w:rPr>
          <w:rFonts w:ascii="arial" w:eastAsia="arial" w:hAnsi="arial" w:cs="arial"/>
          <w:i/>
          <w:color w:val="000000"/>
          <w:sz w:val="20"/>
          <w:lang w:val="en-US" w:eastAsia="en-US" w:bidi="ar-SA"/>
        </w:rPr>
        <w:t>Hoque v. Montreal Trust Co. of Canada</w:t>
      </w:r>
      <w:r>
        <w:rPr>
          <w:rFonts w:ascii="arial" w:eastAsia="arial" w:hAnsi="arial" w:cs="arial"/>
          <w:color w:val="000000"/>
          <w:sz w:val="20"/>
          <w:lang w:val="en-US" w:eastAsia="en-US" w:bidi="ar-SA"/>
        </w:rPr>
        <w:t xml:space="preserve"> </w:t>
      </w:r>
      <w:hyperlink r:id="rId266" w:history="1">
        <w:r>
          <w:rPr>
            <w:rFonts w:ascii="arial" w:eastAsia="arial" w:hAnsi="arial" w:cs="arial"/>
            <w:i/>
            <w:color w:val="0077CC"/>
            <w:sz w:val="20"/>
            <w:u w:val="single"/>
            <w:shd w:val="clear" w:color="auto" w:fill="FFFFFF"/>
            <w:lang w:val="en-US" w:eastAsia="en-US" w:bidi="ar-SA"/>
          </w:rPr>
          <w:t>(1997), 162 N.S.R. (2d) 321</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Reliable Mortgages Investment Corp. v. Chan</w:t>
      </w:r>
      <w:r>
        <w:rPr>
          <w:rFonts w:ascii="arial" w:eastAsia="arial" w:hAnsi="arial" w:cs="arial"/>
          <w:color w:val="000000"/>
          <w:sz w:val="20"/>
          <w:lang w:val="en-US" w:eastAsia="en-US" w:bidi="ar-SA"/>
        </w:rPr>
        <w:t xml:space="preserve">, </w:t>
      </w:r>
      <w:hyperlink r:id="rId267" w:history="1">
        <w:r>
          <w:rPr>
            <w:rFonts w:ascii="arial" w:eastAsia="arial" w:hAnsi="arial" w:cs="arial"/>
            <w:i/>
            <w:color w:val="0077CC"/>
            <w:sz w:val="20"/>
            <w:u w:val="single"/>
            <w:shd w:val="clear" w:color="auto" w:fill="FFFFFF"/>
            <w:lang w:val="en-US" w:eastAsia="en-US" w:bidi="ar-SA"/>
          </w:rPr>
          <w:t>2014 BCCA 14</w:t>
        </w:r>
      </w:hyperlink>
      <w:r>
        <w:rPr>
          <w:rFonts w:ascii="arial" w:eastAsia="arial" w:hAnsi="arial" w:cs="arial"/>
          <w:color w:val="000000"/>
          <w:sz w:val="20"/>
          <w:lang w:val="en-US" w:eastAsia="en-US" w:bidi="ar-SA"/>
        </w:rPr>
        <w:t xml:space="preserve"> at paras. 35-36; and </w:t>
      </w:r>
      <w:r>
        <w:rPr>
          <w:rFonts w:ascii="arial" w:eastAsia="arial" w:hAnsi="arial" w:cs="arial"/>
          <w:i/>
          <w:color w:val="000000"/>
          <w:sz w:val="20"/>
          <w:lang w:val="en-US" w:eastAsia="en-US" w:bidi="ar-SA"/>
        </w:rPr>
        <w:t>420093 B.C. Ltd. v. Bank of Montreal</w:t>
      </w:r>
      <w:r>
        <w:rPr>
          <w:rFonts w:ascii="arial" w:eastAsia="arial" w:hAnsi="arial" w:cs="arial"/>
          <w:color w:val="000000"/>
          <w:sz w:val="20"/>
          <w:lang w:val="en-US" w:eastAsia="en-US" w:bidi="ar-SA"/>
        </w:rPr>
        <w:t xml:space="preserve">, </w:t>
      </w:r>
      <w:hyperlink r:id="rId268" w:history="1">
        <w:r>
          <w:rPr>
            <w:rFonts w:ascii="arial" w:eastAsia="arial" w:hAnsi="arial" w:cs="arial"/>
            <w:i/>
            <w:color w:val="0077CC"/>
            <w:sz w:val="20"/>
            <w:u w:val="single"/>
            <w:shd w:val="clear" w:color="auto" w:fill="FFFFFF"/>
            <w:lang w:val="en-US" w:eastAsia="en-US" w:bidi="ar-SA"/>
          </w:rPr>
          <w:t>1995 ABCA 328</w:t>
        </w:r>
      </w:hyperlink>
      <w:r>
        <w:rPr>
          <w:rFonts w:ascii="arial" w:eastAsia="arial" w:hAnsi="arial" w:cs="arial"/>
          <w:color w:val="000000"/>
          <w:sz w:val="20"/>
          <w:lang w:val="en-US" w:eastAsia="en-US" w:bidi="ar-SA"/>
        </w:rPr>
        <w:t xml:space="preserve"> at paras. 46-47.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The plaintiff has mounted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breach of a duty of care, breach of contract, and fraudulent or negligent misrepresentation. As a first finding that must be made in relation to these allegations, there is a complete lack of any particulars in the Notice of Civil Claim in relation to any of the listed causes of action which would permit the plaintiff any potential for success in this action. Second, the entirety of this action is hereby dismissed because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or collateral attack, neither permitted by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Ba-Oose Inc.</w:t>
      </w:r>
      <w:r>
        <w:rPr>
          <w:rFonts w:ascii="arial" w:eastAsia="arial" w:hAnsi="arial" w:cs="arial"/>
          <w:color w:val="000000"/>
          <w:sz w:val="20"/>
          <w:lang w:val="en-US" w:eastAsia="en-US" w:bidi="ar-SA"/>
        </w:rPr>
        <w:t>, Groberman J.A. stated the following at paras. 24-26: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 The only issue raised by the plaintiffs in their claim that does not go directly to the propriety of the order </w:t>
      </w:r>
      <w:r>
        <w:rPr>
          <w:rFonts w:ascii="arial" w:eastAsia="arial" w:hAnsi="arial" w:cs="arial"/>
          <w:i/>
          <w:color w:val="000000"/>
          <w:sz w:val="20"/>
          <w:lang w:val="en-US" w:eastAsia="en-US" w:bidi="ar-SA"/>
        </w:rPr>
        <w:t>nisi</w:t>
      </w:r>
      <w:r>
        <w:rPr>
          <w:rFonts w:ascii="arial" w:eastAsia="arial" w:hAnsi="arial" w:cs="arial"/>
          <w:color w:val="000000"/>
          <w:sz w:val="20"/>
          <w:lang w:val="en-US" w:eastAsia="en-US" w:bidi="ar-SA"/>
        </w:rPr>
        <w:t xml:space="preserve"> is their claim that they were induced to reject an offer to sell the property in November 2007 by the bank's representations that it was prepared to renew the mortgage. In my view, the court, in issuing an order </w:t>
      </w:r>
      <w:r>
        <w:rPr>
          <w:rFonts w:ascii="arial" w:eastAsia="arial" w:hAnsi="arial" w:cs="arial"/>
          <w:i/>
          <w:color w:val="000000"/>
          <w:sz w:val="20"/>
          <w:lang w:val="en-US" w:eastAsia="en-US" w:bidi="ar-SA"/>
        </w:rPr>
        <w:t>nisi</w:t>
      </w:r>
      <w:r>
        <w:rPr>
          <w:rFonts w:ascii="arial" w:eastAsia="arial" w:hAnsi="arial" w:cs="arial"/>
          <w:color w:val="000000"/>
          <w:sz w:val="20"/>
          <w:lang w:val="en-US" w:eastAsia="en-US" w:bidi="ar-SA"/>
        </w:rPr>
        <w:t xml:space="preserve"> of foreclosure, did not implicitly decide that issue against the plaintiffs. Therefore, the doctrine of issue estoppel does not prevent the plaintiffs from raising that matter in a separate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 Issue estoppel, however, is only one of two branches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The other branch is cause of action estoppel (see </w:t>
      </w:r>
      <w:r>
        <w:rPr>
          <w:rFonts w:ascii="arial" w:eastAsia="arial" w:hAnsi="arial" w:cs="arial"/>
          <w:i/>
          <w:color w:val="000000"/>
          <w:sz w:val="20"/>
          <w:lang w:val="en-US" w:eastAsia="en-US" w:bidi="ar-SA"/>
        </w:rPr>
        <w:t>Angle v. Minister of National Revenue</w:t>
      </w:r>
      <w:r>
        <w:rPr>
          <w:rFonts w:ascii="arial" w:eastAsia="arial" w:hAnsi="arial" w:cs="arial"/>
          <w:color w:val="000000"/>
          <w:sz w:val="20"/>
          <w:lang w:val="en-US" w:eastAsia="en-US" w:bidi="ar-SA"/>
        </w:rPr>
        <w:t xml:space="preserve">, </w:t>
      </w:r>
      <w:hyperlink r:id="rId269" w:history="1">
        <w:r>
          <w:rPr>
            <w:rFonts w:ascii="arial" w:eastAsia="arial" w:hAnsi="arial" w:cs="arial"/>
            <w:i/>
            <w:color w:val="0077CC"/>
            <w:sz w:val="20"/>
            <w:u w:val="single"/>
            <w:shd w:val="clear" w:color="auto" w:fill="FFFFFF"/>
            <w:lang w:val="en-US" w:eastAsia="en-US" w:bidi="ar-SA"/>
          </w:rPr>
          <w:t>[1975] 2 S.C.R. 248</w:t>
        </w:r>
      </w:hyperlink>
      <w:r>
        <w:rPr>
          <w:rFonts w:ascii="arial" w:eastAsia="arial" w:hAnsi="arial" w:cs="arial"/>
          <w:color w:val="000000"/>
          <w:sz w:val="20"/>
          <w:lang w:val="en-US" w:eastAsia="en-US" w:bidi="ar-SA"/>
        </w:rPr>
        <w:t xml:space="preserve"> at 254 and </w:t>
      </w:r>
      <w:r>
        <w:rPr>
          <w:rFonts w:ascii="arial" w:eastAsia="arial" w:hAnsi="arial" w:cs="arial"/>
          <w:i/>
          <w:color w:val="000000"/>
          <w:sz w:val="20"/>
          <w:lang w:val="en-US" w:eastAsia="en-US" w:bidi="ar-SA"/>
        </w:rPr>
        <w:t>Cliffs over Maple Bay Investments Ltd. (Re)</w:t>
      </w:r>
      <w:r>
        <w:rPr>
          <w:rFonts w:ascii="arial" w:eastAsia="arial" w:hAnsi="arial" w:cs="arial"/>
          <w:color w:val="000000"/>
          <w:sz w:val="20"/>
          <w:lang w:val="en-US" w:eastAsia="en-US" w:bidi="ar-SA"/>
        </w:rPr>
        <w:t xml:space="preserve">, </w:t>
      </w:r>
      <w:hyperlink r:id="rId270" w:history="1">
        <w:r>
          <w:rPr>
            <w:rFonts w:ascii="arial" w:eastAsia="arial" w:hAnsi="arial" w:cs="arial"/>
            <w:i/>
            <w:color w:val="0077CC"/>
            <w:sz w:val="20"/>
            <w:u w:val="single"/>
            <w:shd w:val="clear" w:color="auto" w:fill="FFFFFF"/>
            <w:lang w:val="en-US" w:eastAsia="en-US" w:bidi="ar-SA"/>
          </w:rPr>
          <w:t>2011 BCCA 180</w:t>
        </w:r>
      </w:hyperlink>
      <w:r>
        <w:rPr>
          <w:rFonts w:ascii="arial" w:eastAsia="arial" w:hAnsi="arial" w:cs="arial"/>
          <w:color w:val="000000"/>
          <w:sz w:val="20"/>
          <w:lang w:val="en-US" w:eastAsia="en-US" w:bidi="ar-SA"/>
        </w:rPr>
        <w:t xml:space="preserve"> at para. 27). In </w:t>
      </w:r>
      <w:r>
        <w:rPr>
          <w:rFonts w:ascii="arial" w:eastAsia="arial" w:hAnsi="arial" w:cs="arial"/>
          <w:i/>
          <w:color w:val="000000"/>
          <w:sz w:val="20"/>
          <w:lang w:val="en-US" w:eastAsia="en-US" w:bidi="ar-SA"/>
        </w:rPr>
        <w:t>Hoque v. Montreal Trust Co. of Canada</w:t>
      </w:r>
      <w:r>
        <w:rPr>
          <w:rFonts w:ascii="arial" w:eastAsia="arial" w:hAnsi="arial" w:cs="arial"/>
          <w:color w:val="000000"/>
          <w:sz w:val="20"/>
          <w:lang w:val="en-US" w:eastAsia="en-US" w:bidi="ar-SA"/>
        </w:rPr>
        <w:t xml:space="preserve"> </w:t>
      </w:r>
      <w:hyperlink r:id="rId266" w:history="1">
        <w:r>
          <w:rPr>
            <w:rFonts w:ascii="arial" w:eastAsia="arial" w:hAnsi="arial" w:cs="arial"/>
            <w:i/>
            <w:color w:val="0077CC"/>
            <w:sz w:val="20"/>
            <w:u w:val="single"/>
            <w:shd w:val="clear" w:color="auto" w:fill="FFFFFF"/>
            <w:lang w:val="en-US" w:eastAsia="en-US" w:bidi="ar-SA"/>
          </w:rPr>
          <w:t>(1997), 162 N.S.R. (2d) 321</w:t>
        </w:r>
      </w:hyperlink>
      <w:r>
        <w:rPr>
          <w:rFonts w:ascii="arial" w:eastAsia="arial" w:hAnsi="arial" w:cs="arial"/>
          <w:color w:val="000000"/>
          <w:sz w:val="20"/>
          <w:lang w:val="en-US" w:eastAsia="en-US" w:bidi="ar-SA"/>
        </w:rPr>
        <w:t xml:space="preserve"> (C.A.), Cromwell J.A. (as he then was) said this about the two branches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is mainly concerned with two principles. First, there is a principle that "... prevents the contradiction of that which was determined in the previous litigation, by prohibiting the relitigation of issues already actually addressed.": see Sopinka, Lederman and Bryant, </w:t>
      </w:r>
      <w:r>
        <w:rPr>
          <w:rFonts w:ascii="arial" w:eastAsia="arial" w:hAnsi="arial" w:cs="arial"/>
          <w:i/>
          <w:color w:val="000000"/>
          <w:sz w:val="20"/>
          <w:lang w:val="en-US" w:eastAsia="en-US" w:bidi="ar-SA"/>
        </w:rPr>
        <w:t>The Law of Evidence in Canada</w:t>
      </w:r>
      <w:r>
        <w:rPr>
          <w:rFonts w:ascii="arial" w:eastAsia="arial" w:hAnsi="arial" w:cs="arial"/>
          <w:color w:val="000000"/>
          <w:sz w:val="20"/>
          <w:lang w:val="en-US" w:eastAsia="en-US" w:bidi="ar-SA"/>
        </w:rPr>
        <w:t xml:space="preserve"> (1991), at p. 997. The second principle is that parties must bring forward all of the claims and defences with respect to the cause of action at issue in the first proceeding and that, if they fail to do so, they will be barred from asserting them in a subsequent action. This "...prevents fragmentation of litigation by prohibiting the litigation of matters that were never actually addressed in the previous litigation, but which properly belonged to it.": ibid at 998. Cause of action estoppel is usually concerned with the application of this second principle because its operation bars all of the issues properly belonging to the earlier litigation.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[26] It was not necessary for the court, in issuing an order </w:t>
      </w:r>
      <w:r>
        <w:rPr>
          <w:rFonts w:ascii="arial" w:eastAsia="arial" w:hAnsi="arial" w:cs="arial"/>
          <w:i/>
          <w:color w:val="000000"/>
          <w:sz w:val="20"/>
          <w:lang w:val="en-US" w:eastAsia="en-US" w:bidi="ar-SA"/>
        </w:rPr>
        <w:t>nisi</w:t>
      </w:r>
      <w:r>
        <w:rPr>
          <w:rFonts w:ascii="arial" w:eastAsia="arial" w:hAnsi="arial" w:cs="arial"/>
          <w:color w:val="000000"/>
          <w:sz w:val="20"/>
          <w:lang w:val="en-US" w:eastAsia="en-US" w:bidi="ar-SA"/>
        </w:rPr>
        <w:t xml:space="preserve"> of foreclosure, to examine the question of whether a misrepresentation by the bank as to its readiness to renew the mortgage induced the plaintiffs to forego the sale of the property. Nonetheless, it would have been sensible for the matter to have been raised in the foreclosure proceeding, as it was closely tied to the issues that were before the court in that proceeding, and could have affected the judgment. It is strongly arguable, therefore, that cause of action estoppel would preclude the raising of that issue in a new action, even though it is not a matter covered by issue estoppel (see, for example, </w:t>
      </w:r>
      <w:r>
        <w:rPr>
          <w:rFonts w:ascii="arial" w:eastAsia="arial" w:hAnsi="arial" w:cs="arial"/>
          <w:i/>
          <w:color w:val="000000"/>
          <w:sz w:val="20"/>
          <w:lang w:val="en-US" w:eastAsia="en-US" w:bidi="ar-SA"/>
        </w:rPr>
        <w:t>420093 BC Ltd. v. Bank of Montreal</w:t>
      </w:r>
      <w:r>
        <w:rPr>
          <w:rFonts w:ascii="arial" w:eastAsia="arial" w:hAnsi="arial" w:cs="arial"/>
          <w:color w:val="000000"/>
          <w:sz w:val="20"/>
          <w:lang w:val="en-US" w:eastAsia="en-US" w:bidi="ar-SA"/>
        </w:rPr>
        <w:t xml:space="preserve"> </w:t>
      </w:r>
      <w:hyperlink r:id="rId268" w:history="1">
        <w:r>
          <w:rPr>
            <w:rFonts w:ascii="arial" w:eastAsia="arial" w:hAnsi="arial" w:cs="arial"/>
            <w:i/>
            <w:color w:val="0077CC"/>
            <w:sz w:val="20"/>
            <w:u w:val="single"/>
            <w:shd w:val="clear" w:color="auto" w:fill="FFFFFF"/>
            <w:lang w:val="en-US" w:eastAsia="en-US" w:bidi="ar-SA"/>
          </w:rPr>
          <w:t>(1995), 128 D.L.R. (4th) 488</w:t>
        </w:r>
      </w:hyperlink>
      <w:r>
        <w:rPr>
          <w:rFonts w:ascii="arial" w:eastAsia="arial" w:hAnsi="arial" w:cs="arial"/>
          <w:color w:val="000000"/>
          <w:sz w:val="20"/>
          <w:lang w:val="en-US" w:eastAsia="en-US" w:bidi="ar-SA"/>
        </w:rPr>
        <w:t>, particularly at para. 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On the facts at bar, the allegations in this proceeding go to the root of the mortgage claim. More specifically, the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breach of a duty of care, breach of contract, and fraudulent or negligent misrepresentation are all derived from the mortgage on the Property, and the plaintiff's related interactions with ACU. As such, they should have been argued in the foreclosure proceedings which resulted in the order </w:t>
      </w:r>
      <w:r>
        <w:rPr>
          <w:rFonts w:ascii="arial" w:eastAsia="arial" w:hAnsi="arial" w:cs="arial"/>
          <w:i/>
          <w:color w:val="000000"/>
          <w:sz w:val="20"/>
          <w:lang w:val="en-US" w:eastAsia="en-US" w:bidi="ar-SA"/>
        </w:rPr>
        <w:t>nisi</w:t>
      </w:r>
      <w:r>
        <w:rPr>
          <w:rFonts w:ascii="arial" w:eastAsia="arial" w:hAnsi="arial" w:cs="arial"/>
          <w:color w:val="000000"/>
          <w:sz w:val="20"/>
          <w:lang w:val="en-US" w:eastAsia="en-US" w:bidi="ar-SA"/>
        </w:rPr>
        <w:t>, a final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Akin to what was seen in </w:t>
      </w:r>
      <w:r>
        <w:rPr>
          <w:rFonts w:ascii="arial" w:eastAsia="arial" w:hAnsi="arial" w:cs="arial"/>
          <w:i/>
          <w:color w:val="000000"/>
          <w:sz w:val="20"/>
          <w:lang w:val="en-US" w:eastAsia="en-US" w:bidi="ar-SA"/>
        </w:rPr>
        <w:t>420093 B.C. Ltd</w:t>
      </w:r>
      <w:r>
        <w:rPr>
          <w:rFonts w:ascii="arial" w:eastAsia="arial" w:hAnsi="arial" w:cs="arial"/>
          <w:color w:val="000000"/>
          <w:sz w:val="20"/>
          <w:lang w:val="en-US" w:eastAsia="en-US" w:bidi="ar-SA"/>
        </w:rPr>
        <w:t>. (at para. 42), the subsequent claims in this proceeding could have been raised in the foreclosure action as matters of equitable set-off. Cause of action estoppel therefore bars the claims in this proceeding, which are dismissed as disclosing no reasonable claim and as an abuse of process pursuant to Rule 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In addition, the defendant advanced an application pursuant to Rule 9-7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It was noted that the application has been before the courts for more than two and a half years since the first adjournment application by the plaintiff. The plaintiff has not advanced any evidence in conflict or opposition to the material facts in this case presented by ACU, particularly those surrounding the failure to pay the mortgage. The affidavits which have been filed by the plaintiff, apart from numerous paragraphs that are not admissible as hearsay, are now substantially out of date as the Property has been sold and the proceeds of sale - at least in part - distributed to the beneficiaries under the Will including the plaintiff and creditors of the plaintiff. This action would therefore be dismissed on the merits at any rate pursuant to Rule 9-7. The plaintiff lacks standing to bring claims on behalf of the estate, and any personal claims fail due to lack of any opposition to the material facts that would only support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Pursuant to Rule 9-7(15) this court grants judgment for the defendant in this action and dismisses the whole of this action as the plaintiff has failed to prove any claim against ACU.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Section 18 of the Supreme Court Act - Vexatious Litigant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This action is a profound example of vexatious litigation. The case involved foreclosure of a mortgage held by a financial institution; the mortgage with a value under $60,000. There have been more than 23 Masters, Justices of the Supreme Court and Court of Appeal, a number of those on more than one occasion, who have heard the large number of applications, applications for review, and appeals brought by the plaintiff. I have not included in this count the many occasions when the plaintiff has simply sought and obtained an adjournment, or the proceedings under the </w:t>
      </w:r>
      <w:r>
        <w:rPr>
          <w:rFonts w:ascii="arial" w:eastAsia="arial" w:hAnsi="arial" w:cs="arial"/>
          <w:i/>
          <w:color w:val="000000"/>
          <w:sz w:val="20"/>
          <w:lang w:val="en-US" w:eastAsia="en-US" w:bidi="ar-SA"/>
        </w:rPr>
        <w:t>Wills Variation Act</w:t>
      </w:r>
      <w:r>
        <w:rPr>
          <w:rFonts w:ascii="arial" w:eastAsia="arial" w:hAnsi="arial" w:cs="arial"/>
          <w:color w:val="000000"/>
          <w:sz w:val="20"/>
          <w:lang w:val="en-US" w:eastAsia="en-US" w:bidi="ar-SA"/>
        </w:rPr>
        <w:t xml:space="preserve"> or in relation to obtaining an order for probate of the estate. The court costs awarded against the plaintiff by this Court and the Court of Appeal exceed the amount owing on the mortgage by several times 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cost to the public for the court system being tied up with this proceeding has also been dramatically high, and for little apparent positive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This case bears some significant similarities to </w:t>
      </w:r>
      <w:r>
        <w:rPr>
          <w:rFonts w:ascii="arial" w:eastAsia="arial" w:hAnsi="arial" w:cs="arial"/>
          <w:i/>
          <w:color w:val="000000"/>
          <w:sz w:val="20"/>
          <w:lang w:val="en-US" w:eastAsia="en-US" w:bidi="ar-SA"/>
        </w:rPr>
        <w:t>Royal Bank of Canada v. Davis</w:t>
      </w:r>
      <w:r>
        <w:rPr>
          <w:rFonts w:ascii="arial" w:eastAsia="arial" w:hAnsi="arial" w:cs="arial"/>
          <w:color w:val="000000"/>
          <w:sz w:val="20"/>
          <w:lang w:val="en-US" w:eastAsia="en-US" w:bidi="ar-SA"/>
        </w:rPr>
        <w:t xml:space="preserve">, </w:t>
      </w:r>
      <w:hyperlink r:id="rId271" w:history="1">
        <w:r>
          <w:rPr>
            <w:rFonts w:ascii="arial" w:eastAsia="arial" w:hAnsi="arial" w:cs="arial"/>
            <w:i/>
            <w:color w:val="0077CC"/>
            <w:sz w:val="20"/>
            <w:u w:val="single"/>
            <w:shd w:val="clear" w:color="auto" w:fill="FFFFFF"/>
            <w:lang w:val="en-US" w:eastAsia="en-US" w:bidi="ar-SA"/>
          </w:rPr>
          <w:t>2016 BCSC 2074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Davis</w:t>
      </w:r>
      <w:r>
        <w:rPr>
          <w:rFonts w:ascii="arial" w:eastAsia="arial" w:hAnsi="arial" w:cs="arial"/>
          <w:color w:val="000000"/>
          <w:sz w:val="20"/>
          <w:lang w:val="en-US" w:eastAsia="en-US" w:bidi="ar-SA"/>
        </w:rPr>
        <w:t xml:space="preserve">], where a plaintiff advanced repeated unsuccessful claims, similar to those in the case at bar, without success. Griffin J. (as she then was), noted at para. 7 a helpful summary of the law under s. 18 of the </w:t>
      </w:r>
      <w:r>
        <w:rPr>
          <w:rFonts w:ascii="arial" w:eastAsia="arial" w:hAnsi="arial" w:cs="arial"/>
          <w:i/>
          <w:color w:val="000000"/>
          <w:sz w:val="20"/>
          <w:lang w:val="en-US" w:eastAsia="en-US" w:bidi="ar-SA"/>
        </w:rPr>
        <w:t>Supreme Court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443</w:t>
      </w:r>
      <w:r>
        <w:rPr>
          <w:rFonts w:ascii="arial" w:eastAsia="arial" w:hAnsi="arial" w:cs="arial"/>
          <w:color w:val="000000"/>
          <w:sz w:val="20"/>
          <w:lang w:val="en-US" w:eastAsia="en-US" w:bidi="ar-SA"/>
        </w:rPr>
        <w:t xml:space="preserve">, which I have reviewed and considered in making a finding below. Also, at para. 11 of the same reasons, it is noted that the jurisdiction to declare a party "a vexatious litigant has to be exercised with great caution: </w:t>
      </w:r>
      <w:r>
        <w:rPr>
          <w:rFonts w:ascii="arial" w:eastAsia="arial" w:hAnsi="arial" w:cs="arial"/>
          <w:i/>
          <w:color w:val="000000"/>
          <w:sz w:val="20"/>
          <w:lang w:val="en-US" w:eastAsia="en-US" w:bidi="ar-SA"/>
        </w:rPr>
        <w:t>Household Trust Co. v. Golden Horse Farms Inc</w:t>
      </w:r>
      <w:r>
        <w:rPr>
          <w:rFonts w:ascii="arial" w:eastAsia="arial" w:hAnsi="arial" w:cs="arial"/>
          <w:color w:val="000000"/>
          <w:sz w:val="20"/>
          <w:lang w:val="en-US" w:eastAsia="en-US" w:bidi="ar-SA"/>
        </w:rPr>
        <w:t xml:space="preserve">. </w:t>
      </w:r>
      <w:hyperlink r:id="rId272" w:history="1">
        <w:r>
          <w:rPr>
            <w:rFonts w:ascii="arial" w:eastAsia="arial" w:hAnsi="arial" w:cs="arial"/>
            <w:i/>
            <w:color w:val="0077CC"/>
            <w:sz w:val="20"/>
            <w:u w:val="single"/>
            <w:shd w:val="clear" w:color="auto" w:fill="FFFFFF"/>
            <w:lang w:val="en-US" w:eastAsia="en-US" w:bidi="ar-SA"/>
          </w:rPr>
          <w:t>(1992), 65 B.C.L.R. (2d) 355</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Similarly to </w:t>
      </w:r>
      <w:r>
        <w:rPr>
          <w:rFonts w:ascii="arial" w:eastAsia="arial" w:hAnsi="arial" w:cs="arial"/>
          <w:i/>
          <w:color w:val="000000"/>
          <w:sz w:val="20"/>
          <w:lang w:val="en-US" w:eastAsia="en-US" w:bidi="ar-SA"/>
        </w:rPr>
        <w:t>Davis</w:t>
      </w:r>
      <w:r>
        <w:rPr>
          <w:rFonts w:ascii="arial" w:eastAsia="arial" w:hAnsi="arial" w:cs="arial"/>
          <w:color w:val="000000"/>
          <w:sz w:val="20"/>
          <w:lang w:val="en-US" w:eastAsia="en-US" w:bidi="ar-SA"/>
        </w:rPr>
        <w:t xml:space="preserve">, in the present case, upon a review of the evidence and submissions before the Court, I am persuaded that the plaintiff has taken habitual and persistent steps in the foreclosure proceeding which she repeatedly lost. Quoting from para. 12 of </w:t>
      </w:r>
      <w:r>
        <w:rPr>
          <w:rFonts w:ascii="arial" w:eastAsia="arial" w:hAnsi="arial" w:cs="arial"/>
          <w:i/>
          <w:color w:val="000000"/>
          <w:sz w:val="20"/>
          <w:lang w:val="en-US" w:eastAsia="en-US" w:bidi="ar-SA"/>
        </w:rPr>
        <w:t>Davis</w:t>
      </w:r>
      <w:r>
        <w:rPr>
          <w:rFonts w:ascii="arial" w:eastAsia="arial" w:hAnsi="arial" w:cs="arial"/>
          <w:color w:val="000000"/>
          <w:sz w:val="20"/>
          <w:lang w:val="en-US" w:eastAsia="en-US" w:bidi="ar-SA"/>
        </w:rPr>
        <w:t xml:space="preserve"> "[s]he appears to have a lack of self-control in accepting losses, and so finds new ways to repeat her allegations in new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A review of the history of this action and the previous foreclosure litigation taken together with the submissions of ACU support a court order declaring Janet Jasmine Hoessmann, a vexatious litigant in relation to her claims against ACU.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Following a hearing before Mr. Justice Donald in chambers on February 16. 2017, the Court of Appeal found the plaintiff was a vexatious litigant in the context of the </w:t>
      </w:r>
      <w:r>
        <w:rPr>
          <w:rFonts w:ascii="arial" w:eastAsia="arial" w:hAnsi="arial" w:cs="arial"/>
          <w:i/>
          <w:color w:val="000000"/>
          <w:sz w:val="20"/>
          <w:lang w:val="en-US" w:eastAsia="en-US" w:bidi="ar-SA"/>
        </w:rPr>
        <w:t>Wills Variation Act</w:t>
      </w:r>
      <w:r>
        <w:rPr>
          <w:rFonts w:ascii="arial" w:eastAsia="arial" w:hAnsi="arial" w:cs="arial"/>
          <w:color w:val="000000"/>
          <w:sz w:val="20"/>
          <w:lang w:val="en-US" w:eastAsia="en-US" w:bidi="ar-SA"/>
        </w:rPr>
        <w:t xml:space="preserve"> action. An order as such was entered on May 3,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Therefore, I make the following orders</w:t>
      </w:r>
      <w:r>
        <w:rPr>
          <w:rFonts w:ascii="arial" w:eastAsia="arial" w:hAnsi="arial" w:cs="arial"/>
          <w:sz w:val="20"/>
          <w:lang w:val="en-US" w:eastAsia="en-US" w:bidi="ar-SA"/>
        </w:rPr>
        <w:cr/>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Janet Jasmine Hoessmann is a vexatious litigant; and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that Janet Jasmine Hoessmann be prohibited from initiating any legal proceedings, including but not limited to interlocutory applications, against the Aldergrove Credit Union or any of its officers, agents, or employees without leave of the Court, subject to an appeal of this Order and the Order of the Court of Appeal pronounced February 16, 2017 referred to in para. 52 hereof.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ACU has applied for special costs of these proceedings. As this action has been decided primarily under Rule 9-5 where the claims are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it must be noted that Rule specifically provides for special costs to be awarded against a party bringing claims that have no merit and abuse the Court's process; such proceedings constitute conduct worthy of rebuke. See also: </w:t>
      </w:r>
      <w:r>
        <w:rPr>
          <w:rFonts w:ascii="arial" w:eastAsia="arial" w:hAnsi="arial" w:cs="arial"/>
          <w:i/>
          <w:color w:val="000000"/>
          <w:sz w:val="20"/>
          <w:lang w:val="en-US" w:eastAsia="en-US" w:bidi="ar-SA"/>
        </w:rPr>
        <w:t>Royal Bank of Canada v. B.M.P. Global Distribution Inc.</w:t>
      </w:r>
      <w:r>
        <w:rPr>
          <w:rFonts w:ascii="arial" w:eastAsia="arial" w:hAnsi="arial" w:cs="arial"/>
          <w:color w:val="000000"/>
          <w:sz w:val="20"/>
          <w:lang w:val="en-US" w:eastAsia="en-US" w:bidi="ar-SA"/>
        </w:rPr>
        <w:t xml:space="preserve">, </w:t>
      </w:r>
      <w:hyperlink r:id="rId273" w:history="1">
        <w:r>
          <w:rPr>
            <w:rFonts w:ascii="arial" w:eastAsia="arial" w:hAnsi="arial" w:cs="arial"/>
            <w:i/>
            <w:color w:val="0077CC"/>
            <w:sz w:val="20"/>
            <w:u w:val="single"/>
            <w:shd w:val="clear" w:color="auto" w:fill="FFFFFF"/>
            <w:lang w:val="en-US" w:eastAsia="en-US" w:bidi="ar-SA"/>
          </w:rPr>
          <w:t>2011 BCSC 1650</w:t>
        </w:r>
      </w:hyperlink>
      <w:r>
        <w:rPr>
          <w:rFonts w:ascii="arial" w:eastAsia="arial" w:hAnsi="arial" w:cs="arial"/>
          <w:color w:val="000000"/>
          <w:sz w:val="20"/>
          <w:lang w:val="en-US" w:eastAsia="en-US" w:bidi="ar-SA"/>
        </w:rPr>
        <w:t xml:space="preserve"> at para. 27-37; and </w:t>
      </w:r>
      <w:r>
        <w:rPr>
          <w:rFonts w:ascii="arial" w:eastAsia="arial" w:hAnsi="arial" w:cs="arial"/>
          <w:i/>
          <w:color w:val="000000"/>
          <w:sz w:val="20"/>
          <w:lang w:val="en-US" w:eastAsia="en-US" w:bidi="ar-SA"/>
        </w:rPr>
        <w:t>Gonzalez v. Gonzalez</w:t>
      </w:r>
      <w:r>
        <w:rPr>
          <w:rFonts w:ascii="arial" w:eastAsia="arial" w:hAnsi="arial" w:cs="arial"/>
          <w:color w:val="000000"/>
          <w:sz w:val="20"/>
          <w:lang w:val="en-US" w:eastAsia="en-US" w:bidi="ar-SA"/>
        </w:rPr>
        <w:t xml:space="preserve">, </w:t>
      </w:r>
      <w:hyperlink r:id="rId274" w:history="1">
        <w:r>
          <w:rPr>
            <w:rFonts w:ascii="arial" w:eastAsia="arial" w:hAnsi="arial" w:cs="arial"/>
            <w:i/>
            <w:color w:val="0077CC"/>
            <w:sz w:val="20"/>
            <w:u w:val="single"/>
            <w:shd w:val="clear" w:color="auto" w:fill="FFFFFF"/>
            <w:lang w:val="en-US" w:eastAsia="en-US" w:bidi="ar-SA"/>
          </w:rPr>
          <w:t>2016 BCCA 376</w:t>
        </w:r>
      </w:hyperlink>
      <w:r>
        <w:rPr>
          <w:rFonts w:ascii="arial" w:eastAsia="arial" w:hAnsi="arial" w:cs="arial"/>
          <w:color w:val="000000"/>
          <w:sz w:val="20"/>
          <w:lang w:val="en-US" w:eastAsia="en-US" w:bidi="ar-SA"/>
        </w:rPr>
        <w:t xml:space="preserve"> at para.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Outside the ambit of Rule 9-5, in </w:t>
      </w:r>
      <w:r>
        <w:rPr>
          <w:rFonts w:ascii="arial" w:eastAsia="arial" w:hAnsi="arial" w:cs="arial"/>
          <w:i/>
          <w:color w:val="000000"/>
          <w:sz w:val="20"/>
          <w:lang w:val="en-US" w:eastAsia="en-US" w:bidi="ar-SA"/>
        </w:rPr>
        <w:t>Mayer v. Osborne Contracting Ltd.</w:t>
      </w:r>
      <w:r>
        <w:rPr>
          <w:rFonts w:ascii="arial" w:eastAsia="arial" w:hAnsi="arial" w:cs="arial"/>
          <w:color w:val="000000"/>
          <w:sz w:val="20"/>
          <w:lang w:val="en-US" w:eastAsia="en-US" w:bidi="ar-SA"/>
        </w:rPr>
        <w:t xml:space="preserve">, </w:t>
      </w:r>
      <w:hyperlink r:id="rId275" w:history="1">
        <w:r>
          <w:rPr>
            <w:rFonts w:ascii="arial" w:eastAsia="arial" w:hAnsi="arial" w:cs="arial"/>
            <w:i/>
            <w:color w:val="0077CC"/>
            <w:sz w:val="20"/>
            <w:u w:val="single"/>
            <w:shd w:val="clear" w:color="auto" w:fill="FFFFFF"/>
            <w:lang w:val="en-US" w:eastAsia="en-US" w:bidi="ar-SA"/>
          </w:rPr>
          <w:t>2011 BCSC 914</w:t>
        </w:r>
      </w:hyperlink>
      <w:r>
        <w:rPr>
          <w:rFonts w:ascii="arial" w:eastAsia="arial" w:hAnsi="arial" w:cs="arial"/>
          <w:color w:val="000000"/>
          <w:sz w:val="20"/>
          <w:lang w:val="en-US" w:eastAsia="en-US" w:bidi="ar-SA"/>
        </w:rPr>
        <w:t>, Walker J. at para. 11 detailed circumstances in which special costs may be ordered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Special costs may be ordered in the following circumstances:</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party pursues a meritless claim and is reckless with regard to the truth;</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party makes improper allegations of fraud, conspiracy, fraudulent misrepresentation, or breach of fiduciary duty;</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party has displayed "reckless indifference" by not recognizing early on that its claim was manifestly deficient;</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party made the resolution of an issue far more difficult than it should have been;</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party who is in a financially superior position to the other brings proceedings, not with the reasonable expectation of a favourable outcome, but in the absence of merit in order to impose a financial burden on the opposing party;</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party presents a case so weak that it is bound to fail, and continues to pursue its meritless claim after it is drawn to its attention that the claim is without merit;</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party brings a proceeding for an improper motive;</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party maintains unfounded allegations of fraud or dishonesty; and</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party pursues claims frivolously or without foundation.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The term "reprehensible conduct" encompasses a wide variety of conduct that may include both scandalous and outrageous conduct as well as more minor forms of misconduct deserving rebuke: </w:t>
      </w:r>
      <w:r>
        <w:rPr>
          <w:rFonts w:ascii="arial" w:eastAsia="arial" w:hAnsi="arial" w:cs="arial"/>
          <w:i/>
          <w:color w:val="000000"/>
          <w:sz w:val="20"/>
          <w:lang w:val="en-US" w:eastAsia="en-US" w:bidi="ar-SA"/>
        </w:rPr>
        <w:t>Leung v. Leung</w:t>
      </w:r>
      <w:r>
        <w:rPr>
          <w:rFonts w:ascii="arial" w:eastAsia="arial" w:hAnsi="arial" w:cs="arial"/>
          <w:color w:val="000000"/>
          <w:sz w:val="20"/>
          <w:lang w:val="en-US" w:eastAsia="en-US" w:bidi="ar-SA"/>
        </w:rPr>
        <w:t xml:space="preserve"> </w:t>
      </w:r>
      <w:hyperlink r:id="rId276" w:history="1">
        <w:r>
          <w:rPr>
            <w:rFonts w:ascii="arial" w:eastAsia="arial" w:hAnsi="arial" w:cs="arial"/>
            <w:i/>
            <w:color w:val="0077CC"/>
            <w:sz w:val="20"/>
            <w:u w:val="single"/>
            <w:shd w:val="clear" w:color="auto" w:fill="FFFFFF"/>
            <w:lang w:val="en-US" w:eastAsia="en-US" w:bidi="ar-SA"/>
          </w:rPr>
          <w:t>(1993), 77 B.C.L.R. (2d) 314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It has been considered challenging to "pinpoint the outer limits of what is reprehensible", as noted in </w:t>
      </w:r>
      <w:r>
        <w:rPr>
          <w:rFonts w:ascii="arial" w:eastAsia="arial" w:hAnsi="arial" w:cs="arial"/>
          <w:i/>
          <w:color w:val="000000"/>
          <w:sz w:val="20"/>
          <w:lang w:val="en-US" w:eastAsia="en-US" w:bidi="ar-SA"/>
        </w:rPr>
        <w:t>Westsea Construction Ltd. v. 0759553 B.C. Ltd.</w:t>
      </w:r>
      <w:r>
        <w:rPr>
          <w:rFonts w:ascii="arial" w:eastAsia="arial" w:hAnsi="arial" w:cs="arial"/>
          <w:color w:val="000000"/>
          <w:sz w:val="20"/>
          <w:lang w:val="en-US" w:eastAsia="en-US" w:bidi="ar-SA"/>
        </w:rPr>
        <w:t xml:space="preserve">, </w:t>
      </w:r>
      <w:hyperlink r:id="rId277" w:history="1">
        <w:r>
          <w:rPr>
            <w:rFonts w:ascii="arial" w:eastAsia="arial" w:hAnsi="arial" w:cs="arial"/>
            <w:i/>
            <w:color w:val="0077CC"/>
            <w:sz w:val="20"/>
            <w:u w:val="single"/>
            <w:shd w:val="clear" w:color="auto" w:fill="FFFFFF"/>
            <w:lang w:val="en-US" w:eastAsia="en-US" w:bidi="ar-SA"/>
          </w:rPr>
          <w:t>2013 BCSC 1352</w:t>
        </w:r>
      </w:hyperlink>
      <w:r>
        <w:rPr>
          <w:rFonts w:ascii="arial" w:eastAsia="arial" w:hAnsi="arial" w:cs="arial"/>
          <w:color w:val="000000"/>
          <w:sz w:val="20"/>
          <w:lang w:val="en-US" w:eastAsia="en-US" w:bidi="ar-SA"/>
        </w:rPr>
        <w:t xml:space="preserve"> at para. 38. Nevertheless, the misconduct must have an exceptional element of "something more" (</w:t>
      </w:r>
      <w:r>
        <w:rPr>
          <w:rFonts w:ascii="arial" w:eastAsia="arial" w:hAnsi="arial" w:cs="arial"/>
          <w:i/>
          <w:color w:val="000000"/>
          <w:sz w:val="20"/>
          <w:lang w:val="en-US" w:eastAsia="en-US" w:bidi="ar-SA"/>
        </w:rPr>
        <w:t>Westsea</w:t>
      </w:r>
      <w:r>
        <w:rPr>
          <w:rFonts w:ascii="arial" w:eastAsia="arial" w:hAnsi="arial" w:cs="arial"/>
          <w:color w:val="000000"/>
          <w:sz w:val="20"/>
          <w:lang w:val="en-US" w:eastAsia="en-US" w:bidi="ar-SA"/>
        </w:rPr>
        <w:t xml:space="preserve"> at para. 39). Reprehensible conduct has been found in meritless claims advanced for an improper motive and in a variety of other circumstances noted in </w:t>
      </w:r>
      <w:r>
        <w:rPr>
          <w:rFonts w:ascii="arial" w:eastAsia="arial" w:hAnsi="arial" w:cs="arial"/>
          <w:i/>
          <w:color w:val="000000"/>
          <w:sz w:val="20"/>
          <w:lang w:val="en-US" w:eastAsia="en-US" w:bidi="ar-SA"/>
        </w:rPr>
        <w:t>Westsea</w:t>
      </w:r>
      <w:r>
        <w:rPr>
          <w:rFonts w:ascii="arial" w:eastAsia="arial" w:hAnsi="arial" w:cs="arial"/>
          <w:color w:val="000000"/>
          <w:sz w:val="20"/>
          <w:lang w:val="en-US" w:eastAsia="en-US" w:bidi="ar-SA"/>
        </w:rPr>
        <w:t xml:space="preserve"> at paras. 43-50. Careless conduct or conduct amounting to reckless indifference in some circumstances has met the threshold of "reprehensible conduct": </w:t>
      </w:r>
      <w:r>
        <w:rPr>
          <w:rFonts w:ascii="arial" w:eastAsia="arial" w:hAnsi="arial" w:cs="arial"/>
          <w:i/>
          <w:color w:val="000000"/>
          <w:sz w:val="20"/>
          <w:lang w:val="en-US" w:eastAsia="en-US" w:bidi="ar-SA"/>
        </w:rPr>
        <w:t>Webber v. Dulai Roofing Ltd.</w:t>
      </w:r>
      <w:r>
        <w:rPr>
          <w:rFonts w:ascii="arial" w:eastAsia="arial" w:hAnsi="arial" w:cs="arial"/>
          <w:color w:val="000000"/>
          <w:sz w:val="20"/>
          <w:lang w:val="en-US" w:eastAsia="en-US" w:bidi="ar-SA"/>
        </w:rPr>
        <w:t xml:space="preserve">, </w:t>
      </w:r>
      <w:hyperlink r:id="rId278" w:history="1">
        <w:r>
          <w:rPr>
            <w:rFonts w:ascii="arial" w:eastAsia="arial" w:hAnsi="arial" w:cs="arial"/>
            <w:i/>
            <w:color w:val="0077CC"/>
            <w:sz w:val="20"/>
            <w:u w:val="single"/>
            <w:shd w:val="clear" w:color="auto" w:fill="FFFFFF"/>
            <w:lang w:val="en-US" w:eastAsia="en-US" w:bidi="ar-SA"/>
          </w:rPr>
          <w:t>2006 BCCA 501</w:t>
        </w:r>
      </w:hyperlink>
      <w:r>
        <w:rPr>
          <w:rFonts w:ascii="arial" w:eastAsia="arial" w:hAnsi="arial" w:cs="arial"/>
          <w:color w:val="000000"/>
          <w:sz w:val="20"/>
          <w:lang w:val="en-US" w:eastAsia="en-US" w:bidi="ar-SA"/>
        </w:rPr>
        <w:t xml:space="preserve"> at para.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On the other side of the coin, as noted in </w:t>
      </w:r>
      <w:r>
        <w:rPr>
          <w:rFonts w:ascii="arial" w:eastAsia="arial" w:hAnsi="arial" w:cs="arial"/>
          <w:i/>
          <w:color w:val="000000"/>
          <w:sz w:val="20"/>
          <w:lang w:val="en-US" w:eastAsia="en-US" w:bidi="ar-SA"/>
        </w:rPr>
        <w:t>Westsea</w:t>
      </w:r>
      <w:r>
        <w:rPr>
          <w:rFonts w:ascii="arial" w:eastAsia="arial" w:hAnsi="arial" w:cs="arial"/>
          <w:color w:val="000000"/>
          <w:sz w:val="20"/>
          <w:lang w:val="en-US" w:eastAsia="en-US" w:bidi="ar-SA"/>
        </w:rPr>
        <w:t xml:space="preserve"> at para. 51, "[a]n ill-informed position will not always attract special costs": also see </w:t>
      </w:r>
      <w:r>
        <w:rPr>
          <w:rFonts w:ascii="arial" w:eastAsia="arial" w:hAnsi="arial" w:cs="arial"/>
          <w:i/>
          <w:color w:val="000000"/>
          <w:sz w:val="20"/>
          <w:lang w:val="en-US" w:eastAsia="en-US" w:bidi="ar-SA"/>
        </w:rPr>
        <w:t>Webber</w:t>
      </w:r>
      <w:r>
        <w:rPr>
          <w:rFonts w:ascii="arial" w:eastAsia="arial" w:hAnsi="arial" w:cs="arial"/>
          <w:color w:val="000000"/>
          <w:sz w:val="20"/>
          <w:lang w:val="en-US" w:eastAsia="en-US" w:bidi="ar-SA"/>
        </w:rPr>
        <w:t xml:space="preserve"> at para.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At para. 73 in </w:t>
      </w:r>
      <w:r>
        <w:rPr>
          <w:rFonts w:ascii="arial" w:eastAsia="arial" w:hAnsi="arial" w:cs="arial"/>
          <w:i/>
          <w:color w:val="000000"/>
          <w:sz w:val="20"/>
          <w:lang w:val="en-US" w:eastAsia="en-US" w:bidi="ar-SA"/>
        </w:rPr>
        <w:t>Westsea</w:t>
      </w:r>
      <w:r>
        <w:rPr>
          <w:rFonts w:ascii="arial" w:eastAsia="arial" w:hAnsi="arial" w:cs="arial"/>
          <w:color w:val="000000"/>
          <w:sz w:val="20"/>
          <w:lang w:val="en-US" w:eastAsia="en-US" w:bidi="ar-SA"/>
        </w:rPr>
        <w:t>, Madam Justice Gropper helpfully set out principles regarding special costs which she reports based on her review of relevant authorities.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[73] I have undertaken a thorough review of the cases involving special costs. Having examined the authorities provided by both sides, it is apparent to me that the courts have been somewhat inconsistent in their determination of what amounts to reprehensible conduct and that those authorities must be reconciled. Based upon my review of the authorities, I have derived the following principles for awarding special costs:</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must exercise restraint in awarding specials costs;</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party seeking special costs must demonstrate exceptional circumstances to justify a special costs order;</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simply because the legal concept of "reprehensibility" captures different kinds of misconduct does not mean that all forms of misconduct are encompassed by this term;</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reprehensibility will likely be found in circumstances where there is evidence of improper motive, abuse of the court's process, misleading the court and persistent breaches of the rules of professional conduct and the rules of court that prejudice the applicant;</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costs can be ordered against parties and non-parties alike; and</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successful litigant is entitled to costs in accordance with the general rule that costs follow the event. Special costs are not awarded to a successful party as a "bonus" or further compensation for that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plaintiff has persisted in bringing to this Court positions which have no hope of success, simply refusing to take the "no" in a negative court order as an answer. She has launched repeated attempts at adjournment, review, and appeal, while making unfounded claims based on fraud, misrepresentation, and bad faith dealing in the business of ACU - where trust in the institution is a professional credential jealously guarded.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While appreciating the need to impose special costs with caution, and mindful that special costs are not intended as an additional award for a successful party, the reprehensible and remarkably wasteful conduct of the plaintiff in bringing this case is worthy of rebuke in the form of special costs. As a result there will be an order against the plaintiff for special costs payable to ACU forthwith after assessment for the entirety of this action, provided there shall be no duplication of existing orders for costs previously made herein.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K.W. BALL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9" style="position:absolute;z-index:2517698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79"/>
          <w:headerReference w:type="default" r:id="rId280"/>
          <w:footerReference w:type="even" r:id="rId281"/>
          <w:footerReference w:type="default" r:id="rId282"/>
          <w:headerReference w:type="first" r:id="rId283"/>
          <w:footerReference w:type="first" r:id="rId28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85" w:history="1">
        <w:r>
          <w:rPr>
            <w:rFonts w:ascii="arial" w:eastAsia="arial" w:hAnsi="arial" w:cs="arial"/>
            <w:b/>
            <w:bCs/>
            <w:i/>
            <w:color w:val="0077CC"/>
            <w:kern w:val="32"/>
            <w:sz w:val="28"/>
            <w:szCs w:val="32"/>
            <w:u w:val="single"/>
            <w:shd w:val="clear" w:color="auto" w:fill="FFFFFF"/>
            <w:lang w:val="en-US" w:eastAsia="en-US" w:bidi="ar-SA"/>
          </w:rPr>
          <w:t>Hung Fook Canada Ltd. v. Silcorp Ltd. (c.o.b. Mac's Convenience Stores), [2000] B.C.J. No. 404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McEwan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14 and 21,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25,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C996333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404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354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Hung Fook Canada Ltd., plaintiff, and Silcorp Limited, d.b.a. Mac's Convenience Stores, Gilbarco Canada Ltd., and Morrow Environmental Consultants Inc., defendants, and Silcorp Limited, Gilbarco Canada Ltd., Darwest Oil Services Ltd., Western Oil Servcies Ltd., Adem Engineering Ltd., and McIntosh Supply Ltd.,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(12 paras.)</w:t>
      </w:r>
    </w:p>
    <w:p>
      <w:pPr>
        <w:jc w:val="both"/>
        <w:rPr>
          <w:rFonts w:ascii="arial" w:eastAsia="arial" w:hAnsi="arial" w:cs="arial"/>
          <w:sz w:val="20"/>
          <w:lang w:val="en-US" w:eastAsia="en-US" w:bidi="ar-SA"/>
        </w:rPr>
      </w:pPr>
      <w:bookmarkStart w:id="37" w:name="Counsel_9"/>
      <w:bookmarkEnd w:id="3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0" style="position:absolute;z-index:251669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J.D. Spears, for the plaintiff. G.C. Weatherill and T.D. London, for the defendant and third party, Gilbarco Canada Ltd.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8" w:name="Judgment_9"/>
      <w:bookmarkEnd w:id="38"/>
      <w:r>
        <w:pict>
          <v:line id="_x0000_s1061" style="position:absolute;z-index:25172070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9" w:name="McEWAN J."/>
            <w:bookmarkEnd w:id="39"/>
            <w:r>
              <w:rPr>
                <w:rFonts w:ascii="arial" w:eastAsia="arial" w:hAnsi="arial" w:cs="arial"/>
                <w:b/>
                <w:color w:val="000000"/>
                <w:sz w:val="30"/>
                <w:lang w:val="en-US" w:eastAsia="en-US" w:bidi="ar-SA"/>
              </w:rPr>
              <w:t>McEWAN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On October 18, 1999, </w:t>
      </w:r>
      <w:hyperlink r:id="rId286" w:history="1">
        <w:r>
          <w:rPr>
            <w:rFonts w:ascii="arial" w:eastAsia="arial" w:hAnsi="arial" w:cs="arial"/>
            <w:i/>
            <w:color w:val="0077CC"/>
            <w:sz w:val="20"/>
            <w:u w:val="single"/>
            <w:shd w:val="clear" w:color="auto" w:fill="FFFFFF"/>
            <w:lang w:val="en-US" w:eastAsia="en-US" w:bidi="ar-SA"/>
          </w:rPr>
          <w:t>[1999] B.C.J. No. 2420</w:t>
        </w:r>
      </w:hyperlink>
      <w:r>
        <w:rPr>
          <w:rFonts w:ascii="arial" w:eastAsia="arial" w:hAnsi="arial" w:cs="arial"/>
          <w:color w:val="000000"/>
          <w:sz w:val="20"/>
          <w:lang w:val="en-US" w:eastAsia="en-US" w:bidi="ar-SA"/>
        </w:rPr>
        <w:t>, I ordered that the Counterclaim issued in action A913803 by Hung Fook Canada Ltd. on April 15, 1992 be severed from that action and brought properly by Writ of Summons and Statement of Claim. I had found that the "Counterclaim" was not a true counterclaim as contemplated by our rules but an "originating process" capable of being brought into compliance with the rules of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intention of the order was that Hung Fook Canada Ltd. be placed in the same position following the order as it would have been if the pleadings had been properly brought in the first place. It was explicitly noted that the mechanics of severing and properly bringing the action were not to prejudice the status of the action as having been commenced - albeit irregularly - April 15, 1992. It was at least implicit in the ruling that - inasmuch as the action was not going to be treated as newly commenced by the severed Writ and Statement of Claim - the issue of those proceedings was not an opportunity to plead causes of action not included in the "Counter-claim" in action A913803.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new Statement of Claim contains a more elaborate particularization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although no issue is taken with that facet of the pleading.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"Counterclaim" included the following paragraph:</w:t>
      </w:r>
      <w:r>
        <w:rPr>
          <w:rFonts w:ascii="arial" w:eastAsia="arial" w:hAnsi="arial" w:cs="arial"/>
          <w:sz w:val="20"/>
          <w:lang w:val="en-US" w:eastAsia="en-US" w:bidi="ar-SA"/>
        </w:rPr>
        <w:cr/>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Notwithstanding the assurances of Mac's the Gas Spill that it would fully remove the gas, the gas continued to constitute a continuing trespass to the property of Hung Fook Canada Ltd. and the residue of the spill continues to affect the lands and premises of this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This is amplified in the new Statement of Claim in paragraphs: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Notwithstanding the assurances Mac's that it would fully remove the gas, the gas was not removed at any material time in this action, and the Gas Spill and the remaining gas constitutes a continuing cause of action and continuing damage to the property of Hung Fook Canada Ltd. and the residue and seepage of the spill continues to affect the lands and premises of the plaintiff.</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Further and in the alternative, as against the defendant Silcorp, failure to remove the gas from the lands of the plaintiff, and from the leasehold of the defendant, constitutes a breach of a continuing obligation, whether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nuisance, or under the doctrine of Rylands v Fletcher.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Further and in the alternative, Silcorp is liable, by reason of its occupation and use of the leashold [sic] premises,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nuisance and under the doctrine of Rylands v Fletcher.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causes of action found in para. 13 are repeated in the summary of relief at the end of the new Statement of Claim. Hung Fook's Reply to Gilbarco's Statement of Defence to the new Writ and Statement of Claim (raising a limitation defence), also includes reference to nuisance, and the doctrine in Rylands v. Fletcher.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It is Hung Fook's position that the original pleadings contained the facts necessary to support the causes of action identified in the new pleadings and that the expression of the legal consequences of those facts is no more than clarification.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 do not think that is necessarily so. This application arises in a case management context. Counsel were not in a position at this hearing to treat the purported amendments pursuant to my October 18, 1999 Order as, in effect, an application to amend, in the event they were found to over-reach.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Accordingly, all I am prepared to do on this application is to direct that those parts of the new pleading that do not match the former pleading styled "Counterclaim" - except the particulars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counsel have agreed may remain - are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additional paragraphs and allegations Hung Fook wishes to add must be the subject of a proper application to amend on notice to the other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light of the trial date I have set, May 15, 2000, for 6 weeks, I direct that the application must be heard by March 31, 2000. Counsel should make such arrangements through the trial co-ordinator.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Costs of this application will be to Gilbarco Canada Ltd. in any event of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McEWAN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2" style="position:absolute;z-index:2517708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87"/>
          <w:headerReference w:type="default" r:id="rId288"/>
          <w:footerReference w:type="even" r:id="rId289"/>
          <w:footerReference w:type="default" r:id="rId290"/>
          <w:headerReference w:type="first" r:id="rId291"/>
          <w:footerReference w:type="first" r:id="rId29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93" w:history="1">
        <w:r>
          <w:rPr>
            <w:rFonts w:ascii="arial" w:eastAsia="arial" w:hAnsi="arial" w:cs="arial"/>
            <w:b/>
            <w:bCs/>
            <w:i/>
            <w:color w:val="0077CC"/>
            <w:kern w:val="32"/>
            <w:sz w:val="28"/>
            <w:szCs w:val="32"/>
            <w:u w:val="single"/>
            <w:shd w:val="clear" w:color="auto" w:fill="FFFFFF"/>
            <w:lang w:val="en-US" w:eastAsia="en-US" w:bidi="ar-SA"/>
          </w:rPr>
          <w:t>Jones Estate v. Insurance Corp. of British Columbia, [2019] B.C.J. No. 2493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Duncan,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C.P. Bouck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9,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20,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S15146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Duncan</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2493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2232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Demitrios Bousbouras, Administrator for the Estate of Timothy Vernon Jones, Plaintiff, and Insurance Corporation of British Columbia,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(29 paras.)</w:t>
      </w:r>
    </w:p>
    <w:p>
      <w:pPr>
        <w:jc w:val="both"/>
        <w:rPr>
          <w:rFonts w:ascii="arial" w:eastAsia="arial" w:hAnsi="arial" w:cs="arial"/>
          <w:sz w:val="20"/>
          <w:lang w:val="en-US" w:eastAsia="en-US" w:bidi="ar-SA"/>
        </w:rPr>
      </w:pPr>
      <w:bookmarkStart w:id="40" w:name="Counsel_10"/>
      <w:bookmarkEnd w:id="4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3" style="position:absolute;z-index:251670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 Arndt.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K. Orr, appearing as agent for B. Hoffmann.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1" w:name="Judgment_10"/>
      <w:bookmarkEnd w:id="41"/>
      <w:r>
        <w:pict>
          <v:line id="_x0000_s1064" style="position:absolute;z-index:25172172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3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2" w:name="MASTER C.P. BOUCK"/>
            <w:bookmarkEnd w:id="42"/>
            <w:r>
              <w:rPr>
                <w:rFonts w:ascii="arial" w:eastAsia="arial" w:hAnsi="arial" w:cs="arial"/>
                <w:b/>
                <w:color w:val="000000"/>
                <w:sz w:val="30"/>
                <w:lang w:val="en-US" w:eastAsia="en-US" w:bidi="ar-SA"/>
              </w:rPr>
              <w:t>MASTER C.P. BOUCK</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defendant applies for dismissal of the plaintiff's claim on alternative grounds: for want of prosecution; or for failure to comply with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(the "SCCR") and a case plan order made March 11, 2019.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acknowledges that there has been a delay in the prosecution of the action. However, Mr. Bousbouras submits that the application should be dismissed as there are reasonable explanations for the delay. The plaintiff says that he is mostly in compliance with the case plan order, albeit belatedly, and intends to follow through on the remaining requirements in the near future. In any event, Mr. Arndt largely takes responsibility for the delay in moving the claim along as well as the plaintiff's failure to fully comply with the case plan order. Mr. Arndt is prepared to have the costs of bringing this application awarded against him personally.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factual basis for the order sought as set out by the defendant's notice of application is not seriously challenged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Bousbouras is a businessman residing in Duncan and the father of the late Timothy Vernon Jones. Mr. Jones was murdered on February 25, 2007 at or near Mission,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subject matter of this litigation is a recreational vehicle (the "RV") owned by Mr. Jones at the time of his death and insured by the defendant. At the time of Mr. Jones' death, the RV was rented by Mr. Jones to one Michael Palazzo. Both Mr. Palazzo and the RV went missing in 2008. According to the notice of civil claim (the "NOCC"), the alleged theft of the RV was reported to both the RCMP and the defendant. The NOCC does not say who reported the theft.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This action was commenced in 2013. Mr. Arndt has been counsel of record since the claim's inception. In the NOCC, the plaintiff is incorrectly identified as the executor of Mr. Jones' estate. Mr. Jones died intestate. The NOCC describes the steps taken by Mr. Bousbouras over a nearly five year period to pursue a claim with the defendant for a pay-out on the missing RV. The NOCC says by January 2013, the defendant advised Mr. Bousbouras that any claim for indemnification on the insurance policy would be denied. The claims pled are intentional infliction of distress and nervous shock and that the estate has been put to financial distress by the actions of the defendant. The NOCC does not seek liquidated damages. Rather, the relief sought is for damages for breach of contract of insurance, punitive damages for a [sic] unconscionable breach of contract, damages for intentional infliction of nervous shock and costs. There is no content whatsoever in the Legal Basis (Part 3) of the NOCC. The defendant filed and served its response to civil claim in February 2014. The defendant admits that Mr. Jones held a policy of insurance with respect to the RV, but denies any liability to the plaintiff. Among other defences raised, ICBC says that Mr. Jones breached his insurance by renting the RV to Mr. Palazzo and that this action is statute-barred. Once the response was delivered, the litigation became dormant. Despite filing a notice of intention to proceed in September 2017, the plaintiff has never taken any steps to pro-actively pursue 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November 8, 2018, the defendant brought the first application seeking dismissal of the action for want of prosecution. That first application resulted in an order made on January 7, 2019, requiring the plaintiff to schedule a case planning conference by January 31, 2019. The defendant was granted leave to bring a second application to dismiss the claim for want of prosecution after January 31st. Costs of the application were awarded in favour of the defendant on a party/party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complied with this first order, with the case planning conference being conducted on March 11, 2019. A case plan order was made on the following terms</w:t>
      </w:r>
      <w:bookmarkStart w:id="43" w:name="Backward_fnref_fnr-1"/>
      <w:hyperlink w:anchor="Forward_fnref_fnr-1" w:history="1">
        <w:r>
          <w:rPr>
            <w:rFonts w:ascii="arial" w:eastAsia="arial" w:hAnsi="arial" w:cs="arial"/>
            <w:b/>
            <w:color w:val="BE161D"/>
            <w:sz w:val="20"/>
            <w:shd w:val="clear" w:color="auto" w:fill="FFFFFF"/>
            <w:vertAlign w:val="superscript"/>
            <w:lang w:val="en-US" w:eastAsia="en-US" w:bidi="ar-SA"/>
          </w:rPr>
          <w:t>1</w:t>
        </w:r>
      </w:hyperlink>
      <w:bookmarkEnd w:id="43"/>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to identify and substitute the proper plaintiff, and make all necessary amendments to the factual and legal basis of the notice of civil claim by April 30, 2019.</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to provide the names and contact information for anyone believed to be involved in the theft, including Mr. Palazzo.</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to provide the particulars of:</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R.V. was stolen,</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and who reported the R.V. was stolen to police and ICBC, and</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financial stress the estate has suffered,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either in the amended notice of civil claim or in a separate letter to defence counsel.</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By May 31, 2019 the plaintiff is to deliver a list of documents that is to include all of the following documents in his possession, power or control:</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All records in his possession, and details of what records are no longer in his possession relating to:</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purchase of the R.V.,</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financing of the R.V.,</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rental of the R.V.,</w:t>
      </w:r>
    </w:p>
    <w:p>
      <w:pPr>
        <w:numPr>
          <w:numId w:val="1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Bank records of the deceased relating to the purchase, rent, insurance and maintenance of the R.V.,</w:t>
      </w:r>
    </w:p>
    <w:p>
      <w:pPr>
        <w:numPr>
          <w:numId w:val="1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Contact with the police regarding the alleged theft,</w:t>
      </w:r>
    </w:p>
    <w:p>
      <w:pPr>
        <w:numPr>
          <w:numId w:val="1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Contact with ICBC regarding the theft or the claim,</w:t>
      </w:r>
    </w:p>
    <w:p>
      <w:pPr>
        <w:numPr>
          <w:numId w:val="1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Contact with Mr. Palazzo regarding the R.V.</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Copies of all written communications, or notes regarding communications, with ICBC regarding this claim prior to filing the NOCC.</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to conduct the discovery of the defendant by July 31, 2019.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delivered his list of documents on May 31, 2019 but did not comply with the balance of the case plan order. The list of documents is deficient. Furthermore, Mr. Arndt did not respond to Mr. Hoffmann's repeated requests to address the plaintiff's failure to abide by the terms of the case plan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Having heard nothing from the plaintiff's counsel, the defendant next filed this application on October 17, originally returnable on November 4, 2019. The defendant also delivered a notice of case planning conference with the intent that this application would be heard within the confines of that conference. The plaintiff did not file a response to the application nor submit his own case plan proposal by November 4. Counsel advises that both the application and the conference were ordered adjourned by the court with costs awarded to the defendant in any event of the cause payable forthwith. The order reflecting that outcome has not been entered.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November 21, 2019, the plaintiff filed his amended notice of civil claim (the "Amended NOCC"). That pleading now identifies Mr. Bousbouras as the administrator of Mr. Jones' estate. The defendant takes the position that the change in the plaintiff's identity is a substitution of a party and requires leave from the court. No such leave has been sought. In addition to the change of the plaintiff, the Amended NOCC withdraws the claim for punitive damages as well as the allegations of fraud and deceit said to have been committed by the defendant. Some language has been added to the Amended NOCC regarding the circumstances of the missing RV. In all other aspects, the document has the same content as the original NOCC. In particular, the Legal Basis (Part 3) of the Amended NOCC remains blank.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a November 20, 2019 email exchange, Mr. Arndt offers the plaintiff's consent to an amendment to the case plan order to provide that the deadline for "completion of Discoveries" will be May 31, 2020. The next day, Mr. Arndt delivered a letter to Mr. Hoffmann that included the Amended NOCC together with a consent order for production of the Ridge Meadows RCMP file regarding theft of the RV. Some compliance with the case plan order in terms of providing additional information is found in that letter. Mr. Arndt proposes that "Discoveries" be completed by April 30, 2020 "presuming [the defence] can deliver its documents". The defendant takes the position that its list of documents will not be delivered until the plaintiff's pleadings are cleaned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November 25, 2019, the parties returned to court for the hearing of this application. Again, the order made by the court on that day has not been entered. Counsel agree that the court ordered the adjournment of the application and set a deadline of November 29, 2019, for the plaintiff to file his response to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By the time that this application matter came on for hearing on December 9, 2019, the plaintiff had filed his response and an affidavit in support of that response. That affidavit is sworn by Kathy Johnson, Mr. Arndt's legal assistant. Ms. Johnson deposes, largely on information and belief, that:</w:t>
      </w:r>
      <w:r>
        <w:rPr>
          <w:rFonts w:ascii="arial" w:eastAsia="arial" w:hAnsi="arial" w:cs="arial"/>
          <w:sz w:val="20"/>
          <w:lang w:val="en-US" w:eastAsia="en-US" w:bidi="ar-SA"/>
        </w:rPr>
        <w:cr/>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out of the country and "unavailable for any contact" from early April until July 2019.</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Arndt is "very busy" throughout 2019. Ms. Johnson gives a lengthy description of her employer's law practice.</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April 2019, the plaintiff requested information from the Ridge Meadows RCMP regarding the circumstances of the investigation but no reply has been received.</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Bousbouras has now returned to Canada and "prepared to advance his case".</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Arndt is able to attend to this file from the last week of January until February 24, 2020 but is "busy" with other work until the last week of March 2020.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also relies on his own affidavit sworn January 4, 2019 and filed in response to the first dismissal application. In that affidavit, the plaintiff deposes that he has "only very recently" come to grips with the circumstances of his son's death but that he is "now prepared to move forward with the prosecution of [the claim] will [sic] all reasonable haste". Mr. Bousbouras blames the defendant for the delay in prosecuting the claim, saying that he was awaiting a summary judgment application to be brought by ICBC before taking any further steps himself and that he is impecunious. Mr. Bousbouras further justifies the delay on the basis that he was out of the country with his other son after September 2017. No explanation is provided as to why Mr. Bousbouras was unable to provide instructions to his counsel despite being out of the country. The affidavit also describes the plaintiff's efforts and ultimate inability to obtain the Ridge Meadows RMCP records back in 2012. No specific explanation is offered by the plaintiff as to why a consent order for those records, or an application to the court under SCCR 7-1(18) for that matter, was not pursued once this action was commenced.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an application to dismiss an action for want of prosecution, the court considers these factors:</w:t>
      </w:r>
      <w:r>
        <w:rPr>
          <w:rFonts w:ascii="arial" w:eastAsia="arial" w:hAnsi="arial" w:cs="arial"/>
          <w:sz w:val="20"/>
          <w:lang w:val="en-US" w:eastAsia="en-US" w:bidi="ar-SA"/>
        </w:rPr>
        <w:cr/>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length of the delay and whether it was inordinate.</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reasons for the delay offered in the evidence.</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delay has caused serious prejudice to the defendant in presenting a fair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court must also take into account objectives of the SCCR as articulated in Rule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Breberin v. Santos</w:t>
      </w:r>
      <w:r>
        <w:rPr>
          <w:rFonts w:ascii="arial" w:eastAsia="arial" w:hAnsi="arial" w:cs="arial"/>
          <w:color w:val="000000"/>
          <w:sz w:val="20"/>
          <w:lang w:val="en-US" w:eastAsia="en-US" w:bidi="ar-SA"/>
        </w:rPr>
        <w:t xml:space="preserve">, </w:t>
      </w:r>
      <w:hyperlink r:id="rId294" w:history="1">
        <w:r>
          <w:rPr>
            <w:rFonts w:ascii="arial" w:eastAsia="arial" w:hAnsi="arial" w:cs="arial"/>
            <w:i/>
            <w:color w:val="0077CC"/>
            <w:sz w:val="20"/>
            <w:u w:val="single"/>
            <w:shd w:val="clear" w:color="auto" w:fill="FFFFFF"/>
            <w:lang w:val="en-US" w:eastAsia="en-US" w:bidi="ar-SA"/>
          </w:rPr>
          <w:t>2013 BCSC 560</w:t>
        </w:r>
      </w:hyperlink>
      <w:r>
        <w:rPr>
          <w:rFonts w:ascii="arial" w:eastAsia="arial" w:hAnsi="arial" w:cs="arial"/>
          <w:color w:val="000000"/>
          <w:sz w:val="20"/>
          <w:lang w:val="en-US" w:eastAsia="en-US" w:bidi="ar-SA"/>
        </w:rPr>
        <w:t>, the court was considering an application to dismiss an action due not only to inordinate delay, but also because of the plaintiff's failure to comply with court orders resulting in a finding of contempt. The court sets out the following principles that are relevant here: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[52]Several principles identified in the jurisprudence describe and limit the appropriate application of Rule 22-7.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[53] The order sought by the defendants is not readily granted. Dismissal is a "blunt tool, to be used sparingly" in response to procedural delay: </w:t>
      </w:r>
      <w:r>
        <w:rPr>
          <w:rFonts w:ascii="arial" w:eastAsia="arial" w:hAnsi="arial" w:cs="arial"/>
          <w:i/>
          <w:color w:val="000000"/>
          <w:sz w:val="20"/>
          <w:lang w:val="en-US" w:eastAsia="en-US" w:bidi="ar-SA"/>
        </w:rPr>
        <w:t>House of Sga'nisim v. Canada (Attorney General)</w:t>
      </w:r>
      <w:r>
        <w:rPr>
          <w:rFonts w:ascii="arial" w:eastAsia="arial" w:hAnsi="arial" w:cs="arial"/>
          <w:color w:val="000000"/>
          <w:sz w:val="20"/>
          <w:lang w:val="en-US" w:eastAsia="en-US" w:bidi="ar-SA"/>
        </w:rPr>
        <w:t xml:space="preserve">, </w:t>
      </w:r>
      <w:hyperlink r:id="rId295" w:history="1">
        <w:r>
          <w:rPr>
            <w:rFonts w:ascii="arial" w:eastAsia="arial" w:hAnsi="arial" w:cs="arial"/>
            <w:i/>
            <w:color w:val="0077CC"/>
            <w:sz w:val="20"/>
            <w:u w:val="single"/>
            <w:shd w:val="clear" w:color="auto" w:fill="FFFFFF"/>
            <w:lang w:val="en-US" w:eastAsia="en-US" w:bidi="ar-SA"/>
          </w:rPr>
          <w:t>2007 BCCA 483</w:t>
        </w:r>
      </w:hyperlink>
      <w:r>
        <w:rPr>
          <w:rFonts w:ascii="arial" w:eastAsia="arial" w:hAnsi="arial" w:cs="arial"/>
          <w:color w:val="000000"/>
          <w:sz w:val="20"/>
          <w:lang w:val="en-US" w:eastAsia="en-US" w:bidi="ar-SA"/>
        </w:rPr>
        <w:t xml:space="preserve"> at para. 28 [</w:t>
      </w:r>
      <w:r>
        <w:rPr>
          <w:rFonts w:ascii="arial" w:eastAsia="arial" w:hAnsi="arial" w:cs="arial"/>
          <w:i/>
          <w:color w:val="000000"/>
          <w:sz w:val="20"/>
          <w:lang w:val="en-US" w:eastAsia="en-US" w:bidi="ar-SA"/>
        </w:rPr>
        <w:t>House of Sga'nisim</w:t>
      </w:r>
      <w:r>
        <w:rPr>
          <w:rFonts w:ascii="arial" w:eastAsia="arial" w:hAnsi="arial" w:cs="arial"/>
          <w:color w:val="000000"/>
          <w:sz w:val="20"/>
          <w:lang w:val="en-US" w:eastAsia="en-US" w:bidi="ar-SA"/>
        </w:rPr>
        <w:t xml:space="preserve">]. The remedy is a "draconian" one, "only to be invoked in the most egregious of cases": </w:t>
      </w:r>
      <w:r>
        <w:rPr>
          <w:rFonts w:ascii="arial" w:eastAsia="arial" w:hAnsi="arial" w:cs="arial"/>
          <w:i/>
          <w:color w:val="000000"/>
          <w:sz w:val="20"/>
          <w:lang w:val="en-US" w:eastAsia="en-US" w:bidi="ar-SA"/>
        </w:rPr>
        <w:t>Homer Estate v. Eurocopter S.A.</w:t>
      </w:r>
      <w:r>
        <w:rPr>
          <w:rFonts w:ascii="arial" w:eastAsia="arial" w:hAnsi="arial" w:cs="arial"/>
          <w:color w:val="000000"/>
          <w:sz w:val="20"/>
          <w:lang w:val="en-US" w:eastAsia="en-US" w:bidi="ar-SA"/>
        </w:rPr>
        <w:t xml:space="preserve">, </w:t>
      </w:r>
      <w:hyperlink r:id="rId296" w:history="1">
        <w:r>
          <w:rPr>
            <w:rFonts w:ascii="arial" w:eastAsia="arial" w:hAnsi="arial" w:cs="arial"/>
            <w:i/>
            <w:color w:val="0077CC"/>
            <w:sz w:val="20"/>
            <w:u w:val="single"/>
            <w:shd w:val="clear" w:color="auto" w:fill="FFFFFF"/>
            <w:lang w:val="en-US" w:eastAsia="en-US" w:bidi="ar-SA"/>
          </w:rPr>
          <w:t>2003 BCCA 229</w:t>
        </w:r>
      </w:hyperlink>
      <w:r>
        <w:rPr>
          <w:rFonts w:ascii="arial" w:eastAsia="arial" w:hAnsi="arial" w:cs="arial"/>
          <w:color w:val="000000"/>
          <w:sz w:val="20"/>
          <w:lang w:val="en-US" w:eastAsia="en-US" w:bidi="ar-SA"/>
        </w:rPr>
        <w:t xml:space="preserve"> at para. 4. It is to be avoided where it is reasonable to do so: </w:t>
      </w:r>
      <w:r>
        <w:rPr>
          <w:rFonts w:ascii="arial" w:eastAsia="arial" w:hAnsi="arial" w:cs="arial"/>
          <w:i/>
          <w:color w:val="000000"/>
          <w:sz w:val="20"/>
          <w:lang w:val="en-US" w:eastAsia="en-US" w:bidi="ar-SA"/>
        </w:rPr>
        <w:t>House of Sga'nisim</w:t>
      </w:r>
      <w:r>
        <w:rPr>
          <w:rFonts w:ascii="arial" w:eastAsia="arial" w:hAnsi="arial" w:cs="arial"/>
          <w:color w:val="000000"/>
          <w:sz w:val="20"/>
          <w:lang w:val="en-US" w:eastAsia="en-US" w:bidi="ar-SA"/>
        </w:rPr>
        <w:t xml:space="preserve"> at para. 30.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[54] Where failure to comply with the Rules or failure to comply with the terms of a court order is established, the party at fault bears the onus of proving a lawful excuse for the non-compliance or non-observance: </w:t>
      </w:r>
      <w:r>
        <w:rPr>
          <w:rFonts w:ascii="arial" w:eastAsia="arial" w:hAnsi="arial" w:cs="arial"/>
          <w:i/>
          <w:color w:val="000000"/>
          <w:sz w:val="20"/>
          <w:lang w:val="en-US" w:eastAsia="en-US" w:bidi="ar-SA"/>
        </w:rPr>
        <w:t>Balaj v. Xiaogang</w:t>
      </w:r>
      <w:r>
        <w:rPr>
          <w:rFonts w:ascii="arial" w:eastAsia="arial" w:hAnsi="arial" w:cs="arial"/>
          <w:color w:val="000000"/>
          <w:sz w:val="20"/>
          <w:lang w:val="en-US" w:eastAsia="en-US" w:bidi="ar-SA"/>
        </w:rPr>
        <w:t xml:space="preserve">, </w:t>
      </w:r>
      <w:hyperlink r:id="rId297" w:history="1">
        <w:r>
          <w:rPr>
            <w:rFonts w:ascii="arial" w:eastAsia="arial" w:hAnsi="arial" w:cs="arial"/>
            <w:i/>
            <w:color w:val="0077CC"/>
            <w:sz w:val="20"/>
            <w:u w:val="single"/>
            <w:shd w:val="clear" w:color="auto" w:fill="FFFFFF"/>
            <w:lang w:val="en-US" w:eastAsia="en-US" w:bidi="ar-SA"/>
          </w:rPr>
          <w:t>2012 BCSC 231</w:t>
        </w:r>
      </w:hyperlink>
      <w:r>
        <w:rPr>
          <w:rFonts w:ascii="arial" w:eastAsia="arial" w:hAnsi="arial" w:cs="arial"/>
          <w:color w:val="000000"/>
          <w:sz w:val="20"/>
          <w:lang w:val="en-US" w:eastAsia="en-US" w:bidi="ar-SA"/>
        </w:rPr>
        <w:t xml:space="preserve"> at para. 36 [</w:t>
      </w:r>
      <w:r>
        <w:rPr>
          <w:rFonts w:ascii="arial" w:eastAsia="arial" w:hAnsi="arial" w:cs="arial"/>
          <w:i/>
          <w:color w:val="000000"/>
          <w:sz w:val="20"/>
          <w:lang w:val="en-US" w:eastAsia="en-US" w:bidi="ar-SA"/>
        </w:rPr>
        <w:t>Balaj</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Eisele v. B.A. Blacktop Ltd. et al</w:t>
      </w:r>
      <w:r>
        <w:rPr>
          <w:rFonts w:ascii="arial" w:eastAsia="arial" w:hAnsi="arial" w:cs="arial"/>
          <w:color w:val="000000"/>
          <w:sz w:val="20"/>
          <w:lang w:val="en-US" w:eastAsia="en-US" w:bidi="ar-SA"/>
        </w:rPr>
        <w:t xml:space="preserve">, </w:t>
      </w:r>
      <w:hyperlink r:id="rId298" w:history="1">
        <w:r>
          <w:rPr>
            <w:rFonts w:ascii="arial" w:eastAsia="arial" w:hAnsi="arial" w:cs="arial"/>
            <w:i/>
            <w:color w:val="0077CC"/>
            <w:sz w:val="20"/>
            <w:u w:val="single"/>
            <w:shd w:val="clear" w:color="auto" w:fill="FFFFFF"/>
            <w:lang w:val="en-US" w:eastAsia="en-US" w:bidi="ar-SA"/>
          </w:rPr>
          <w:t>2004 BCSC 521</w:t>
        </w:r>
      </w:hyperlink>
      <w:r>
        <w:rPr>
          <w:rFonts w:ascii="arial" w:eastAsia="arial" w:hAnsi="arial" w:cs="arial"/>
          <w:color w:val="000000"/>
          <w:sz w:val="20"/>
          <w:lang w:val="en-US" w:eastAsia="en-US" w:bidi="ar-SA"/>
        </w:rPr>
        <w:t xml:space="preserve"> at para. 15.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[55] In this context, a "lawful excuse" is "one which, in the discretion of the judge acting judicially, is worthy of acceptance": </w:t>
      </w:r>
      <w:r>
        <w:rPr>
          <w:rFonts w:ascii="arial" w:eastAsia="arial" w:hAnsi="arial" w:cs="arial"/>
          <w:i/>
          <w:color w:val="000000"/>
          <w:sz w:val="20"/>
          <w:lang w:val="en-US" w:eastAsia="en-US" w:bidi="ar-SA"/>
        </w:rPr>
        <w:t>United Furniture Warehouse LP v. 551148 B.C. Ltd.</w:t>
      </w:r>
      <w:r>
        <w:rPr>
          <w:rFonts w:ascii="arial" w:eastAsia="arial" w:hAnsi="arial" w:cs="arial"/>
          <w:color w:val="000000"/>
          <w:sz w:val="20"/>
          <w:lang w:val="en-US" w:eastAsia="en-US" w:bidi="ar-SA"/>
        </w:rPr>
        <w:t xml:space="preserve">, </w:t>
      </w:r>
      <w:hyperlink r:id="rId299" w:history="1">
        <w:r>
          <w:rPr>
            <w:rFonts w:ascii="arial" w:eastAsia="arial" w:hAnsi="arial" w:cs="arial"/>
            <w:i/>
            <w:color w:val="0077CC"/>
            <w:sz w:val="20"/>
            <w:u w:val="single"/>
            <w:shd w:val="clear" w:color="auto" w:fill="FFFFFF"/>
            <w:lang w:val="en-US" w:eastAsia="en-US" w:bidi="ar-SA"/>
          </w:rPr>
          <w:t>2007 BCSC 1252</w:t>
        </w:r>
      </w:hyperlink>
      <w:r>
        <w:rPr>
          <w:rFonts w:ascii="arial" w:eastAsia="arial" w:hAnsi="arial" w:cs="arial"/>
          <w:color w:val="000000"/>
          <w:sz w:val="20"/>
          <w:lang w:val="en-US" w:eastAsia="en-US" w:bidi="ar-SA"/>
        </w:rPr>
        <w:t xml:space="preserve"> at para. 24.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[56] Because an action may be struck when the lack of production has been occasioned by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degree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required should be more than moderate on a scale ranging from mere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[57] Fundamental failures, such as failure to make appropriate disclosure of documents or records, must be treated as a serious default.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[58] A dismissal order will not usually be granted on a first application for relief arising from procedural delay, even intentional delay. Injustice might result from such a course of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[59] A dismissal order will not usually be granted until the plaintiff has been warned that result will follow upon further delay or obstruction.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[60] Lesser sanctions ought to be considered where any are available and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dilatoriness or ineptitude of counsel is not a reasonable excuse: </w:t>
      </w:r>
      <w:r>
        <w:rPr>
          <w:rFonts w:ascii="arial" w:eastAsia="arial" w:hAnsi="arial" w:cs="arial"/>
          <w:i/>
          <w:color w:val="000000"/>
          <w:sz w:val="20"/>
          <w:lang w:val="en-US" w:eastAsia="en-US" w:bidi="ar-SA"/>
        </w:rPr>
        <w:t>Morice v. Toronto-Dominion Bank</w:t>
      </w:r>
      <w:r>
        <w:rPr>
          <w:rFonts w:ascii="arial" w:eastAsia="arial" w:hAnsi="arial" w:cs="arial"/>
          <w:color w:val="000000"/>
          <w:sz w:val="20"/>
          <w:lang w:val="en-US" w:eastAsia="en-US" w:bidi="ar-SA"/>
        </w:rPr>
        <w:t xml:space="preserve">, </w:t>
      </w:r>
      <w:hyperlink r:id="rId300" w:history="1">
        <w:r>
          <w:rPr>
            <w:rFonts w:ascii="arial" w:eastAsia="arial" w:hAnsi="arial" w:cs="arial"/>
            <w:i/>
            <w:color w:val="0077CC"/>
            <w:sz w:val="20"/>
            <w:u w:val="single"/>
            <w:shd w:val="clear" w:color="auto" w:fill="FFFFFF"/>
            <w:lang w:val="en-US" w:eastAsia="en-US" w:bidi="ar-SA"/>
          </w:rPr>
          <w:t>2014 BCSC 380</w:t>
        </w:r>
      </w:hyperlink>
      <w:r>
        <w:rPr>
          <w:rFonts w:ascii="arial" w:eastAsia="arial" w:hAnsi="arial" w:cs="arial"/>
          <w:color w:val="000000"/>
          <w:sz w:val="20"/>
          <w:lang w:val="en-US" w:eastAsia="en-US" w:bidi="ar-SA"/>
        </w:rPr>
        <w:t xml:space="preserve">. Nor does a general statement by the plaintiff that he impecunious represent a reasonable excuse for delay: </w:t>
      </w:r>
      <w:r>
        <w:rPr>
          <w:rFonts w:ascii="arial" w:eastAsia="arial" w:hAnsi="arial" w:cs="arial"/>
          <w:i/>
          <w:color w:val="000000"/>
          <w:sz w:val="20"/>
          <w:lang w:val="en-US" w:eastAsia="en-US" w:bidi="ar-SA"/>
        </w:rPr>
        <w:t>Trak Energy Corporation v. Happy Valley Resort Ltd.</w:t>
      </w:r>
      <w:r>
        <w:rPr>
          <w:rFonts w:ascii="arial" w:eastAsia="arial" w:hAnsi="arial" w:cs="arial"/>
          <w:color w:val="000000"/>
          <w:sz w:val="20"/>
          <w:lang w:val="en-US" w:eastAsia="en-US" w:bidi="ar-SA"/>
        </w:rPr>
        <w:t xml:space="preserve">, </w:t>
      </w:r>
      <w:hyperlink r:id="rId301" w:history="1">
        <w:r>
          <w:rPr>
            <w:rFonts w:ascii="arial" w:eastAsia="arial" w:hAnsi="arial" w:cs="arial"/>
            <w:i/>
            <w:color w:val="0077CC"/>
            <w:sz w:val="20"/>
            <w:u w:val="single"/>
            <w:shd w:val="clear" w:color="auto" w:fill="FFFFFF"/>
            <w:lang w:val="en-US" w:eastAsia="en-US" w:bidi="ar-SA"/>
          </w:rPr>
          <w:t>2015 BCSC 1928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Where the court finds inordinate delay and no reasonable excuse for that delay, prejudice to the opposite party will be presumed. The onus of proof then shifts to the plaintiff to prove on a balance of probabilities that the defendant has not suffered prejudice: </w:t>
      </w:r>
      <w:r>
        <w:rPr>
          <w:rFonts w:ascii="arial" w:eastAsia="arial" w:hAnsi="arial" w:cs="arial"/>
          <w:i/>
          <w:color w:val="000000"/>
          <w:sz w:val="20"/>
          <w:lang w:val="en-US" w:eastAsia="en-US" w:bidi="ar-SA"/>
        </w:rPr>
        <w:t>March v. Tam</w:t>
      </w:r>
      <w:r>
        <w:rPr>
          <w:rFonts w:ascii="arial" w:eastAsia="arial" w:hAnsi="arial" w:cs="arial"/>
          <w:color w:val="000000"/>
          <w:sz w:val="20"/>
          <w:lang w:val="en-US" w:eastAsia="en-US" w:bidi="ar-SA"/>
        </w:rPr>
        <w:t xml:space="preserve">, </w:t>
      </w:r>
      <w:hyperlink r:id="rId302" w:history="1">
        <w:r>
          <w:rPr>
            <w:rFonts w:ascii="arial" w:eastAsia="arial" w:hAnsi="arial" w:cs="arial"/>
            <w:i/>
            <w:color w:val="0077CC"/>
            <w:sz w:val="20"/>
            <w:u w:val="single"/>
            <w:shd w:val="clear" w:color="auto" w:fill="FFFFFF"/>
            <w:lang w:val="en-US" w:eastAsia="en-US" w:bidi="ar-SA"/>
          </w:rPr>
          <w:t>2002 BCSC 1125</w:t>
        </w:r>
      </w:hyperlink>
      <w:r>
        <w:rPr>
          <w:rFonts w:ascii="arial" w:eastAsia="arial" w:hAnsi="arial" w:cs="arial"/>
          <w:color w:val="000000"/>
          <w:sz w:val="20"/>
          <w:lang w:val="en-US" w:eastAsia="en-US" w:bidi="ar-SA"/>
        </w:rPr>
        <w:t xml:space="preserve"> at para. 3. Even if a presumption of prejudice is met, the court may still determine on the whole of the evidence whether the defendant has in fact suffered actual, serious prejudice: </w:t>
      </w:r>
      <w:r>
        <w:rPr>
          <w:rFonts w:ascii="arial" w:eastAsia="arial" w:hAnsi="arial" w:cs="arial"/>
          <w:i/>
          <w:color w:val="000000"/>
          <w:sz w:val="20"/>
          <w:lang w:val="en-US" w:eastAsia="en-US" w:bidi="ar-SA"/>
        </w:rPr>
        <w:t>Tundra Helicopters Ltd. v. Allison Gas Turbine</w:t>
      </w:r>
      <w:r>
        <w:rPr>
          <w:rFonts w:ascii="arial" w:eastAsia="arial" w:hAnsi="arial" w:cs="arial"/>
          <w:color w:val="000000"/>
          <w:sz w:val="20"/>
          <w:lang w:val="en-US" w:eastAsia="en-US" w:bidi="ar-SA"/>
        </w:rPr>
        <w:t xml:space="preserve">, </w:t>
      </w:r>
      <w:hyperlink r:id="rId303" w:history="1">
        <w:r>
          <w:rPr>
            <w:rFonts w:ascii="arial" w:eastAsia="arial" w:hAnsi="arial" w:cs="arial"/>
            <w:i/>
            <w:color w:val="0077CC"/>
            <w:sz w:val="20"/>
            <w:u w:val="single"/>
            <w:shd w:val="clear" w:color="auto" w:fill="FFFFFF"/>
            <w:lang w:val="en-US" w:eastAsia="en-US" w:bidi="ar-SA"/>
          </w:rPr>
          <w:t>2002 BCCA 145</w:t>
        </w:r>
      </w:hyperlink>
      <w:r>
        <w:rPr>
          <w:rFonts w:ascii="arial" w:eastAsia="arial" w:hAnsi="arial" w:cs="arial"/>
          <w:color w:val="000000"/>
          <w:sz w:val="20"/>
          <w:lang w:val="en-US" w:eastAsia="en-US" w:bidi="ar-SA"/>
        </w:rPr>
        <w:t xml:space="preserve"> at paras. 35 to 36. Nonetheless, prejudice to the defendant, be it presumed or actual, is not determinative of the application as the court must ultimately decide whether justice demands dismissal of the proceeding: </w:t>
      </w:r>
      <w:r>
        <w:rPr>
          <w:rFonts w:ascii="arial" w:eastAsia="arial" w:hAnsi="arial" w:cs="arial"/>
          <w:i/>
          <w:color w:val="000000"/>
          <w:sz w:val="20"/>
          <w:lang w:val="en-US" w:eastAsia="en-US" w:bidi="ar-SA"/>
        </w:rPr>
        <w:t>Ellis v. Wiebe</w:t>
      </w:r>
      <w:r>
        <w:rPr>
          <w:rFonts w:ascii="arial" w:eastAsia="arial" w:hAnsi="arial" w:cs="arial"/>
          <w:color w:val="000000"/>
          <w:sz w:val="20"/>
          <w:lang w:val="en-US" w:eastAsia="en-US" w:bidi="ar-SA"/>
        </w:rPr>
        <w:t xml:space="preserve">, </w:t>
      </w:r>
      <w:hyperlink r:id="rId304" w:history="1">
        <w:r>
          <w:rPr>
            <w:rFonts w:ascii="arial" w:eastAsia="arial" w:hAnsi="arial" w:cs="arial"/>
            <w:i/>
            <w:color w:val="0077CC"/>
            <w:sz w:val="20"/>
            <w:u w:val="single"/>
            <w:shd w:val="clear" w:color="auto" w:fill="FFFFFF"/>
            <w:lang w:val="en-US" w:eastAsia="en-US" w:bidi="ar-SA"/>
          </w:rPr>
          <w:t>2011 BCSC 683</w:t>
        </w:r>
      </w:hyperlink>
      <w:r>
        <w:rPr>
          <w:rFonts w:ascii="arial" w:eastAsia="arial" w:hAnsi="arial" w:cs="arial"/>
          <w:color w:val="000000"/>
          <w:sz w:val="20"/>
          <w:lang w:val="en-US" w:eastAsia="en-US" w:bidi="ar-SA"/>
        </w:rPr>
        <w:t xml:space="preserve">. In this final consideration, the court may consider the merits of the plaintiff's claim: </w:t>
      </w:r>
      <w:r>
        <w:rPr>
          <w:rFonts w:ascii="arial" w:eastAsia="arial" w:hAnsi="arial" w:cs="arial"/>
          <w:i/>
          <w:color w:val="000000"/>
          <w:sz w:val="20"/>
          <w:lang w:val="en-US" w:eastAsia="en-US" w:bidi="ar-SA"/>
        </w:rPr>
        <w:t>Trak Energy</w:t>
      </w:r>
      <w:r>
        <w:rPr>
          <w:rFonts w:ascii="arial" w:eastAsia="arial" w:hAnsi="arial" w:cs="arial"/>
          <w:color w:val="000000"/>
          <w:sz w:val="20"/>
          <w:lang w:val="en-US" w:eastAsia="en-US" w:bidi="ar-SA"/>
        </w:rPr>
        <w:t xml:space="preserve"> at para. 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As reflected in the circumstances of this case, the court will usually give the delinquent party an opportunity to demonstrate an intention to litigate a claim expeditiously before ordering dismissal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have no difficulty in finding that the plaintiff's delay in prosecuting this claim has been inordinate. As noted, the plaintiff has not taken any pro-active steps since this action was commenced more than six years ago. The filing a notice of intention to proceed in September 2017, is not considered a step that moves the litigation forward. Otherwise, any steps taken by the plaintiff in the action have been at the prompting of a court order or in reaction to processes undertaken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plaintiff's excuses for the delay in prosecuting the claim range from being out of the country for long periods of time, the defendant's response to the claim and experiencing emotional difficulties. None of these excuses are reasonable at law. While sympathetic to the emotions that the plaintiff will have suffered as a result of his son's death, the fact is that Mr. Bousbouras chose to commence this action under that difficult circumstance. Once the action is commenced, the plaintiff is expected to pursue his claim with due diligence. Furthermore, despite deposing in January 2019, that the claim would be pursued "expeditiously", the plaintiff chose to make himself unreachable for several months. There is no direct evidence from the plaintiff explaining the contrast between his words and actions in terms of moving this claim along or indeed complying with the court's orders. The responsibility for moving this action along rests with the plaintiff, not his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Given the plaintiff's inordinate and inexcusable delay, the defendant is presumed to have suffered prejudice in preparing the defence of the claim. The court accepts that such prejudice includes fading memories of witnesses and no evidence need to be led on that particular point: </w:t>
      </w:r>
      <w:r>
        <w:rPr>
          <w:rFonts w:ascii="arial" w:eastAsia="arial" w:hAnsi="arial" w:cs="arial"/>
          <w:i/>
          <w:color w:val="000000"/>
          <w:sz w:val="20"/>
          <w:lang w:val="en-US" w:eastAsia="en-US" w:bidi="ar-SA"/>
        </w:rPr>
        <w:t>Ellis</w:t>
      </w:r>
      <w:r>
        <w:rPr>
          <w:rFonts w:ascii="arial" w:eastAsia="arial" w:hAnsi="arial" w:cs="arial"/>
          <w:color w:val="000000"/>
          <w:sz w:val="20"/>
          <w:lang w:val="en-US" w:eastAsia="en-US" w:bidi="ar-SA"/>
        </w:rPr>
        <w:t xml:space="preserve"> at para. 16. There is no evidence from the defendant itself of actual prejudice.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Does then the interests of justice demand the dismissal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defence's argument on the frailties of the plaintiff's claim has merit. However, in the context of this application, I am not in a position to decide that the plaintiff's claim are without any legal foundation whatsoever or bound to fail. The defendant can always avail itself of SCCR 9-5 or 9-6 remedies for such a 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 has not entirely ignored the court's orders, although dilatoriness seems to be the theme of his conduct in this proceeding. That conduct is coming perilously close to being characterized as egregious such that dismissal of the claim is justified. Nonetheless, because of remedy of dismissal must be employed sparingly, the plaintiff will be given one more chance to put his words into action. The defendant's application is dismissed but on the terms described below. The plaintiff is put on notice by these reasons that any further delay in the prosecution of his claim or indeed non-compliance with court orders will, in all likelihood, result in the action's dismissal before trial. The plaintiff should also be made aware that his failure to set this action down for trial will likely be a factor favouring dismissal for want of prosecution.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question then arises as to what further case management will promote the objectives under SCCR 1-3. First, I will be seized of any further applications brought to dismiss the claim so that there is some continuity in the court's consideration of the factual and legal bases behind such an order. However, given this presider's limited sittings in the Duncan registry, the defendant has liberty to bring a future application before any member of the court. Second, the case plan order will be amended to require the plaintiff to conduct his examination for discovery of the defendant's representative by February 14, 2020, unless the parties agree otherwise in writing to another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Although the defendant was not successful on this application, the plaintiff's conduct alone prompted the appearance before the court. In these circumstances, costs of the application are to be paid by the plaintiff to the defendant in any event of the cause forthwith. The costs are fixed at $750, inclusive of disbursements. Whether those costs will be ultimately paid by the plaintiff or Mr. Arndt is a matter to be decided by those two individuals.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C.P. BOUCK</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r>
        <w:pict>
          <v:line id="_x0000_s1065" style="position:absolute;z-index:251771904" from="0,15pt" to="180pt,15pt" strokecolor="#bcbeb0" strokeweight="0.5pt">
            <v:stroke linestyle="single"/>
          </v:line>
        </w:pict>
      </w:r>
    </w:p>
    <w:p>
      <w:pPr>
        <w:rPr>
          <w:rFonts w:ascii="arial" w:eastAsia="arial" w:hAnsi="arial" w:cs="arial"/>
          <w:sz w:val="20"/>
          <w:lang w:val="en-US" w:eastAsia="en-US" w:bidi="ar-SA"/>
        </w:rPr>
      </w:pPr>
    </w:p>
    <w:p>
      <w:pPr>
        <w:spacing w:before="120" w:after="20" w:line="240" w:lineRule="atLeast"/>
        <w:ind w:left="720" w:hanging="360"/>
        <w:jc w:val="both"/>
        <w:rPr>
          <w:rFonts w:ascii="arial" w:eastAsia="arial" w:hAnsi="arial" w:cs="arial"/>
          <w:sz w:val="20"/>
          <w:lang w:val="en-US" w:eastAsia="en-US" w:bidi="ar-SA"/>
        </w:rPr>
      </w:pPr>
      <w:bookmarkStart w:id="44" w:name="Forward_fnref_fnr-1"/>
      <w:hyperlink w:anchor="Backward_fnref_fnr-1" w:history="1">
        <w:r>
          <w:rPr>
            <w:rFonts w:ascii="arial" w:eastAsia="arial" w:hAnsi="arial" w:cs="arial"/>
            <w:b/>
            <w:color w:val="BE161D"/>
            <w:sz w:val="18"/>
            <w:shd w:val="clear" w:color="auto" w:fill="FFFFFF"/>
            <w:lang w:val="en-US" w:eastAsia="en-US" w:bidi="ar-SA"/>
          </w:rPr>
          <w:t>1</w:t>
        </w:r>
      </w:hyperlink>
      <w:bookmarkEnd w:id="44"/>
      <w:r>
        <w:rPr>
          <w:rFonts w:ascii="arial" w:eastAsia="arial" w:hAnsi="arial" w:cs="arial"/>
          <w:sz w:val="20"/>
          <w:lang w:val="en-US" w:eastAsia="en-US" w:bidi="ar-SA"/>
        </w:rPr>
        <w:tab/>
      </w:r>
      <w:r>
        <w:rPr>
          <w:rFonts w:ascii="arial" w:eastAsia="arial" w:hAnsi="arial" w:cs="arial"/>
          <w:color w:val="6D6E71"/>
          <w:sz w:val="18"/>
          <w:lang w:val="en-US" w:eastAsia="en-US" w:bidi="ar-SA"/>
        </w:rPr>
        <w:t>Despite being provided with the case plan order on April 9, 2019, the plaintiff did not return the endorsed order to defence counsel until November 20th. The order had not been entered by the December 9 hearing.</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6" style="position:absolute;z-index:2518118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05"/>
          <w:headerReference w:type="default" r:id="rId306"/>
          <w:footerReference w:type="even" r:id="rId307"/>
          <w:footerReference w:type="default" r:id="rId308"/>
          <w:headerReference w:type="first" r:id="rId309"/>
          <w:footerReference w:type="first" r:id="rId31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11" w:history="1">
        <w:r>
          <w:rPr>
            <w:rFonts w:ascii="arial" w:eastAsia="arial" w:hAnsi="arial" w:cs="arial"/>
            <w:b/>
            <w:bCs/>
            <w:i/>
            <w:color w:val="0077CC"/>
            <w:kern w:val="32"/>
            <w:sz w:val="28"/>
            <w:szCs w:val="32"/>
            <w:u w:val="single"/>
            <w:shd w:val="clear" w:color="auto" w:fill="FFFFFF"/>
            <w:lang w:val="en-US" w:eastAsia="en-US" w:bidi="ar-SA"/>
          </w:rPr>
          <w:t>Jory v. Pereira, [2019] B.C.J. No. 1643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Nanaimo,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J.A. Power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14-17,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29,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M76943, M81601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Nanaimo</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1643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1465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William Jory, Plaintiff, and Gordon Pereira and City of Nanaimo, Defendants And between Gordon Pereira, Plaintiff, and William Jory,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(73 paras.)</w:t>
      </w:r>
    </w:p>
    <w:p>
      <w:pPr>
        <w:jc w:val="both"/>
        <w:rPr>
          <w:rFonts w:ascii="arial" w:eastAsia="arial" w:hAnsi="arial" w:cs="arial"/>
          <w:sz w:val="20"/>
          <w:lang w:val="en-US" w:eastAsia="en-US" w:bidi="ar-SA"/>
        </w:rPr>
      </w:pPr>
      <w:bookmarkStart w:id="45" w:name="Counsel_11"/>
      <w:bookmarkEnd w:id="4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7" style="position:absolute;z-index:251671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William Jory: G.R. Phillips and K.A. Sugiyama.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Gordon Pereira: D.R. McDonagh and P.K. McMurchy.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6" w:name="Judgment_11"/>
      <w:bookmarkEnd w:id="46"/>
      <w:r>
        <w:pict>
          <v:line id="_x0000_s1068" style="position:absolute;z-index:25172275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7" w:name="J.A. POWER J."/>
            <w:bookmarkEnd w:id="47"/>
            <w:r>
              <w:rPr>
                <w:rFonts w:ascii="arial" w:eastAsia="arial" w:hAnsi="arial" w:cs="arial"/>
                <w:b/>
                <w:color w:val="000000"/>
                <w:sz w:val="30"/>
                <w:lang w:val="en-US" w:eastAsia="en-US" w:bidi="ar-SA"/>
              </w:rPr>
              <w:t>J.A. POWER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judgment relates to two actions that involve the same motor vehicle collision which took place at an intersection on Rutherford Road in Nanaimo, British Columbia. The two drivers involved have brought action against each other alleging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both drivers allege they have suffered injury as a result of the collision. The collision involved significant force and both vehicles suffered total damage as a result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Both actions were heard together at trial. The action against the City of Nanaimo was discontinued prior to trial. This trial related to the issue of liability for the collision. By agreement of counsel, Mr. Jory's action proceeded first. The issue of quantum of damages was severed by a Consent Order of Master Dick.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issue that I must decide on this trial relates to liability for the collision, and if one driver is not solely liable for the collision to what extent each party is responsible. As part of my factual findings on the trial, I must determine whether Mr. Pereira was speeding and whether he presented an immediate hazard to Mr. Jory who was a left turning driver. I must also determine whether Mr. Jory stopped before commencing his left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For the reasons that follow, I have determined that Mr. Jory is 40% at fault for the collision and Mr. Pereira is 60%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In undertaking the fact-finding process, I have kept in mind the guidance from our Court of Appeal in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xml:space="preserve">, </w:t>
      </w:r>
      <w:hyperlink r:id="rId161"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at para. 11 that I must consider the preponderance of the probabilities evident from the circumstances and I must consider the evidence as a whole. I have also kept in mind that truthfulness and reliability are not necessarily synonymous.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Before discussing the evidence in this case, I will set out the location of the collision in order to give that evidence context. I will then briefly set out the background to the collision from the perspective of the witnesses, before turning to my findings of fact and legal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collision occurred at the intersection of Rutherford Road and Cedar Ridge Place in Nanaimo, British Columbia. The collision occurred on Sunday, May 17, 2015, and the weather and road conditions were clear and dry.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the area of the collision, Rutherford Road runs roughly east/west. Cedar Ridge Place runs roughly north/south and approaches Rutherford Road to form a "T"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At the time of the collision, Mr. Pereira was driving a 2006 Chevrolet Cobalt travelling east on Rutherford Road. Mr. Jory was driving a 2011 Dodge Caravan travelling northbound on Cedar Ridge Place and was turning left onto Rutherford Road intending to head west on Rutherford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At the location of the collision, Rutherford Road has two lanes in each direction, which are divided by a cement median which has some vegetation. The lane closest to the centre median was referred to throughout the trial by witnesses alternately as the median lane, the meridian lane, or the left lane. I note that it could also be considered the fast lane or the passing lane, but for the purposes of this judgment I will call it the median lane. The speed limit on Rutherford Road is 50 kilometres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Photographs of the area of the collision were introduced in evidence at trial and include photographs taken by the Royal Canadian Mounted Police (RCMP) and one photograph taken by an employee at the Grand Hotel which was nearby. There were also Google maps introduced into evidence that illustrate aerial views of the collision area as well as street views. These photographs and maps provided assistance to the court in understanding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addition to the two drivers involved in the collision, Mr. Jory and Mr. Pereira, an independent witness named Troy Monsell gave evidence. There are also reports and evidence from two expert engineers, Trevor Dinn, (Exhibit 3) and a responsive report from Jonathan Gough (Exhibit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William Jory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William Jory is a retired air traffic controller who lives in Nanaimo with his wife, adult daughter and two granddaughters. He was 67 years old at the time of the collision. Mr. Jory has been retired since 2002 and has led an active life since retirement. Mr. Jory's pre-existing health problems were detailed in the evidence. Of significance, at the time of the collision Mr. Jory's vision was "fine for driving" and he did not wear any corrective lenses. Mr. Jory was not taking any prescription medication nor was he under the influence of alcohol at the time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Jory testified that he has suffered a brain seizure since the collision, but he testified that did not impact his memory of the events and I conclude that he did have good recall of the events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May 17, 2015, Mr. Jory was driving his adult daughter to work at the Grand Hotel located at the intersection of Cedar Ridge Place and Rutherford Road in Nanaimo. He had just left the Grand Hotel and proceeded on Cedar Ridge Place on a slight downward slope towards Rutherford Road. He testified that he stopped just before the stop line at Cedar Ridge Place and then looked left and saw two vehicles, an unknown beige Sport Utility type vehicle and a black car (the Pereira vehicle). Mr. Jory testified that the black vehicle was in the median lane of Rutherford. He testified that he was of the view that both vehicles were far enough away in order to make a left turn onto Rutherford Road safely. He acknowledged in cross-examination that he might not have had the same opinion if the vehicles were at highway speed instead of in a 50 km speed zone.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As I have stated, Mr. Jory testified that he had no concerns about making the left hand turn. He testified that prior to doing so he looked to the left, then to the right and then to the left again, before he proceeded slowly into the intersection to make his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Jory testified that his vehicle was struck around the door pillar on the driver's side of the vehicle. He was in the intersection, in the median or left hand lane of Rutherford, when the collision occurred. He testified that the force of the collision was "horrendous" and all airbags in his vehicle were deployed.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After the collision Mr. Jory could see the Pereira vehicle in the bushes on the other side of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Jory was initially ticketed by the police with leaving a stop sign when it was unsafe to do so, but Mr. Jory disputed that traffic violation ticket and the ticket was subsequently stayed by the police.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Troy Monsell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Troy Monsell is a 50-year-old inspector with the City of Nanaimo. He is an experienced driver who, in addition to driving dump trucks as part of his work responsibilities, holds a Class 1 licence which allows him to drive large commercial vehicles. He is also an avid motorcyclist.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Monsell was doing volunteer work on May 17, 2015. He was driving west in the median lane down Rutherford Road which had a slight downwards slope, when he saw the events leading up to and the collision itself. Mr. Monsell testified that he had a clear view of the collision as depicted in Photographs 5 and 6 at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Monsell saw Mr. Jory's black caravan vehicle stopped at the Cedar Ridge Place intersection with Rutherford Road. He testified that he saw the black caravan proceed slowly and cautiously into the center median. Mr. Monsell testified that it almost looked like Mr. Jory's vehicle was going to stop again. Mr. Monsell then saw a small black car (the Pereira vehicle), come up from the hedge at a speed he estimated at well over 80 km/h. He witnessed that the collision took place in the median lane. He testified that the Pereira vehicle jerked to the left at the last minute which "lessened the blow" or impact of the collision. Mr. Monsell pulled over to the curb lane on Rutherford Road and assisted both drivers.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Gordon Pereira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Gordon Pereira was 44 years old at the time of the collision. He has worked in various occupations including in the hotel industry. He eventually changed occupations and was working as a hair dresser at the time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the day of the collision, Mr. Pereira was not under the influence of any drugs or alcohol. He had no vision problems and testified that he has 20/20 vision. He was en route to a church service that started at 10:00 a.m. when the collision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Pereira had turned off the Island Highway which he believed was an 80 km/h speed zone onto Rutherford Road which he knew to be a 50 km/h speed zone. He testified that he was travelling "with the speed of traffic" when he saw the Jory van. He testified that he was travelling in the curb lane somewhere near the speed limit as he approached the collision location. He testified that he was sure he was not speeding but appeared to be reliant on the fact that he was travelling with the speed of traffic before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He testified that Mr. Jory's vehicle entered the intersection leaving him no opportunity to avoid except for taking evasive action at the last minute. He testified that he was sure he was in the curb lane at the time of the collision.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Trevor Dinn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Trevor Dinn is a Professional Engineer who was qualified as an expert in accident reconstruction. His report is filed as Exhibit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As part of his report, Mr. Dinn noted that Mr. Pereira's Chevrolet was not available for inspection and the Event Data Recorder from the vehicle was not available for download. He did have available the Event Data Recorder ("EDR") information from Mr. Jory's Dodge Caravan. All counsel are prepared to concede that the EDR data is accurate, although there was no evidence called about the mechanical condition of the Jory vehicle or that the EDR data was being accurately recorded.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his report, Mr. Dinn notes that no collision would have occurred if the Dodge had been able to travel a further vehicle length.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Dinn's conclusions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Dodge Caravan and Chevrolet Cobalt impact speeds were likely about 23 and 90 km/h, respectively.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Dodge likely presented a collision hazard for 2.4 seconds or more, which likely resulted in the Chevrolet having been braked prior to impact.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Chevrolet was likely travelling about 115 km/h or more prior to braking.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Dodge was travelling at about 18 km/h 5 seconds prior to impact; it then slowed to 14.5 km/h at 3.8 seconds prior to impact and was located with its front bumper at the stop bar. It had slowed to about 8 km/h at 3 seconds prior to impact. It began increasing speed from 2 seconds prior to impact until impact where it was travelling about 23 km/h.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Dodge required about a further 5 metres of travel and no collision would have occurred.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Jonathan Gough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Jonathan Gough is a Professional Engineer who provided a responsive report to the Dinn report. Mr. Gough summarizes his concerns with the Dinn report by noting that Mr. Dinn did not have the opportunity to examine either of the vehicles involved in the collision and only limited data was available from the collision scene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Since Mr. Gough provided a responsive report his own conclusions are limited, but he did opine that it was more likely that the point of impact was in the median lane rather than the curb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ASSESSMENT ON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Turning now to my assessment of the evidence I state at the outset that I accept the evidence of Mr. Jory and Mr. Monsell over the evidence of Mr. Pereira. I find that the evidence of Mr. Jory and Mr. Monsell is consistent with each other and with the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Monsell was an independent witness who was also an extremely experienced driver and I find that he had a clear view of the collision. I accept his evidence surrounding the excessive speed of the Pereira vehicle and his evidence that Mr. Jory stopped his vehicle at the stop line before proceeding into the intersection slowly and cautiously. His evidence that the Jory vehicle appeared almost to stop again, appears to be borne out by Mr. Dinn's findings on the speed of the Jory vehicle before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not accepting Mr. Pereira's evidence, I do not find that he deliberately misled the court. However, he had no basis for his conclusion that he was not speeding except that he was travelling with the flow of traffic. In cross-examination he was unwilling to concede that if traffic around him was speeding, then so was he. In light of that, I find Mr. Pereira's evidence on his vehicle's speed unpersuasive. Further, I find that Mr. Pereira was likely in a rush to get to the church service on time. Finally, Mr. Pereira's evidence that the collision happened in the curb lane is inconsistent with all of the evidence including the evidence of his own expert Mr. Gough.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considering the expert reports, I find the report of Mr. Dinn persuasive and I conclude that his report is consistent with the eye witness evidence of Mr. Jory and Mr. Monsell, which I do accept. I find that the weaknesses attributed to the report by Mr. Gough are acknowledged by Mr. Dinn and are compensated for by his conservative calculations on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After considering the totality of the evidence, I make the following 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Pereira vehicle was speeding at the time of the collision and was travelling between 80-115 km/h, and most likely over 90 km/h.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Jory vehicle stopped at the stop line on Cedar Ridge Place prior to entering the intersection. The Jory vehicle was proceeding cautiously and perhaps even too cautiously.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Jory vehicle could have safely made the turn if the Pereira vehicle had not been speeding.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find that Mr. Jory did not accurately assess the hazard presented by the Pereira vehicle since he assumed that the Pereira vehicle was travelling in and around the speed limit. Mr. Jory conceded that the turn would have been unsafe at highway speeds.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collision occurred in the median lane of travel.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Jory vehicle was travelling at 23 km/h at the time of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LIABILITY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Drivers owe a common law duty to take reasonable care for the safety of themselves and others when using a roadway. This duty is supplemented by the statutory duties found in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relevant provisions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in this case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Careless driving prohibited</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(1) A person must not drive a motor vehicle on a highway</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due care and attention,</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reasonable consideration for other persons using the highway, or</w:t>
      </w:r>
    </w:p>
    <w:p>
      <w:pPr>
        <w:numPr>
          <w:numId w:val="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at a speed that is excessive relative to the road, traffic, visibility or weather conditions.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Speed limits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xml:space="preserve"> (1) Subject to this section, a person must not drive or operate a motor vehicle on a highway in a municipality or treaty lands at a greater rate of speed than 50 km/h, and a person must not drive or operate a motor vehicle on a highway outside a municipality at a greater rate of speed than 80 km/h.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Yielding right of way on left turn</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xml:space="preserve"> When a vehicle is in an intersection and its driver intends to turn left, the driver must yield the right of way to traffic approaching from the opposite direction that is in the intersection or so close as to constitute an immediate hazard, but having yielded and given a signal as required by sections 171 and 172, the driver may turn the vehicle to the left, and traffic approaching the intersection from the opposite direction must yield the right of way to the vehicle making the left turn.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Entering through highway</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xml:space="preserve"> (1) If a vehicle that is about to enter a through highway has stopped in compliance with section 186,</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the vehicle must yield the right of way to traffic that has entered the intersection on the through highway or is approaching so closely on it that it constitutes an immediate hazard, and</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having yielded, the driver may proceed with caution.</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vehicle is entering a through highway in compliance with subsection (1), traffic approaching the intersection on the highway must yield the right of way to the entering vehicle while it is proceeding into or across the highway.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Stopping at intersections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xml:space="preserve"> Except when a peace officer directs otherwise, if there is a stop sign at an intersection, a driver of a vehicle must stop</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marked stop line, if any,</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entering the marked crosswalk on the near side of the intersection, or</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there is neither a marked crosswalk nor a stop line, before entering the intersection, at the point nearest the intersecting highway from which the driver has a view of approaching traffic on the intersecting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Nerval v. Khehra</w:t>
      </w:r>
      <w:r>
        <w:rPr>
          <w:rFonts w:ascii="arial" w:eastAsia="arial" w:hAnsi="arial" w:cs="arial"/>
          <w:color w:val="000000"/>
          <w:sz w:val="20"/>
          <w:lang w:val="en-US" w:eastAsia="en-US" w:bidi="ar-SA"/>
        </w:rPr>
        <w:t xml:space="preserve">, </w:t>
      </w:r>
      <w:hyperlink r:id="rId312" w:history="1">
        <w:r>
          <w:rPr>
            <w:rFonts w:ascii="arial" w:eastAsia="arial" w:hAnsi="arial" w:cs="arial"/>
            <w:i/>
            <w:color w:val="0077CC"/>
            <w:sz w:val="20"/>
            <w:u w:val="single"/>
            <w:shd w:val="clear" w:color="auto" w:fill="FFFFFF"/>
            <w:lang w:val="en-US" w:eastAsia="en-US" w:bidi="ar-SA"/>
          </w:rPr>
          <w:t>2012 BCCA 436</w:t>
        </w:r>
      </w:hyperlink>
      <w:r>
        <w:rPr>
          <w:rFonts w:ascii="arial" w:eastAsia="arial" w:hAnsi="arial" w:cs="arial"/>
          <w:color w:val="000000"/>
          <w:sz w:val="20"/>
          <w:lang w:val="en-US" w:eastAsia="en-US" w:bidi="ar-SA"/>
        </w:rPr>
        <w:t>, Justice Harris laid out the law governing left-turning vehicles: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The principles laid down in </w:t>
      </w:r>
      <w:r>
        <w:rPr>
          <w:rFonts w:ascii="arial" w:eastAsia="arial" w:hAnsi="arial" w:cs="arial"/>
          <w:i/>
          <w:color w:val="000000"/>
          <w:sz w:val="20"/>
          <w:lang w:val="en-US" w:eastAsia="en-US" w:bidi="ar-SA"/>
        </w:rPr>
        <w:t>Pacheco</w:t>
      </w:r>
      <w:r>
        <w:rPr>
          <w:rFonts w:ascii="arial" w:eastAsia="arial" w:hAnsi="arial" w:cs="arial"/>
          <w:color w:val="000000"/>
          <w:sz w:val="20"/>
          <w:lang w:val="en-US" w:eastAsia="en-US" w:bidi="ar-SA"/>
        </w:rPr>
        <w:t xml:space="preserve"> lead to the conclusion that the starting point of the analysis is that when a left turning driver is assessing making a left turn in an intersection he or she must yield the right of way to oncoming traffic unless it is not an immediate hazard. Describing a driver as dominant means no more than that driver has the right of way, whereas the servient driver has the obligation to yield the right of way. The obligation imposed by s. 174 on the left turning vehicle is that it "must yield the right of way to traffic approaching from the opposite direction that is in the intersection or so close as to constitute an immediate hazard". A left turn must not be commenced unless it is clearly safe to do so. If there are no vehicles in the intersection or sufficiently close to be an imminent hazard, the driver may turn left and approaching traffic must yield the right of way. In other words, if a left turning driver complies with his or her obligation only to start the left turn when no other vehicles are in the intersection or constitute an immediate hazard, then the left turning driver assumes the relationship of being the dominant vehicle and approaching vehicles become servient and must yield the right of 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As observed in </w:t>
      </w:r>
      <w:r>
        <w:rPr>
          <w:rFonts w:ascii="arial" w:eastAsia="arial" w:hAnsi="arial" w:cs="arial"/>
          <w:i/>
          <w:color w:val="000000"/>
          <w:sz w:val="20"/>
          <w:lang w:val="en-US" w:eastAsia="en-US" w:bidi="ar-SA"/>
        </w:rPr>
        <w:t>Salaam v. Abramovic</w:t>
      </w:r>
      <w:r>
        <w:rPr>
          <w:rFonts w:ascii="arial" w:eastAsia="arial" w:hAnsi="arial" w:cs="arial"/>
          <w:color w:val="000000"/>
          <w:sz w:val="20"/>
          <w:lang w:val="en-US" w:eastAsia="en-US" w:bidi="ar-SA"/>
        </w:rPr>
        <w:t xml:space="preserve">, </w:t>
      </w:r>
      <w:hyperlink r:id="rId313" w:history="1">
        <w:r>
          <w:rPr>
            <w:rFonts w:ascii="arial" w:eastAsia="arial" w:hAnsi="arial" w:cs="arial"/>
            <w:i/>
            <w:color w:val="0077CC"/>
            <w:sz w:val="20"/>
            <w:u w:val="single"/>
            <w:shd w:val="clear" w:color="auto" w:fill="FFFFFF"/>
            <w:lang w:val="en-US" w:eastAsia="en-US" w:bidi="ar-SA"/>
          </w:rPr>
          <w:t>2010 BCCA 212</w:t>
        </w:r>
      </w:hyperlink>
      <w:r>
        <w:rPr>
          <w:rFonts w:ascii="arial" w:eastAsia="arial" w:hAnsi="arial" w:cs="arial"/>
          <w:color w:val="000000"/>
          <w:sz w:val="20"/>
          <w:lang w:val="en-US" w:eastAsia="en-US" w:bidi="ar-SA"/>
        </w:rPr>
        <w:t xml:space="preserve"> (B.C. C.A.) at para. 33, the words "immediate hazard" are "used to determine when a vehicle may lawfully enter an intersection. They determine who is the dominant driver, but do not, by themselves, define the standard of care in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[35] The effect of s. 174 is to cast the burden of proving the absence of an immediate hazard at the moment the left turn begins onto the left turning driver. This result flows inevitably from the wording of the section itself, given the nature of the absolute obligation the section creates. If a left turning driver, in the face of this statutory obligation, asserts that he or she started to turn left when it was safe to do so, then the burden of proving that fact rests with them.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[36] The trial judge did not err in imposing this burden on Ms. Nerval. The first aspect of the burden is to demonstrate that when she began her turn there was no immediate hazard. Having failed to do so, the trial judge was entitled to conclude that Ms. Khehra was an immediate hazard and was the dominant driver.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[37] The second aspect of the burden relates to proving that despite being the dominant driver, Ms. Khehra nonetheless was negligent and at fault for causing or contributing to the accident. Here, although Ms. Khehra had the right of way, she could exercise that right only in a safe manner. The trial judge correctly relied on the statement of principle from para. 18 of </w:t>
      </w:r>
      <w:r>
        <w:rPr>
          <w:rFonts w:ascii="arial" w:eastAsia="arial" w:hAnsi="arial" w:cs="arial"/>
          <w:i/>
          <w:color w:val="000000"/>
          <w:sz w:val="20"/>
          <w:lang w:val="en-US" w:eastAsia="en-US" w:bidi="ar-SA"/>
        </w:rPr>
        <w:t>Pacheco</w:t>
      </w:r>
      <w:r>
        <w:rPr>
          <w:rFonts w:ascii="arial" w:eastAsia="arial" w:hAnsi="arial" w:cs="arial"/>
          <w:color w:val="000000"/>
          <w:sz w:val="20"/>
          <w:lang w:val="en-US" w:eastAsia="en-US" w:bidi="ar-SA"/>
        </w:rPr>
        <w:t>, quoted above, in assessing the evidence and reaching his conclusions.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[38] Whether a through driver is dominant turns on whether the driver's vehicle is an immediate hazard at the material time, not why it is an immediate hazard. Dominance identifies who must yield the right of way. One consequence of this analysis is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a through driver does not disqualify that driver as the dominant driver. The through driver remains dominant, even though their conduct may be negligent. Indeed, the through driver's fault may be greater than the servient driver's fault. In other words, a through driver may be an immediate hazard even though that driver is speeding and given her speed would have to take sudden action to avoid the threat of a collision if the left turning driver did not yield the right of way. The correct analysis is to recognize that the through driver is breaching his or her common law and perhaps statutory obligations and to address the issue as one of apportioning fault, not to reclassify the through driver as servient based on the degree to which the through driver is in breach of her obligations.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In brief, this can be summarized as a two-part test: </w:t>
      </w:r>
      <w:r>
        <w:rPr>
          <w:rFonts w:ascii="arial" w:eastAsia="arial" w:hAnsi="arial" w:cs="arial"/>
          <w:i/>
          <w:color w:val="000000"/>
          <w:sz w:val="20"/>
          <w:lang w:val="en-US" w:eastAsia="en-US" w:bidi="ar-SA"/>
        </w:rPr>
        <w:t>Ranahan v. Iron Horse Enterprises &amp; Logistics Inc.</w:t>
      </w:r>
      <w:r>
        <w:rPr>
          <w:rFonts w:ascii="arial" w:eastAsia="arial" w:hAnsi="arial" w:cs="arial"/>
          <w:color w:val="000000"/>
          <w:sz w:val="20"/>
          <w:lang w:val="en-US" w:eastAsia="en-US" w:bidi="ar-SA"/>
        </w:rPr>
        <w:t xml:space="preserve">, </w:t>
      </w:r>
      <w:hyperlink r:id="rId314" w:history="1">
        <w:r>
          <w:rPr>
            <w:rFonts w:ascii="arial" w:eastAsia="arial" w:hAnsi="arial" w:cs="arial"/>
            <w:i/>
            <w:color w:val="0077CC"/>
            <w:sz w:val="20"/>
            <w:u w:val="single"/>
            <w:shd w:val="clear" w:color="auto" w:fill="FFFFFF"/>
            <w:lang w:val="en-US" w:eastAsia="en-US" w:bidi="ar-SA"/>
          </w:rPr>
          <w:t>2017 BCSC 759</w:t>
        </w:r>
      </w:hyperlink>
      <w:r>
        <w:rPr>
          <w:rFonts w:ascii="arial" w:eastAsia="arial" w:hAnsi="arial" w:cs="arial"/>
          <w:color w:val="000000"/>
          <w:sz w:val="20"/>
          <w:lang w:val="en-US" w:eastAsia="en-US" w:bidi="ar-SA"/>
        </w:rPr>
        <w:t xml:space="preserve"> at paras. 44-46. First, the left-turning driver must establish that there was no immediate hazard when they began their turn. If there was no immediate hazard, the left-turning driver becomes the dominant driver with the right of way. Second, even if the through-driver is found to be the dominant driver with the right of way, the court must determine whether the through-driver was nevertheless negligent and at fault for causing or contributing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An immediate hazard exists when the approaching car would need to take "violent or sudden" avoiding action in order to avoid the threat of collision: </w:t>
      </w:r>
      <w:r>
        <w:rPr>
          <w:rFonts w:ascii="arial" w:eastAsia="arial" w:hAnsi="arial" w:cs="arial"/>
          <w:i/>
          <w:color w:val="000000"/>
          <w:sz w:val="20"/>
          <w:lang w:val="en-US" w:eastAsia="en-US" w:bidi="ar-SA"/>
        </w:rPr>
        <w:t>Raie v. Thorpe</w:t>
      </w:r>
      <w:r>
        <w:rPr>
          <w:rFonts w:ascii="arial" w:eastAsia="arial" w:hAnsi="arial" w:cs="arial"/>
          <w:color w:val="000000"/>
          <w:sz w:val="20"/>
          <w:lang w:val="en-US" w:eastAsia="en-US" w:bidi="ar-SA"/>
        </w:rPr>
        <w:t xml:space="preserve"> (1963), 43 WWR 405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Section 175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contains some additional criteria not considered in </w:t>
      </w:r>
      <w:r>
        <w:rPr>
          <w:rFonts w:ascii="arial" w:eastAsia="arial" w:hAnsi="arial" w:cs="arial"/>
          <w:i/>
          <w:color w:val="000000"/>
          <w:sz w:val="20"/>
          <w:lang w:val="en-US" w:eastAsia="en-US" w:bidi="ar-SA"/>
        </w:rPr>
        <w:t>Nerval</w:t>
      </w:r>
      <w:r>
        <w:rPr>
          <w:rFonts w:ascii="arial" w:eastAsia="arial" w:hAnsi="arial" w:cs="arial"/>
          <w:color w:val="000000"/>
          <w:sz w:val="20"/>
          <w:lang w:val="en-US" w:eastAsia="en-US" w:bidi="ar-SA"/>
        </w:rPr>
        <w:t xml:space="preserve">, which focused on s. 174. First, in order to reach the two-part test from </w:t>
      </w:r>
      <w:r>
        <w:rPr>
          <w:rFonts w:ascii="arial" w:eastAsia="arial" w:hAnsi="arial" w:cs="arial"/>
          <w:i/>
          <w:color w:val="000000"/>
          <w:sz w:val="20"/>
          <w:lang w:val="en-US" w:eastAsia="en-US" w:bidi="ar-SA"/>
        </w:rPr>
        <w:t>Nerval</w:t>
      </w:r>
      <w:r>
        <w:rPr>
          <w:rFonts w:ascii="arial" w:eastAsia="arial" w:hAnsi="arial" w:cs="arial"/>
          <w:color w:val="000000"/>
          <w:sz w:val="20"/>
          <w:lang w:val="en-US" w:eastAsia="en-US" w:bidi="ar-SA"/>
        </w:rPr>
        <w:t>, the left-turning vehicle must have stopped at the marked stop-line in compliance with s. 186. Finally, when proceeding to turn left, the left-turning vehicle must proceed with caution, even if they are the dominant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PARTIES' POSITIONS ON LIABILITY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Mr. Jory's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Counsel for the plaintiff submits that at the time Mr. Jory began his left hand turn on Rutherford Road, Mr. Pereira was not an immediate hazard to him because the vehicle was far down Rutherford Road, closer to the Wills Road intersection than the Cedar Ridge Place intersection. Mr. Jory was therefore the dominant driver, and Mr. Pereira was negligent in his failure to yield the right of way. In the alternative, the plaintiff argues that even if Mr. Pereira was the dominant driver with the right of way, he was nevertheless negligent and at fault for causing or contributing to the collision because of his high speed, and for his failure to avoid the crash when it appeared or ought to have appeared imminent.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Finally, the plaintiff submits that Mr. Jory was not negligent for failing to appreciate the high speed at which Mr. Pereira was travelling. Mr. Jory reasonably assumed that Mr. Pereira was following the rules of the road, and was not obligated to consider the possibility that Mr. Pereira was exceeding the speed limit.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plaintiff argues that there is no liability to be found against him, and Mr. Pereira is solely responsible for the crash. In the alternative, he submits that he is 20% at fault, and Mr. Pereira is 80% responsible.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Mr. Pereira's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Counsel for the defendant submits that Mr. Jory is solely responsible for the crash. He submits that Mr. Jory did not stop his vehicle at the stop line, as required under s. 186. Further, he submits that Mr. Pereira's vehicle constituted an immediate hazard at the time Mr. Jory began turning; as such, Mr. Pereira was the dominant driver with the right of way, and Mr. Jory was obligated to yield to him, which he failed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Counsel further submits that Mr. Jory disregarded statutory and common law duties as he failed to proceed with caution and failed to check for ongoing traffic before entering the through lane. Instead of discharging his duties, Mr. Jory accelerated into the path of Mr. Pereira's vehicle, leaving Mr. Pereira with no opportunity to avoid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Mr. Pereira submits that he was not speeding at the time of the accident, and was not in breach of any common law or statutory duties. Counsel submits that Mr. Pereira's position is therefore supported by </w:t>
      </w:r>
      <w:r>
        <w:rPr>
          <w:rFonts w:ascii="arial" w:eastAsia="arial" w:hAnsi="arial" w:cs="arial"/>
          <w:i/>
          <w:color w:val="000000"/>
          <w:sz w:val="20"/>
          <w:lang w:val="en-US" w:eastAsia="en-US" w:bidi="ar-SA"/>
        </w:rPr>
        <w:t>Walker v. Brownlee</w:t>
      </w:r>
      <w:r>
        <w:rPr>
          <w:rFonts w:ascii="arial" w:eastAsia="arial" w:hAnsi="arial" w:cs="arial"/>
          <w:color w:val="000000"/>
          <w:sz w:val="20"/>
          <w:lang w:val="en-US" w:eastAsia="en-US" w:bidi="ar-SA"/>
        </w:rPr>
        <w:t xml:space="preserve">, </w:t>
      </w:r>
      <w:hyperlink r:id="rId315" w:history="1">
        <w:r>
          <w:rPr>
            <w:rFonts w:ascii="arial" w:eastAsia="arial" w:hAnsi="arial" w:cs="arial"/>
            <w:i/>
            <w:color w:val="0077CC"/>
            <w:sz w:val="20"/>
            <w:u w:val="single"/>
            <w:shd w:val="clear" w:color="auto" w:fill="FFFFFF"/>
            <w:lang w:val="en-US" w:eastAsia="en-US" w:bidi="ar-SA"/>
          </w:rPr>
          <w:t>[1952] 2 D.L.R. 450</w:t>
        </w:r>
      </w:hyperlink>
      <w:r>
        <w:rPr>
          <w:rFonts w:ascii="arial" w:eastAsia="arial" w:hAnsi="arial" w:cs="arial"/>
          <w:color w:val="000000"/>
          <w:sz w:val="20"/>
          <w:lang w:val="en-US" w:eastAsia="en-US" w:bidi="ar-SA"/>
        </w:rPr>
        <w:t xml:space="preserve"> (S.C.C.) where the Court held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[49] While the decision of every motor vehicle collision case must depend on its particular facts, I am of opinion that when A, the driver in the servient position, proceeds through an intersection in complete disregard of his statutory duty to yield the right-of-way and a collision results, if he seeks to cast any portion of the blame upon B, the driver having the right-of-way, A must establish that after B became aware, or by the exercise of reasonable care should have become aware, of A's disregard of the law B had in fact a sufficient opportunity to avoid the accident of which a reasonably careful and skilful driver would have availed himself; and I do not think that in such circumstances any doubts should be resolved in favour of A, whose unlawful conduct was </w:t>
      </w:r>
      <w:r>
        <w:rPr>
          <w:rFonts w:ascii="arial" w:eastAsia="arial" w:hAnsi="arial" w:cs="arial"/>
          <w:i/>
          <w:color w:val="000000"/>
          <w:sz w:val="20"/>
          <w:lang w:val="en-US" w:eastAsia="en-US" w:bidi="ar-SA"/>
        </w:rPr>
        <w:t>fons et origo mali</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Did Mr. Jory stop at the stop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In order to proceed to the left-hand turn analysis from </w:t>
      </w:r>
      <w:r>
        <w:rPr>
          <w:rFonts w:ascii="arial" w:eastAsia="arial" w:hAnsi="arial" w:cs="arial"/>
          <w:i/>
          <w:color w:val="000000"/>
          <w:sz w:val="20"/>
          <w:lang w:val="en-US" w:eastAsia="en-US" w:bidi="ar-SA"/>
        </w:rPr>
        <w:t>Nerval</w:t>
      </w:r>
      <w:r>
        <w:rPr>
          <w:rFonts w:ascii="arial" w:eastAsia="arial" w:hAnsi="arial" w:cs="arial"/>
          <w:color w:val="000000"/>
          <w:sz w:val="20"/>
          <w:lang w:val="en-US" w:eastAsia="en-US" w:bidi="ar-SA"/>
        </w:rPr>
        <w:t>, Mr. Jory must establish that he stopped at the stop line before beginning his left hand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Jory testified that he came to a complete stop at the stop line, looked left, then right, then left again, before beginning his turn. This evidence is supported by the neutral eyewitness, Mr. Monsell, who testified that the Jory vehicle was stopped at the stop sign on Cedar Ridge Place for 4-5 seconds before it began to creep into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I am satisfied that Mr. Jory discharged his obligation to stop at the stop-line, in compliance with s. 186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Was Mr. Pereira's vehicle an immediate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Jory bears the burden of proving that Mr. Pereira's vehicle was not an immediate hazard when Mr. Jory began his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Jory testified that when he first looked left on Rutherford Road, he observed two cars approaching uphill toward him. At the time, the Pereira vehicle was much closer to Wills Road than to Cedar Ridge Place, behind a beige vehicle. He looked to the right, and saw no immediate hazards. He looked left for a second time, and observed that the Pereira vehicle was now beside the beige vehicle in the median lane. He made a "judgment call" that there was no immediate hazard, as the vehicles were still a fair distance away, and began to make his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As I have already indicated, I generally accept Mr. Jory's evidence and I accept that if Mr. Pereira had not been speeding at around double the speed limit the left turn would have been safe. However, I have found that Mr. Pereira was speeding and in these circumstances, I am not satisfied that Mr. Jory had discharged his onus to establish that Mr. Pereira was not an immediate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find that Mr. Pereira was an immediate hazard, and therefore was the dominant driver with the right of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Was Mr. Pereira nevertheless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Having established that Mr. Pereira was an immediate hazard to Mr. Jory, and therefore, the dominant vehicle with the right of way, I must consider whether Mr. Pereira was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this case, there is persuasive evidence from the neutral eyewitness, Mr. Monsell, and from the plaintiff's expert witness that Mr. Pereira was travelling far in excess of the speed limit at the time of the collision. Mr. Pereira's speed was not only approximately double the posted speed limit, it was in fact in excess even of the s. 146 speed limit of highways outside a municipality.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I find that this excessive speed was in contravention of Mr. Pereira's duties under the common law and under s. 146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conclude from all of the evidence that had Mr. Pereira not been speeding he would have been able to avoid the collision. Further, Mr. Jory's vehicle should have been visible to Mr. Pereira since there was only one other vehicle in the area and nothing blocking Mr. Pereira's vision. I find that Mr. Pereira was negligent in not taking evasive action sooner.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Was Mr. Jory negligent in failing to notice Mr. Pereira's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Mr. Jory argues that Mr. Jory was not negligent for failing to appreciate the speed of Mr. Pereira's vehicle, because drivers are generally entitled to assume that others will obey the rules of the road. However, as Justice Fitch observed in </w:t>
      </w:r>
      <w:r>
        <w:rPr>
          <w:rFonts w:ascii="arial" w:eastAsia="arial" w:hAnsi="arial" w:cs="arial"/>
          <w:i/>
          <w:color w:val="000000"/>
          <w:sz w:val="20"/>
          <w:lang w:val="en-US" w:eastAsia="en-US" w:bidi="ar-SA"/>
        </w:rPr>
        <w:t>Pirie v. Skantz</w:t>
      </w:r>
      <w:r>
        <w:rPr>
          <w:rFonts w:ascii="arial" w:eastAsia="arial" w:hAnsi="arial" w:cs="arial"/>
          <w:color w:val="000000"/>
          <w:sz w:val="20"/>
          <w:lang w:val="en-US" w:eastAsia="en-US" w:bidi="ar-SA"/>
        </w:rPr>
        <w:t xml:space="preserve">, </w:t>
      </w:r>
      <w:hyperlink r:id="rId316" w:history="1">
        <w:r>
          <w:rPr>
            <w:rFonts w:ascii="arial" w:eastAsia="arial" w:hAnsi="arial" w:cs="arial"/>
            <w:i/>
            <w:color w:val="0077CC"/>
            <w:sz w:val="20"/>
            <w:u w:val="single"/>
            <w:shd w:val="clear" w:color="auto" w:fill="FFFFFF"/>
            <w:lang w:val="en-US" w:eastAsia="en-US" w:bidi="ar-SA"/>
          </w:rPr>
          <w:t>2016 BCCA 70</w:t>
        </w:r>
      </w:hyperlink>
      <w:r>
        <w:rPr>
          <w:rFonts w:ascii="arial" w:eastAsia="arial" w:hAnsi="arial" w:cs="arial"/>
          <w:color w:val="000000"/>
          <w:sz w:val="20"/>
          <w:lang w:val="en-US" w:eastAsia="en-US" w:bidi="ar-SA"/>
        </w:rPr>
        <w:t xml:space="preserve"> at para. 29, that assumption is not absolute: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[29] With respect to the second argument the appellant advances under this ground, while I do not contest the proposition that a driver is generally entitled to assume that others will obey the rules of the road, this is not an unqualified entitlement. As noted in </w:t>
      </w:r>
      <w:r>
        <w:rPr>
          <w:rFonts w:ascii="arial" w:eastAsia="arial" w:hAnsi="arial" w:cs="arial"/>
          <w:i/>
          <w:color w:val="000000"/>
          <w:sz w:val="20"/>
          <w:lang w:val="en-US" w:eastAsia="en-US" w:bidi="ar-SA"/>
        </w:rPr>
        <w:t>Brucks v. Caslavsky</w:t>
      </w:r>
      <w:r>
        <w:rPr>
          <w:rFonts w:ascii="arial" w:eastAsia="arial" w:hAnsi="arial" w:cs="arial"/>
          <w:color w:val="000000"/>
          <w:sz w:val="20"/>
          <w:lang w:val="en-US" w:eastAsia="en-US" w:bidi="ar-SA"/>
        </w:rPr>
        <w:t xml:space="preserve">, </w:t>
      </w:r>
      <w:hyperlink r:id="rId317" w:history="1">
        <w:r>
          <w:rPr>
            <w:rFonts w:ascii="arial" w:eastAsia="arial" w:hAnsi="arial" w:cs="arial"/>
            <w:i/>
            <w:color w:val="0077CC"/>
            <w:sz w:val="20"/>
            <w:u w:val="single"/>
            <w:shd w:val="clear" w:color="auto" w:fill="FFFFFF"/>
            <w:lang w:val="en-US" w:eastAsia="en-US" w:bidi="ar-SA"/>
          </w:rPr>
          <w:t>[1994] B.C.J. No. 996</w:t>
        </w:r>
      </w:hyperlink>
      <w:r>
        <w:rPr>
          <w:rFonts w:ascii="arial" w:eastAsia="arial" w:hAnsi="arial" w:cs="arial"/>
          <w:color w:val="000000"/>
          <w:sz w:val="20"/>
          <w:lang w:val="en-US" w:eastAsia="en-US" w:bidi="ar-SA"/>
        </w:rPr>
        <w:t xml:space="preserve">, </w:t>
      </w:r>
      <w:hyperlink r:id="rId317" w:history="1">
        <w:r>
          <w:rPr>
            <w:rFonts w:ascii="arial" w:eastAsia="arial" w:hAnsi="arial" w:cs="arial"/>
            <w:i/>
            <w:color w:val="0077CC"/>
            <w:sz w:val="20"/>
            <w:u w:val="single"/>
            <w:shd w:val="clear" w:color="auto" w:fill="FFFFFF"/>
            <w:lang w:val="en-US" w:eastAsia="en-US" w:bidi="ar-SA"/>
          </w:rPr>
          <w:t>45 B.C.A.C. 62</w:t>
        </w:r>
      </w:hyperlink>
      <w:r>
        <w:rPr>
          <w:rFonts w:ascii="arial" w:eastAsia="arial" w:hAnsi="arial" w:cs="arial"/>
          <w:color w:val="000000"/>
          <w:sz w:val="20"/>
          <w:lang w:val="en-US" w:eastAsia="en-US" w:bidi="ar-SA"/>
        </w:rPr>
        <w:t xml:space="preserve"> at para. 10: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 driver is entitled ... to assume that others will obey the rules of the road, and </w:t>
      </w:r>
      <w:r>
        <w:rPr>
          <w:rFonts w:ascii="arial" w:eastAsia="arial" w:hAnsi="arial" w:cs="arial"/>
          <w:color w:val="000000"/>
          <w:sz w:val="20"/>
          <w:u w:val="single"/>
          <w:lang w:val="en-US" w:eastAsia="en-US" w:bidi="ar-SA"/>
        </w:rPr>
        <w:t>until the contrary becomes apparent</w:t>
      </w:r>
      <w:r>
        <w:rPr>
          <w:rFonts w:ascii="arial" w:eastAsia="arial" w:hAnsi="arial" w:cs="arial"/>
          <w:color w:val="000000"/>
          <w:sz w:val="20"/>
          <w:lang w:val="en-US" w:eastAsia="en-US" w:bidi="ar-SA"/>
        </w:rPr>
        <w:t xml:space="preserve"> to rely on that assumption in deciding whether or not an oncoming vehicle constitutes an "immediate hazard".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[Emphasis added in </w:t>
      </w:r>
      <w:r>
        <w:rPr>
          <w:rFonts w:ascii="arial" w:eastAsia="arial" w:hAnsi="arial" w:cs="arial"/>
          <w:i/>
          <w:color w:val="000000"/>
          <w:sz w:val="20"/>
          <w:lang w:val="en-US" w:eastAsia="en-US" w:bidi="ar-SA"/>
        </w:rPr>
        <w:t>Pirie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this case, while Mr. Jory was generally entitled to assume that Mr. Pereira was following the rules of the road, I find that it should have been apparent to him that Mr. Pereira in fact was not following those rules. I have found that Mr. Jory had stopped at the stop sign before beginning his turn, and had the opportunity to twice observe Mr. Pereira approaching him. He observed Mr. Pereira draw level with the car travelling in the curb lane. Having found that Mr. Pereira was travelling at a speed greatly in excess of the limit, I find that it ought to have been apparent to Mr. Jory that Mr. Pereira was travelling at an unsafe speed. In making this finding, I have considered that Mr. Monsell, who was further away, was able to identify that Mr. Pereira was speeding. Even though his view of the approaching vehicle was not the same, I conclude that it was apparent that Mr. Pereira was not following the rules of the road, and Mr. Jory should have been able to identify that Mr. Pereira was speeding.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How to apportion fault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Ultimately, I find that both Mr. Pereira and Mr. Jory were in breach of their statutory and common law duties. Mr. Jory, by failing to notice Mr. Pereira's excessive speed, and by failing to yield to the dominant driver, was in breach of his common law duties to take care for his safety and the safety of other drivers, as well as his duties under s. 175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Despite these failures, however, I find that Mr. Pereira's dangerous and excessive speed in a residential area was a substantial cause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The defendant argues that the principle in </w:t>
      </w:r>
      <w:r>
        <w:rPr>
          <w:rFonts w:ascii="arial" w:eastAsia="arial" w:hAnsi="arial" w:cs="arial"/>
          <w:i/>
          <w:color w:val="000000"/>
          <w:sz w:val="20"/>
          <w:lang w:val="en-US" w:eastAsia="en-US" w:bidi="ar-SA"/>
        </w:rPr>
        <w:t>Walker v. Brownlee</w:t>
      </w:r>
      <w:r>
        <w:rPr>
          <w:rFonts w:ascii="arial" w:eastAsia="arial" w:hAnsi="arial" w:cs="arial"/>
          <w:color w:val="000000"/>
          <w:sz w:val="20"/>
          <w:lang w:val="en-US" w:eastAsia="en-US" w:bidi="ar-SA"/>
        </w:rPr>
        <w:t xml:space="preserve"> protects Mr. Pereira from liability, since he was the dominant driver. However, the principle from </w:t>
      </w:r>
      <w:r>
        <w:rPr>
          <w:rFonts w:ascii="arial" w:eastAsia="arial" w:hAnsi="arial" w:cs="arial"/>
          <w:i/>
          <w:color w:val="000000"/>
          <w:sz w:val="20"/>
          <w:lang w:val="en-US" w:eastAsia="en-US" w:bidi="ar-SA"/>
        </w:rPr>
        <w:t>Walker v. Brownlee</w:t>
      </w:r>
      <w:r>
        <w:rPr>
          <w:rFonts w:ascii="arial" w:eastAsia="arial" w:hAnsi="arial" w:cs="arial"/>
          <w:color w:val="000000"/>
          <w:sz w:val="20"/>
          <w:lang w:val="en-US" w:eastAsia="en-US" w:bidi="ar-SA"/>
        </w:rPr>
        <w:t xml:space="preserve"> is not an absolute shield for the dominant driver. Justice Ballance made the following observation in </w:t>
      </w:r>
      <w:r>
        <w:rPr>
          <w:rFonts w:ascii="arial" w:eastAsia="arial" w:hAnsi="arial" w:cs="arial"/>
          <w:i/>
          <w:color w:val="000000"/>
          <w:sz w:val="20"/>
          <w:lang w:val="en-US" w:eastAsia="en-US" w:bidi="ar-SA"/>
        </w:rPr>
        <w:t>Hynna v. Peck</w:t>
      </w:r>
      <w:r>
        <w:rPr>
          <w:rFonts w:ascii="arial" w:eastAsia="arial" w:hAnsi="arial" w:cs="arial"/>
          <w:color w:val="000000"/>
          <w:sz w:val="20"/>
          <w:lang w:val="en-US" w:eastAsia="en-US" w:bidi="ar-SA"/>
        </w:rPr>
        <w:t xml:space="preserve">, </w:t>
      </w:r>
      <w:hyperlink r:id="rId318" w:history="1">
        <w:r>
          <w:rPr>
            <w:rFonts w:ascii="arial" w:eastAsia="arial" w:hAnsi="arial" w:cs="arial"/>
            <w:i/>
            <w:color w:val="0077CC"/>
            <w:sz w:val="20"/>
            <w:u w:val="single"/>
            <w:shd w:val="clear" w:color="auto" w:fill="FFFFFF"/>
            <w:lang w:val="en-US" w:eastAsia="en-US" w:bidi="ar-SA"/>
          </w:rPr>
          <w:t>2009 BCSC 1057</w:t>
        </w:r>
      </w:hyperlink>
      <w:r>
        <w:rPr>
          <w:rFonts w:ascii="arial" w:eastAsia="arial" w:hAnsi="arial" w:cs="arial"/>
          <w:color w:val="000000"/>
          <w:sz w:val="20"/>
          <w:lang w:val="en-US" w:eastAsia="en-US" w:bidi="ar-SA"/>
        </w:rPr>
        <w:t xml:space="preserve"> at para. 80 when considering whether a speeding dominant driver may nonetheless be liable for an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[80] I do not read the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decision as advocating, in the assessment of tort liability, the outright rejection of considerations pertaining to the speed or other conduct of the through driver who constitutes an immediate hazard. Put another way,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does not lay down a rigid rule that the Court ought not to consider whether and how the speed of a through driver might have played a causative role in an accident where it has been found that the other driver has failed to yield the right-of-way. In my view, the dictum in </w:t>
      </w:r>
      <w:r>
        <w:rPr>
          <w:rFonts w:ascii="arial" w:eastAsia="arial" w:hAnsi="arial" w:cs="arial"/>
          <w:i/>
          <w:color w:val="000000"/>
          <w:sz w:val="20"/>
          <w:lang w:val="en-US" w:eastAsia="en-US" w:bidi="ar-SA"/>
        </w:rPr>
        <w:t>Walker</w:t>
      </w:r>
      <w:r>
        <w:rPr>
          <w:rFonts w:ascii="arial" w:eastAsia="arial" w:hAnsi="arial" w:cs="arial"/>
          <w:color w:val="000000"/>
          <w:sz w:val="20"/>
          <w:lang w:val="en-US" w:eastAsia="en-US" w:bidi="ar-SA"/>
        </w:rPr>
        <w:t xml:space="preserve"> does not extend that broadly and was not intended to have that reach. The Court in </w:t>
      </w:r>
      <w:r>
        <w:rPr>
          <w:rFonts w:ascii="arial" w:eastAsia="arial" w:hAnsi="arial" w:cs="arial"/>
          <w:i/>
          <w:color w:val="000000"/>
          <w:sz w:val="20"/>
          <w:lang w:val="en-US" w:eastAsia="en-US" w:bidi="ar-SA"/>
        </w:rPr>
        <w:t>Walker</w:t>
      </w:r>
      <w:r>
        <w:rPr>
          <w:rFonts w:ascii="arial" w:eastAsia="arial" w:hAnsi="arial" w:cs="arial"/>
          <w:color w:val="000000"/>
          <w:sz w:val="20"/>
          <w:lang w:val="en-US" w:eastAsia="en-US" w:bidi="ar-SA"/>
        </w:rPr>
        <w:t xml:space="preserve"> speaks of avoidance action to be taken by a reasonably careful and skilful driver. It is difficult to imagine how a driver who is speeding significantly over the applicable limit can legitimately be portrayed as standing in the position of the reasonably careful and skilful driver contemplated by Cartwright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I am satisfied that this is similarly not a case where Mr. Pereira can legitimately be portrayed as "standing in the position of a reasonably careful and skilful driver", as described in </w:t>
      </w:r>
      <w:r>
        <w:rPr>
          <w:rFonts w:ascii="arial" w:eastAsia="arial" w:hAnsi="arial" w:cs="arial"/>
          <w:i/>
          <w:color w:val="000000"/>
          <w:sz w:val="20"/>
          <w:lang w:val="en-US" w:eastAsia="en-US" w:bidi="ar-SA"/>
        </w:rPr>
        <w:t>Walker</w:t>
      </w:r>
      <w:r>
        <w:rPr>
          <w:rFonts w:ascii="arial" w:eastAsia="arial" w:hAnsi="arial" w:cs="arial"/>
          <w:color w:val="000000"/>
          <w:sz w:val="20"/>
          <w:lang w:val="en-US" w:eastAsia="en-US" w:bidi="ar-SA"/>
        </w:rPr>
        <w:t>. Mr. Jory has established that had Mr. Pereira exercised reasonable care, he would have become aware that Mr. Jory had entered the intersection in time to give Mr. Pereira sufficient opportunity to avoid the accident. That is, if Mr. Pereira had not been travelling at a dangerous and excessive speed, at the time he observed Mr. Jory enter the intersection there would have been sufficient time for a reasonably prudent driver to come to a safe and controlled halt without any accident occurring. I find that this conclusion is amplified when one considers the degree of caution that Mr. Jory was exhibiting in making the left hand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I am satisfied that while Mr. Jory was negligent in entering the intersection in front of an immediate hazard, Mr. Pereira's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travelling in excess of 80 km/h, and likely in excess of 90 km/h, was the predominant cause of the collision. Mr. Pereira's conduct was more blameworthy than Mr. Jory's.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find that Mr. Jory is 40% liable for the accident. Mr. Pereira bears 60% responsibility for the accident. The parties have leave to speak to costs if that issue is not agreed to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J.A. POWER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9" style="position:absolute;z-index:2517729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19"/>
          <w:headerReference w:type="default" r:id="rId320"/>
          <w:footerReference w:type="even" r:id="rId321"/>
          <w:footerReference w:type="default" r:id="rId322"/>
          <w:headerReference w:type="first" r:id="rId323"/>
          <w:footerReference w:type="first" r:id="rId32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25" w:history="1">
        <w:r>
          <w:rPr>
            <w:rFonts w:ascii="arial" w:eastAsia="arial" w:hAnsi="arial" w:cs="arial"/>
            <w:b/>
            <w:bCs/>
            <w:i/>
            <w:color w:val="0077CC"/>
            <w:kern w:val="32"/>
            <w:sz w:val="28"/>
            <w:szCs w:val="32"/>
            <w:u w:val="single"/>
            <w:shd w:val="clear" w:color="auto" w:fill="FFFFFF"/>
            <w:lang w:val="en-US" w:eastAsia="en-US" w:bidi="ar-SA"/>
          </w:rPr>
          <w:t>Kerr v. Hall, [2013] B.C.J. No. 2810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Nelson,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T.J. Melnick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10,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20,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16515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Nelson</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2810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2347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59 M.V.R. (6th) 78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CarswellBC 3879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236 A.C.W.S. (3d) 270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Tabatha Kerr, Plaintiff, and Thomas Hall,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(24 paras.)</w:t>
      </w:r>
    </w:p>
    <w:p>
      <w:pPr>
        <w:jc w:val="both"/>
        <w:rPr>
          <w:rFonts w:ascii="arial" w:eastAsia="arial" w:hAnsi="arial" w:cs="arial"/>
          <w:sz w:val="20"/>
          <w:lang w:val="en-US" w:eastAsia="en-US" w:bidi="ar-SA"/>
        </w:rPr>
      </w:pPr>
      <w:bookmarkStart w:id="48" w:name="Counsel_12"/>
      <w:bookmarkEnd w:id="4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0" style="position:absolute;z-index:2516725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 Yates, 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 Batkin.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9" w:name="Judgment_12"/>
      <w:bookmarkEnd w:id="49"/>
      <w:r>
        <w:pict>
          <v:line id="_x0000_s1071" style="position:absolute;z-index:25172377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0" w:name="T.J. MELNICK J."/>
            <w:bookmarkEnd w:id="50"/>
            <w:r>
              <w:rPr>
                <w:rFonts w:ascii="arial" w:eastAsia="arial" w:hAnsi="arial" w:cs="arial"/>
                <w:b/>
                <w:color w:val="000000"/>
                <w:sz w:val="30"/>
                <w:lang w:val="en-US" w:eastAsia="en-US" w:bidi="ar-SA"/>
              </w:rPr>
              <w:t>T.J. MELNICK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action for damages arising out of a motor vehicle accident. By agreement, this trial was restricted to the issue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509"/>
        <w:gridCol w:w="690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I.</w:t>
            </w:r>
          </w:p>
        </w:tc>
        <w:tc>
          <w:tcPr>
            <w:tcW w:w="67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BACKGROUND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November 12, 2009, Tabatha Kerr ("Ms. Kerr") had parked her Pontiac motor vehicle in the Gerick Cycle parking lot adjoining Highway 3B in Trail. This parking lot is located near to the intersection of Highway 22 and Highway 3B. Essentially, from the intersection, Highways 22 and 3B (also called Rossland Avenue at that point in Trail) go southeast to Rossland, Highway 22 north to Castlegar and Highway 3B goes in the direction of Salmo to the east. I have taken judicial notice of these directions only for the ease of describing the movement of the vehicles involved. These directions have no significance in themselves.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Kerr said that she was leaving the Gerick Cycle parking lot with the intention of going downtown. That intent required her to make a right-hand turn from the parking lot so that she could proceed in an easterly direction on Highway 3B which, at that point, has two east-bound lanes. Ms. Kerr says she stopped at the exit from the parking lot and looked to her left. She says that she looked up Rossland Avenue as well as Highway 3B. However, I got the impression from her evidence that she meant she looked up both the roadway to Castlegar and the roadway to Rossland as both roadways were to her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It was her evidence that from where she stopped to exit from the parking lot, one can see up Rossland Avenue a bit but not as far as "the yield sign" very well. Access onto Highway 3B east-bound from Rossland Avenue (Highways 22 and 3B) is controlled by a yield sign. It was Ms. Kerr's estimate that this yield sign was about 60 to 100 feet from the exit from the parking lot. Ms. Kerr said she was very familiar with the Gerick Cycle parking lot having used it frequently. Ms. Kerr said that before exiting the parking lot she looked left for a few seconds. She saw no vehicle approaching from Rossland Avenue. She said she then began to leave the exit to drive into the curb lane of Highway 3B. She was not fully out of the exit she said, her vehicle essentially rolling forward as she transferred her foot from the brake to the accelerator, when her vehicle was struck on the front left side by a vehicle driven by Thomas Hall ("Mr. Hall"). Ms. Kerr said that she did not see Mr. Hall's vehicle before she began to pull onto Highway 3B.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Hall says that he did see Ms. Kerr's vehicle stopped at the exit from the Gerick Cycle parking lot. Given the time of year, he said, shrubbery planted on the roadside that would appear to have the potential to restrict one's view between Rossland Avenue and the parking lot exit was bare of leaves and therefore not a visual impediment. He said he, too, was familiar with the area involved although had not been a frequent user of the Gerick Cycle parking lot. He described there being a slight down grade as one travelled from Rossland Avenue into Trail. He said that as one travels on Rossland Avenue toward the intersection, the speed limit is 50 kilometres per hour. He said he was not exceeding the speed limit. He did a shoulder check to his left in the direction of Castlegar and determined that it was safe to proceed through the yield sign onto Highway 3B. He, too, was intending to drive into the east-bound curb lane of Highway 3B.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Hall said that after he went past the yield sign, he saw Ms. Kerr's vehicle start to move. At this point, he said, he was 100 feet or less from her vehicle. He said he was proceeding about 30 kilometres per hour as he went past the yield sign then began to accelerate. When he saw Ms. Kerr's vehicle pull out in front of him, he tried to avoid a collision by driving toward the centre east-bound lane. But, he said, Ms. Kerr did not remain solely in the curb lane but in fact carried on into the centre lane. She went straight out from the parking lot, he said. Thus, he could not drive around her, locked up his brakes, and the front right corner of his vehicle struck Ms. Kerr's vehicle. It was not put to Ms. Kerr on cross-examination that she had driven partially into the centre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Following the collision, Mr. Hall backed his vehicle out of the way of traffic in the centre lane. He noted that, in hindsight, he should not have moved his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Both parties denied being under the influence of alcohol or drugs. It is common ground that the accident happened in the area of 4 o'clock in the afternoon. Ms. Kerr said that following the collision Mr. Hall came up to her vehicle and swore at her, saying he was on his way to work. On his examination for discovery, Mr. Hall had denied swearing at Ms. Kerr but admitted doing so at trial. He denied saying he was on his way to work as he was, he said, coming from work although he was on his way to perform a task connected to his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As to Mr. Hall's speed, he conceded that on his examination for discovery he said that he had been going 30 kilometres per hour both when he went past the yield sign and immediately before the collision, but in his direct evidence he said that he accelerated after passing the yield sign, although at the most he would have been going not more than 40 kilometres per hour after having done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cross-examination, Mr. Hall maintained that he had been in error on his examination for discovery when he estimated his distance before the yield sign when he first saw Ms. Kerr's vehicle at 200 metres. He said at trial that he should have said 200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One further point: Ms. Kerr says that, after the collision, she saw Mr. Hall with a cell phone to his ear before he exited his vehicle. He denies using a cell phone prior to the accident, saying he then used an earpiece in any event. He says that after he exchanged words with Ms. Kerr after the accident, he went back to his vehicle and called his father. Ms. Kerr used her cell phone to call the police.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614"/>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II.</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DISCUSSION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Kerr's position is that she shoulder checked prior to exiting onto Highway 3B. Ms. Kerr's theory is that Mr. Hall was driving his vehicle through an intersection familiar to him and, when the traffic lights were such as to allow him to proceed relative to the traffic on the Castlegar-bound portion of Highway 22, he accelerated forward into Highway 3B at a speed that was excessive in the circumstances where there was an issue of visibility for vehicles exiting the car park. There is a decline in the grade of the roadway and there was but a short distance from the yield sign to the parking lot. He had seen Ms. Kerr's vehicle stopped at the exit and should have exercised caution as he knew she was there. In fact, he was faced with a yield sign and should have yielded to her as her vehicle posed an immediate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Hall's position is that he had the right-of-way, that he was not speeding and that Ms. Kerr has not demonstrated that, as Mr. Hall's vehicle was not an immediate hazard, it was safe to pull onto Highway 3B from the parking lot. She just did not see Mr. Hall's vehicle and can only speculate that the reason his vehicle struck her is because he was speeding. The damage to the vehicles is consistent with Ms. Kerr not pulling out into the curb lane, suggested counsel for Mr. Hall. Had she done so the impact would probably have been a rear-end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Section 176(2)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176 (2) The driver of a vehicle about to enter or cross a highway from an alley, lane, driveway, building or private road must yield the right of way to traffic approaching on the highway so closely that it constitutes an immediate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Thus, Ms. Kerr must establish that when she entered Highway 3B from the Gerick Cycle parking lot it was safe for her to do so in that Mr. Hall's vehicle was not approaching so closely that it constituted an immediate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As well, s. 144(a)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144 (1) A person must not drive a motor vehicle on a highway</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due care and attention,</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reasonable consideration for other persons using the highway, or</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 speed that is excessive relative to the road, traffic, visibility or weather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This section is relevant to Ms. Kerr's position that the collision must have occurred because Mr. Hall was driving at an excessive speed in the circumstances or failed to see her as he was not driving with due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Ms. Kerr relies on </w:t>
      </w:r>
      <w:r>
        <w:rPr>
          <w:rFonts w:ascii="arial" w:eastAsia="arial" w:hAnsi="arial" w:cs="arial"/>
          <w:i/>
          <w:color w:val="000000"/>
          <w:sz w:val="20"/>
          <w:lang w:val="en-US" w:eastAsia="en-US" w:bidi="ar-SA"/>
        </w:rPr>
        <w:t>Thomson v. Hunt</w:t>
      </w:r>
      <w:r>
        <w:rPr>
          <w:rFonts w:ascii="arial" w:eastAsia="arial" w:hAnsi="arial" w:cs="arial"/>
          <w:color w:val="000000"/>
          <w:sz w:val="20"/>
          <w:lang w:val="en-US" w:eastAsia="en-US" w:bidi="ar-SA"/>
        </w:rPr>
        <w:t xml:space="preserve">, </w:t>
      </w:r>
      <w:hyperlink r:id="rId326" w:history="1">
        <w:r>
          <w:rPr>
            <w:rFonts w:ascii="arial" w:eastAsia="arial" w:hAnsi="arial" w:cs="arial"/>
            <w:i/>
            <w:color w:val="0077CC"/>
            <w:sz w:val="20"/>
            <w:u w:val="single"/>
            <w:shd w:val="clear" w:color="auto" w:fill="FFFFFF"/>
            <w:lang w:val="en-US" w:eastAsia="en-US" w:bidi="ar-SA"/>
          </w:rPr>
          <w:t>2010 BCSC 1858</w:t>
        </w:r>
      </w:hyperlink>
      <w:r>
        <w:rPr>
          <w:rFonts w:ascii="arial" w:eastAsia="arial" w:hAnsi="arial" w:cs="arial"/>
          <w:color w:val="000000"/>
          <w:sz w:val="20"/>
          <w:lang w:val="en-US" w:eastAsia="en-US" w:bidi="ar-SA"/>
        </w:rPr>
        <w:t>. In that case, Mr. Justice Schultes found at para. 39, in a situation similar to the one before me,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[39] I find that the most likely sequence of events is that Mr. Hunt approached the site of the collision at a speed in excess of 40 kilometres per hour, which, having regard to the configuration of Dawes Hill Road, caused him to collide with Mr. Thomson, who sought to enter the road after having properly checked for oncoming traffic. The manner in which Mr. Hunt controlled and operated his car could not have provided him with sufficient time to react to other vehicles, such as Mr. Thomson's truck, that might seek to enter the road. Accordingly, I find that Mr. Hunt's breach of his duty of care was the cause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only evidence I have of the manner in which Mr. Hall controlled and operated his car is that of Mr. Hall himself. Although there are some inconsistencies between his evidence on examination for discovery and trial, on the whole I find his evidence credible. I find nothing in his evidence to suggest that his speed was excessive in all the circumstances. This intersection is one which undoubtedly merits caution both when driving from Rossland Avenue into Highway 3B through the yield sign and, particularly, when entering Highway 3B from the Gerick Cycle parking lot which is located quite close to this large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As the plaintiff, the burden of proof lies upon Ms. Kerr to establish that Mr. Hall's vehicle was not an immediate hazard. He does not have the burden of proving that her vehicle was not an immediate hazard of which he was aware unless it is first demonstrated by her that there was some fault with his driving. In </w:t>
      </w:r>
      <w:r>
        <w:rPr>
          <w:rFonts w:ascii="arial" w:eastAsia="arial" w:hAnsi="arial" w:cs="arial"/>
          <w:i/>
          <w:color w:val="000000"/>
          <w:sz w:val="20"/>
          <w:lang w:val="en-US" w:eastAsia="en-US" w:bidi="ar-SA"/>
        </w:rPr>
        <w:t>Currie v. Taylor</w:t>
      </w:r>
      <w:r>
        <w:rPr>
          <w:rFonts w:ascii="arial" w:eastAsia="arial" w:hAnsi="arial" w:cs="arial"/>
          <w:color w:val="000000"/>
          <w:sz w:val="20"/>
          <w:lang w:val="en-US" w:eastAsia="en-US" w:bidi="ar-SA"/>
        </w:rPr>
        <w:t xml:space="preserve">, </w:t>
      </w:r>
      <w:hyperlink r:id="rId327" w:history="1">
        <w:r>
          <w:rPr>
            <w:rFonts w:ascii="arial" w:eastAsia="arial" w:hAnsi="arial" w:cs="arial"/>
            <w:i/>
            <w:color w:val="0077CC"/>
            <w:sz w:val="20"/>
            <w:u w:val="single"/>
            <w:shd w:val="clear" w:color="auto" w:fill="FFFFFF"/>
            <w:lang w:val="en-US" w:eastAsia="en-US" w:bidi="ar-SA"/>
          </w:rPr>
          <w:t>2012 BCSC 1553</w:t>
        </w:r>
      </w:hyperlink>
      <w:r>
        <w:rPr>
          <w:rFonts w:ascii="arial" w:eastAsia="arial" w:hAnsi="arial" w:cs="arial"/>
          <w:color w:val="000000"/>
          <w:sz w:val="20"/>
          <w:lang w:val="en-US" w:eastAsia="en-US" w:bidi="ar-SA"/>
        </w:rPr>
        <w:t xml:space="preserve">, Mr. Justice Armstrong, in a case involving an accident in an intersection where s. 175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was engaged, helpfully summarized the law as follows at paras. 65 to 68: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[65] The leading authorities that inform the Court on liability assessment in these kinds of collisions are: </w:t>
      </w:r>
      <w:r>
        <w:rPr>
          <w:rFonts w:ascii="arial" w:eastAsia="arial" w:hAnsi="arial" w:cs="arial"/>
          <w:i/>
          <w:color w:val="000000"/>
          <w:sz w:val="20"/>
          <w:lang w:val="en-US" w:eastAsia="en-US" w:bidi="ar-SA"/>
        </w:rPr>
        <w:t>Keen v. Stene</w:t>
      </w:r>
      <w:r>
        <w:rPr>
          <w:rFonts w:ascii="arial" w:eastAsia="arial" w:hAnsi="arial" w:cs="arial"/>
          <w:color w:val="000000"/>
          <w:sz w:val="20"/>
          <w:lang w:val="en-US" w:eastAsia="en-US" w:bidi="ar-SA"/>
        </w:rPr>
        <w:t xml:space="preserve"> </w:t>
      </w:r>
      <w:hyperlink r:id="rId328" w:history="1">
        <w:r>
          <w:rPr>
            <w:rFonts w:ascii="arial" w:eastAsia="arial" w:hAnsi="arial" w:cs="arial"/>
            <w:i/>
            <w:color w:val="0077CC"/>
            <w:sz w:val="20"/>
            <w:u w:val="single"/>
            <w:shd w:val="clear" w:color="auto" w:fill="FFFFFF"/>
            <w:lang w:val="en-US" w:eastAsia="en-US" w:bidi="ar-SA"/>
          </w:rPr>
          <w:t>(1964), 44 D.L.R. (2d) 350</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Raie v. Thorpe</w:t>
      </w:r>
      <w:r>
        <w:rPr>
          <w:rFonts w:ascii="arial" w:eastAsia="arial" w:hAnsi="arial" w:cs="arial"/>
          <w:color w:val="000000"/>
          <w:sz w:val="20"/>
          <w:lang w:val="en-US" w:eastAsia="en-US" w:bidi="ar-SA"/>
        </w:rPr>
        <w:t xml:space="preserve"> (1963), 43 W.W.R. 405 (B.C.C.A.); and, </w:t>
      </w:r>
      <w:r>
        <w:rPr>
          <w:rFonts w:ascii="arial" w:eastAsia="arial" w:hAnsi="arial" w:cs="arial"/>
          <w:i/>
          <w:color w:val="000000"/>
          <w:sz w:val="20"/>
          <w:lang w:val="en-US" w:eastAsia="en-US" w:bidi="ar-SA"/>
        </w:rPr>
        <w:t>Walker v. Brownlee and Harmon</w:t>
      </w:r>
      <w:r>
        <w:rPr>
          <w:rFonts w:ascii="arial" w:eastAsia="arial" w:hAnsi="arial" w:cs="arial"/>
          <w:color w:val="000000"/>
          <w:sz w:val="20"/>
          <w:lang w:val="en-US" w:eastAsia="en-US" w:bidi="ar-SA"/>
        </w:rPr>
        <w:t xml:space="preserve">, </w:t>
      </w:r>
      <w:hyperlink r:id="rId315" w:history="1">
        <w:r>
          <w:rPr>
            <w:rFonts w:ascii="arial" w:eastAsia="arial" w:hAnsi="arial" w:cs="arial"/>
            <w:i/>
            <w:color w:val="0077CC"/>
            <w:sz w:val="20"/>
            <w:u w:val="single"/>
            <w:shd w:val="clear" w:color="auto" w:fill="FFFFFF"/>
            <w:lang w:val="en-US" w:eastAsia="en-US" w:bidi="ar-SA"/>
          </w:rPr>
          <w:t>[1952] 2 D.L.R. 450</w:t>
        </w:r>
      </w:hyperlink>
      <w:r>
        <w:rPr>
          <w:rFonts w:ascii="arial" w:eastAsia="arial" w:hAnsi="arial" w:cs="arial"/>
          <w:color w:val="000000"/>
          <w:sz w:val="20"/>
          <w:lang w:val="en-US" w:eastAsia="en-US" w:bidi="ar-SA"/>
        </w:rPr>
        <w:t xml:space="preserve"> (S.C.C.). The principles include the following:</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vehicle is an immediate hazard in circumstances where the oncoming driver is required to take a sudden or violent action to avoid threat of the collision if the servient driver fails to yield the right-of-way: </w:t>
      </w:r>
      <w:r>
        <w:rPr>
          <w:rFonts w:ascii="arial" w:eastAsia="arial" w:hAnsi="arial" w:cs="arial"/>
          <w:i/>
          <w:color w:val="000000"/>
          <w:sz w:val="20"/>
          <w:lang w:val="en-US" w:eastAsia="en-US" w:bidi="ar-SA"/>
        </w:rPr>
        <w:t>Raie</w:t>
      </w:r>
      <w:r>
        <w:rPr>
          <w:rFonts w:ascii="arial" w:eastAsia="arial" w:hAnsi="arial" w:cs="arial"/>
          <w:color w:val="000000"/>
          <w:sz w:val="20"/>
          <w:lang w:val="en-US" w:eastAsia="en-US" w:bidi="ar-SA"/>
        </w:rPr>
        <w:t xml:space="preserve"> at 406.</w:t>
      </w:r>
    </w:p>
    <w:p>
      <w:pPr>
        <w:numPr>
          <w:numId w:val="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the movement of the servient vehicle into the through street in the absence of an immediate hazard that gives it the right-of-way, rather than its mere presence at the stop sign; </w:t>
      </w:r>
      <w:r>
        <w:rPr>
          <w:rFonts w:ascii="arial" w:eastAsia="arial" w:hAnsi="arial" w:cs="arial"/>
          <w:i/>
          <w:color w:val="000000"/>
          <w:sz w:val="20"/>
          <w:lang w:val="en-US" w:eastAsia="en-US" w:bidi="ar-SA"/>
        </w:rPr>
        <w:t>Keen</w:t>
      </w:r>
      <w:r>
        <w:rPr>
          <w:rFonts w:ascii="arial" w:eastAsia="arial" w:hAnsi="arial" w:cs="arial"/>
          <w:color w:val="000000"/>
          <w:sz w:val="20"/>
          <w:lang w:val="en-US" w:eastAsia="en-US" w:bidi="ar-SA"/>
        </w:rPr>
        <w:t xml:space="preserve"> at 360.</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consideration is given to the interval of time elapsing to allow a careful oncoming driver to realize that the servient driver is making an entry resulting in the danger of collision; </w:t>
      </w:r>
      <w:r>
        <w:rPr>
          <w:rFonts w:ascii="arial" w:eastAsia="arial" w:hAnsi="arial" w:cs="arial"/>
          <w:i/>
          <w:color w:val="000000"/>
          <w:sz w:val="20"/>
          <w:lang w:val="en-US" w:eastAsia="en-US" w:bidi="ar-SA"/>
        </w:rPr>
        <w:t>Keen</w:t>
      </w:r>
      <w:r>
        <w:rPr>
          <w:rFonts w:ascii="arial" w:eastAsia="arial" w:hAnsi="arial" w:cs="arial"/>
          <w:color w:val="000000"/>
          <w:sz w:val="20"/>
          <w:lang w:val="en-US" w:eastAsia="en-US" w:bidi="ar-SA"/>
        </w:rPr>
        <w:t xml:space="preserve"> at 360.</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hazard is immediate if a reasonable danger of such future collision may be apprehended at the time of the proposed entry by the servient driver; </w:t>
      </w:r>
      <w:r>
        <w:rPr>
          <w:rFonts w:ascii="arial" w:eastAsia="arial" w:hAnsi="arial" w:cs="arial"/>
          <w:i/>
          <w:color w:val="000000"/>
          <w:sz w:val="20"/>
          <w:lang w:val="en-US" w:eastAsia="en-US" w:bidi="ar-SA"/>
        </w:rPr>
        <w:t>Keen</w:t>
      </w:r>
      <w:r>
        <w:rPr>
          <w:rFonts w:ascii="arial" w:eastAsia="arial" w:hAnsi="arial" w:cs="arial"/>
          <w:color w:val="000000"/>
          <w:sz w:val="20"/>
          <w:lang w:val="en-US" w:eastAsia="en-US" w:bidi="ar-SA"/>
        </w:rPr>
        <w:t xml:space="preserve"> at 364 and </w:t>
      </w:r>
      <w:r>
        <w:rPr>
          <w:rFonts w:ascii="arial" w:eastAsia="arial" w:hAnsi="arial" w:cs="arial"/>
          <w:i/>
          <w:color w:val="000000"/>
          <w:sz w:val="20"/>
          <w:lang w:val="en-US" w:eastAsia="en-US" w:bidi="ar-SA"/>
        </w:rPr>
        <w:t>Raie</w:t>
      </w:r>
      <w:r>
        <w:rPr>
          <w:rFonts w:ascii="arial" w:eastAsia="arial" w:hAnsi="arial" w:cs="arial"/>
          <w:color w:val="000000"/>
          <w:sz w:val="20"/>
          <w:lang w:val="en-US" w:eastAsia="en-US" w:bidi="ar-SA"/>
        </w:rPr>
        <w:t xml:space="preserve"> at 405.</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dominant driver has become aware, or should become aware that the servient driver has entered the intersection in disregard of the law, then a duty arises to take sufficient steps to avoid the accident was; </w:t>
      </w:r>
      <w:r>
        <w:rPr>
          <w:rFonts w:ascii="arial" w:eastAsia="arial" w:hAnsi="arial" w:cs="arial"/>
          <w:i/>
          <w:color w:val="000000"/>
          <w:sz w:val="20"/>
          <w:lang w:val="en-US" w:eastAsia="en-US" w:bidi="ar-SA"/>
        </w:rPr>
        <w:t>Keen</w:t>
      </w:r>
      <w:r>
        <w:rPr>
          <w:rFonts w:ascii="arial" w:eastAsia="arial" w:hAnsi="arial" w:cs="arial"/>
          <w:color w:val="000000"/>
          <w:sz w:val="20"/>
          <w:lang w:val="en-US" w:eastAsia="en-US" w:bidi="ar-SA"/>
        </w:rPr>
        <w:t xml:space="preserve"> at 367.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[66] In </w:t>
      </w:r>
      <w:r>
        <w:rPr>
          <w:rFonts w:ascii="arial" w:eastAsia="arial" w:hAnsi="arial" w:cs="arial"/>
          <w:i/>
          <w:color w:val="000000"/>
          <w:sz w:val="20"/>
          <w:lang w:val="en-US" w:eastAsia="en-US" w:bidi="ar-SA"/>
        </w:rPr>
        <w:t>Keen</w:t>
      </w:r>
      <w:r>
        <w:rPr>
          <w:rFonts w:ascii="arial" w:eastAsia="arial" w:hAnsi="arial" w:cs="arial"/>
          <w:color w:val="000000"/>
          <w:sz w:val="20"/>
          <w:lang w:val="en-US" w:eastAsia="en-US" w:bidi="ar-SA"/>
        </w:rPr>
        <w:t>, Mr. Justice Davey adopted the following definition of "immediate hazard" at 359: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 approaching car is an immediate hazard if the circumstances are such as to require the driver of that car to take some sudden or violent action to avoid threat of a collision if the servient driver fails to yield the right-of-way.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[67] Mr. Justice Harris (as he then was ) in </w:t>
      </w:r>
      <w:r>
        <w:rPr>
          <w:rFonts w:ascii="arial" w:eastAsia="arial" w:hAnsi="arial" w:cs="arial"/>
          <w:i/>
          <w:color w:val="000000"/>
          <w:sz w:val="20"/>
          <w:lang w:val="en-US" w:eastAsia="en-US" w:bidi="ar-SA"/>
        </w:rPr>
        <w:t>Knight v. Li</w:t>
      </w:r>
      <w:r>
        <w:rPr>
          <w:rFonts w:ascii="arial" w:eastAsia="arial" w:hAnsi="arial" w:cs="arial"/>
          <w:color w:val="000000"/>
          <w:sz w:val="20"/>
          <w:lang w:val="en-US" w:eastAsia="en-US" w:bidi="ar-SA"/>
        </w:rPr>
        <w:t xml:space="preserve">, </w:t>
      </w:r>
      <w:hyperlink r:id="rId329" w:history="1">
        <w:r>
          <w:rPr>
            <w:rFonts w:ascii="arial" w:eastAsia="arial" w:hAnsi="arial" w:cs="arial"/>
            <w:i/>
            <w:color w:val="0077CC"/>
            <w:sz w:val="20"/>
            <w:u w:val="single"/>
            <w:shd w:val="clear" w:color="auto" w:fill="FFFFFF"/>
            <w:lang w:val="en-US" w:eastAsia="en-US" w:bidi="ar-SA"/>
          </w:rPr>
          <w:t>2011 BCSC 184</w:t>
        </w:r>
      </w:hyperlink>
      <w:r>
        <w:rPr>
          <w:rFonts w:ascii="arial" w:eastAsia="arial" w:hAnsi="arial" w:cs="arial"/>
          <w:color w:val="000000"/>
          <w:sz w:val="20"/>
          <w:lang w:val="en-US" w:eastAsia="en-US" w:bidi="ar-SA"/>
        </w:rPr>
        <w:t xml:space="preserve">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[12] Note that it is the action required of the servient driver to avoid the threat of collision - and not to avoid the collision itself - which is relevant to assessing whether the dominant driver constituted an immediate hazard.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[68] The observations of Davey J.A. at 359 are pertinent to the facts of this claim:</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..."Speed and distance generally determine what constitutes an immediate hazard", or as it was put by Cannon J., in </w:t>
      </w:r>
      <w:r>
        <w:rPr>
          <w:rFonts w:ascii="arial" w:eastAsia="arial" w:hAnsi="arial" w:cs="arial"/>
          <w:i/>
          <w:color w:val="000000"/>
          <w:sz w:val="20"/>
          <w:lang w:val="en-US" w:eastAsia="en-US" w:bidi="ar-SA"/>
        </w:rPr>
        <w:t>Swartz Bros. Ltd. v. Wills</w:t>
      </w:r>
      <w:r>
        <w:rPr>
          <w:rFonts w:ascii="arial" w:eastAsia="arial" w:hAnsi="arial" w:cs="arial"/>
          <w:color w:val="000000"/>
          <w:sz w:val="20"/>
          <w:lang w:val="en-US" w:eastAsia="en-US" w:bidi="ar-SA"/>
        </w:rPr>
        <w:t xml:space="preserve">, </w:t>
      </w:r>
      <w:hyperlink r:id="rId330" w:history="1">
        <w:r>
          <w:rPr>
            <w:rFonts w:ascii="arial" w:eastAsia="arial" w:hAnsi="arial" w:cs="arial"/>
            <w:i/>
            <w:color w:val="0077CC"/>
            <w:sz w:val="20"/>
            <w:u w:val="single"/>
            <w:shd w:val="clear" w:color="auto" w:fill="FFFFFF"/>
            <w:lang w:val="en-US" w:eastAsia="en-US" w:bidi="ar-SA"/>
          </w:rPr>
          <w:t>[1935] 3 D.L.R. 277</w:t>
        </w:r>
      </w:hyperlink>
      <w:r>
        <w:rPr>
          <w:rFonts w:ascii="arial" w:eastAsia="arial" w:hAnsi="arial" w:cs="arial"/>
          <w:color w:val="000000"/>
          <w:sz w:val="20"/>
          <w:lang w:val="en-US" w:eastAsia="en-US" w:bidi="ar-SA"/>
        </w:rPr>
        <w:t xml:space="preserve"> at 279, </w:t>
      </w:r>
      <w:hyperlink r:id="rId330" w:history="1">
        <w:r>
          <w:rPr>
            <w:rFonts w:ascii="arial" w:eastAsia="arial" w:hAnsi="arial" w:cs="arial"/>
            <w:i/>
            <w:color w:val="0077CC"/>
            <w:sz w:val="20"/>
            <w:u w:val="single"/>
            <w:shd w:val="clear" w:color="auto" w:fill="FFFFFF"/>
            <w:lang w:val="en-US" w:eastAsia="en-US" w:bidi="ar-SA"/>
          </w:rPr>
          <w:t>[1935] S.C.R. 628</w:t>
        </w:r>
      </w:hyperlink>
      <w:r>
        <w:rPr>
          <w:rFonts w:ascii="arial" w:eastAsia="arial" w:hAnsi="arial" w:cs="arial"/>
          <w:color w:val="000000"/>
          <w:sz w:val="20"/>
          <w:lang w:val="en-US" w:eastAsia="en-US" w:bidi="ar-SA"/>
        </w:rPr>
        <w:t xml:space="preserve"> at p. 632: "...distances must be translated into time in order to determine what are the rights of the parties."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But having said that, I must add that in most automobile collision cases estimates of time, speed and distance do not lend themselves to exact mathematical analysis, because the estimates are by their very nature uncertain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my opinion s. 165 [now s. 175], dealing with rights-of-way of drivers proceeding along through streets, and stopped at stop signs on intersecting streets, is to be applied broadly from the point of view of the motorist sitting in the driver's seat, and not meticulously by a Judge with the benefit of afterthought. The situation confronting a motorist, even one waiting at a stop sign, is not a static, but a fluid one, calling for quick appreciation and judgment. A driver waiting at a stop sign ought not to enter a through street unless it is clear that oncoming traffic does not constitute an immediate hazard. Excessive refinement of what traffic is an immediate hazard will defeat the purpose of the right-of-way regulations contained in s. 165 [now s. 175], and make them an inadequate and confusing method of regulating traffic at intersections on through streets.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Turner v. Dos Santos</w:t>
      </w:r>
      <w:r>
        <w:rPr>
          <w:rFonts w:ascii="arial" w:eastAsia="arial" w:hAnsi="arial" w:cs="arial"/>
          <w:color w:val="000000"/>
          <w:sz w:val="20"/>
          <w:lang w:val="en-US" w:eastAsia="en-US" w:bidi="ar-SA"/>
        </w:rPr>
        <w:t xml:space="preserve">, </w:t>
      </w:r>
      <w:hyperlink r:id="rId331" w:history="1">
        <w:r>
          <w:rPr>
            <w:rFonts w:ascii="arial" w:eastAsia="arial" w:hAnsi="arial" w:cs="arial"/>
            <w:i/>
            <w:color w:val="0077CC"/>
            <w:sz w:val="20"/>
            <w:u w:val="single"/>
            <w:shd w:val="clear" w:color="auto" w:fill="FFFFFF"/>
            <w:lang w:val="en-US" w:eastAsia="en-US" w:bidi="ar-SA"/>
          </w:rPr>
          <w:t>2012 BCSC 1382</w:t>
        </w:r>
      </w:hyperlink>
      <w:r>
        <w:rPr>
          <w:rFonts w:ascii="arial" w:eastAsia="arial" w:hAnsi="arial" w:cs="arial"/>
          <w:color w:val="000000"/>
          <w:sz w:val="20"/>
          <w:lang w:val="en-US" w:eastAsia="en-US" w:bidi="ar-SA"/>
        </w:rPr>
        <w:t xml:space="preserve">, Mr. Justice Goepel, as he then was, dealt with a case that involved s. 176(2)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At para. 30 he referred to the decision of Madam Justice Dickson in </w:t>
      </w:r>
      <w:r>
        <w:rPr>
          <w:rFonts w:ascii="arial" w:eastAsia="arial" w:hAnsi="arial" w:cs="arial"/>
          <w:i/>
          <w:color w:val="000000"/>
          <w:sz w:val="20"/>
          <w:lang w:val="en-US" w:eastAsia="en-US" w:bidi="ar-SA"/>
        </w:rPr>
        <w:t>Rollins v. Lovely</w:t>
      </w:r>
      <w:r>
        <w:rPr>
          <w:rFonts w:ascii="arial" w:eastAsia="arial" w:hAnsi="arial" w:cs="arial"/>
          <w:color w:val="000000"/>
          <w:sz w:val="20"/>
          <w:lang w:val="en-US" w:eastAsia="en-US" w:bidi="ar-SA"/>
        </w:rPr>
        <w:t xml:space="preserve">, </w:t>
      </w:r>
      <w:hyperlink r:id="rId332" w:history="1">
        <w:r>
          <w:rPr>
            <w:rFonts w:ascii="arial" w:eastAsia="arial" w:hAnsi="arial" w:cs="arial"/>
            <w:i/>
            <w:color w:val="0077CC"/>
            <w:sz w:val="20"/>
            <w:u w:val="single"/>
            <w:shd w:val="clear" w:color="auto" w:fill="FFFFFF"/>
            <w:lang w:val="en-US" w:eastAsia="en-US" w:bidi="ar-SA"/>
          </w:rPr>
          <w:t>2007 BCSC 1752</w:t>
        </w:r>
      </w:hyperlink>
      <w:r>
        <w:rPr>
          <w:rFonts w:ascii="arial" w:eastAsia="arial" w:hAnsi="arial" w:cs="arial"/>
          <w:color w:val="000000"/>
          <w:sz w:val="20"/>
          <w:lang w:val="en-US" w:eastAsia="en-US" w:bidi="ar-SA"/>
        </w:rPr>
        <w:t xml:space="preserve"> at paras. 34 to 38 respecting what constitutes an immediate hazard: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In </w:t>
      </w:r>
      <w:r>
        <w:rPr>
          <w:rFonts w:ascii="arial" w:eastAsia="arial" w:hAnsi="arial" w:cs="arial"/>
          <w:i/>
          <w:color w:val="000000"/>
          <w:sz w:val="20"/>
          <w:lang w:val="en-US" w:eastAsia="en-US" w:bidi="ar-SA"/>
        </w:rPr>
        <w:t>Rollins v. Lovely</w:t>
      </w:r>
      <w:r>
        <w:rPr>
          <w:rFonts w:ascii="arial" w:eastAsia="arial" w:hAnsi="arial" w:cs="arial"/>
          <w:color w:val="000000"/>
          <w:sz w:val="20"/>
          <w:lang w:val="en-US" w:eastAsia="en-US" w:bidi="ar-SA"/>
        </w:rPr>
        <w:t xml:space="preserve">, </w:t>
      </w:r>
      <w:hyperlink r:id="rId332" w:history="1">
        <w:r>
          <w:rPr>
            <w:rFonts w:ascii="arial" w:eastAsia="arial" w:hAnsi="arial" w:cs="arial"/>
            <w:i/>
            <w:color w:val="0077CC"/>
            <w:sz w:val="20"/>
            <w:u w:val="single"/>
            <w:shd w:val="clear" w:color="auto" w:fill="FFFFFF"/>
            <w:lang w:val="en-US" w:eastAsia="en-US" w:bidi="ar-SA"/>
          </w:rPr>
          <w:t>2007 BCSC 1752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Rollins</w:t>
      </w:r>
      <w:r>
        <w:rPr>
          <w:rFonts w:ascii="arial" w:eastAsia="arial" w:hAnsi="arial" w:cs="arial"/>
          <w:color w:val="000000"/>
          <w:sz w:val="20"/>
          <w:lang w:val="en-US" w:eastAsia="en-US" w:bidi="ar-SA"/>
        </w:rPr>
        <w:t>], Dickson J. at paras. 34-38, concisely summarized the law interpreting the meaning of the phrase "immediate hazard":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When does an approaching vehicle constitute an "immediate hazard"? This question was considered by the British Columbia Court of Appeal in </w:t>
      </w:r>
      <w:r>
        <w:rPr>
          <w:rFonts w:ascii="arial" w:eastAsia="arial" w:hAnsi="arial" w:cs="arial"/>
          <w:i/>
          <w:color w:val="000000"/>
          <w:sz w:val="20"/>
          <w:lang w:val="en-US" w:eastAsia="en-US" w:bidi="ar-SA"/>
        </w:rPr>
        <w:t>Raie v. Thorpe</w:t>
      </w:r>
      <w:r>
        <w:rPr>
          <w:rFonts w:ascii="arial" w:eastAsia="arial" w:hAnsi="arial" w:cs="arial"/>
          <w:color w:val="000000"/>
          <w:sz w:val="20"/>
          <w:lang w:val="en-US" w:eastAsia="en-US" w:bidi="ar-SA"/>
        </w:rPr>
        <w:t xml:space="preserve"> (1963), 43 W.W.R. 405, a left turn case. In </w:t>
      </w:r>
      <w:r>
        <w:rPr>
          <w:rFonts w:ascii="arial" w:eastAsia="arial" w:hAnsi="arial" w:cs="arial"/>
          <w:i/>
          <w:color w:val="000000"/>
          <w:sz w:val="20"/>
          <w:lang w:val="en-US" w:eastAsia="en-US" w:bidi="ar-SA"/>
        </w:rPr>
        <w:t>Raie</w:t>
      </w:r>
      <w:r>
        <w:rPr>
          <w:rFonts w:ascii="arial" w:eastAsia="arial" w:hAnsi="arial" w:cs="arial"/>
          <w:color w:val="000000"/>
          <w:sz w:val="20"/>
          <w:lang w:val="en-US" w:eastAsia="en-US" w:bidi="ar-SA"/>
        </w:rPr>
        <w:t>, Tysoe J.A. stated at p. 410:</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 do not propose to attempt an exhaustive definition of "immediate hazard". For the purposes of this appeal it is sufficient for me to say that, in my opinion, if an approaching car is so close to the intersection when a driver attempts to make a left turn that a collision threatens unless there be some violent or sudden avoiding action on the part of the driver of the approaching car, the approaching car is an "immediate hazard" within the meaning of section 164.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The question of immediate hazard and right of way is to be assessed temporally in the moment before the driver proposing to make the manoeuvre at issue commences to make it: </w:t>
      </w:r>
      <w:r>
        <w:rPr>
          <w:rFonts w:ascii="arial" w:eastAsia="arial" w:hAnsi="arial" w:cs="arial"/>
          <w:i/>
          <w:color w:val="000000"/>
          <w:sz w:val="20"/>
          <w:lang w:val="en-US" w:eastAsia="en-US" w:bidi="ar-SA"/>
        </w:rPr>
        <w:t>Raie</w:t>
      </w:r>
      <w:r>
        <w:rPr>
          <w:rFonts w:ascii="arial" w:eastAsia="arial" w:hAnsi="arial" w:cs="arial"/>
          <w:color w:val="000000"/>
          <w:sz w:val="20"/>
          <w:lang w:val="en-US" w:eastAsia="en-US" w:bidi="ar-SA"/>
        </w:rPr>
        <w:t xml:space="preserve">, pp. 413-414. If an approaching car does not present an immediate hazard when the manoeuvre is commenced but later creates one by unreasonable conduct such as speeding the approaching driver will be held responsible for an ensuring collision: </w:t>
      </w:r>
      <w:r>
        <w:rPr>
          <w:rFonts w:ascii="arial" w:eastAsia="arial" w:hAnsi="arial" w:cs="arial"/>
          <w:i/>
          <w:color w:val="000000"/>
          <w:sz w:val="20"/>
          <w:lang w:val="en-US" w:eastAsia="en-US" w:bidi="ar-SA"/>
        </w:rPr>
        <w:t>Devidi v. Filatow</w:t>
      </w:r>
      <w:r>
        <w:rPr>
          <w:rFonts w:ascii="arial" w:eastAsia="arial" w:hAnsi="arial" w:cs="arial"/>
          <w:color w:val="000000"/>
          <w:sz w:val="20"/>
          <w:lang w:val="en-US" w:eastAsia="en-US" w:bidi="ar-SA"/>
        </w:rPr>
        <w:t xml:space="preserve">, </w:t>
      </w:r>
      <w:hyperlink r:id="rId333" w:history="1">
        <w:r>
          <w:rPr>
            <w:rFonts w:ascii="arial" w:eastAsia="arial" w:hAnsi="arial" w:cs="arial"/>
            <w:i/>
            <w:color w:val="0077CC"/>
            <w:sz w:val="20"/>
            <w:u w:val="single"/>
            <w:shd w:val="clear" w:color="auto" w:fill="FFFFFF"/>
            <w:lang w:val="en-US" w:eastAsia="en-US" w:bidi="ar-SA"/>
          </w:rPr>
          <w:t>1998 CanLII 6405</w:t>
        </w:r>
      </w:hyperlink>
      <w:r>
        <w:rPr>
          <w:rFonts w:ascii="arial" w:eastAsia="arial" w:hAnsi="arial" w:cs="arial"/>
          <w:color w:val="000000"/>
          <w:sz w:val="20"/>
          <w:lang w:val="en-US" w:eastAsia="en-US" w:bidi="ar-SA"/>
        </w:rPr>
        <w:t xml:space="preserve"> (BCSC).</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[36] When a driver concludes, reasonably, that no immediate hazard is posed by oncoming traffic and commences to cross a multi-lane highway care must be taken to keep a proper lookout as each lane is crossed: </w:t>
      </w:r>
      <w:r>
        <w:rPr>
          <w:rFonts w:ascii="arial" w:eastAsia="arial" w:hAnsi="arial" w:cs="arial"/>
          <w:i/>
          <w:color w:val="000000"/>
          <w:sz w:val="20"/>
          <w:lang w:val="en-US" w:eastAsia="en-US" w:bidi="ar-SA"/>
        </w:rPr>
        <w:t>Carich v. Cook</w:t>
      </w:r>
      <w:r>
        <w:rPr>
          <w:rFonts w:ascii="arial" w:eastAsia="arial" w:hAnsi="arial" w:cs="arial"/>
          <w:color w:val="000000"/>
          <w:sz w:val="20"/>
          <w:lang w:val="en-US" w:eastAsia="en-US" w:bidi="ar-SA"/>
        </w:rPr>
        <w:t xml:space="preserve"> </w:t>
      </w:r>
      <w:hyperlink r:id="rId334" w:history="1">
        <w:r>
          <w:rPr>
            <w:rFonts w:ascii="arial" w:eastAsia="arial" w:hAnsi="arial" w:cs="arial"/>
            <w:i/>
            <w:color w:val="0077CC"/>
            <w:sz w:val="20"/>
            <w:u w:val="single"/>
            <w:shd w:val="clear" w:color="auto" w:fill="FFFFFF"/>
            <w:lang w:val="en-US" w:eastAsia="en-US" w:bidi="ar-SA"/>
          </w:rPr>
          <w:t>[1992] 90 D.L.R. (4th) 322</w:t>
        </w:r>
      </w:hyperlink>
      <w:r>
        <w:rPr>
          <w:rFonts w:ascii="arial" w:eastAsia="arial" w:hAnsi="arial" w:cs="arial"/>
          <w:color w:val="000000"/>
          <w:sz w:val="20"/>
          <w:lang w:val="en-US" w:eastAsia="en-US" w:bidi="ar-SA"/>
        </w:rPr>
        <w:t xml:space="preserve"> (BCCA) p. 326. In the words of Lambert J.A. in </w:t>
      </w:r>
      <w:r>
        <w:rPr>
          <w:rFonts w:ascii="arial" w:eastAsia="arial" w:hAnsi="arial" w:cs="arial"/>
          <w:i/>
          <w:color w:val="000000"/>
          <w:sz w:val="20"/>
          <w:lang w:val="en-US" w:eastAsia="en-US" w:bidi="ar-SA"/>
        </w:rPr>
        <w:t>Carich</w:t>
      </w:r>
      <w:r>
        <w:rPr>
          <w:rFonts w:ascii="arial" w:eastAsia="arial" w:hAnsi="arial" w:cs="arial"/>
          <w:color w:val="000000"/>
          <w:sz w:val="20"/>
          <w:lang w:val="en-US" w:eastAsia="en-US" w:bidi="ar-SA"/>
        </w:rPr>
        <w:t>, another left turn case that applies by analogy:</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question as a driver turns left is whether there is any vehicle in any approaching lanes that constitutes an immediate hazard. If there is, the turn should not be made. If there is not, then the turn can be made and of course, care should be taken throughout the turn and as each new lane is entered to make sure that the situation as it was assessed when the turn started has not changed in the meantime. But that care is more a matter of the ordinary duty of a reasonably careful driver and not a duty, in my view, imposed specifically by s. 176 which, in my view, states the situation when the turn is commenced. Once the turn is commenced both of the drivers in that situation, the one who is doing a left turn and the ones that are approaching straight ahead in a situation where a vehicle could turn in front of them, all must keep a proper look-out.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[37] Drivers are generally entitled to assume others will observe the rules of the road, except where they know or should know otherwise: </w:t>
      </w:r>
      <w:r>
        <w:rPr>
          <w:rFonts w:ascii="arial" w:eastAsia="arial" w:hAnsi="arial" w:cs="arial"/>
          <w:i/>
          <w:color w:val="000000"/>
          <w:sz w:val="20"/>
          <w:lang w:val="en-US" w:eastAsia="en-US" w:bidi="ar-SA"/>
        </w:rPr>
        <w:t>Kamoschinski v. Hein</w:t>
      </w:r>
      <w:r>
        <w:rPr>
          <w:rFonts w:ascii="arial" w:eastAsia="arial" w:hAnsi="arial" w:cs="arial"/>
          <w:color w:val="000000"/>
          <w:sz w:val="20"/>
          <w:lang w:val="en-US" w:eastAsia="en-US" w:bidi="ar-SA"/>
        </w:rPr>
        <w:t xml:space="preserve"> </w:t>
      </w:r>
      <w:hyperlink r:id="rId335" w:history="1">
        <w:r>
          <w:rPr>
            <w:rFonts w:ascii="arial" w:eastAsia="arial" w:hAnsi="arial" w:cs="arial"/>
            <w:i/>
            <w:color w:val="0077CC"/>
            <w:sz w:val="20"/>
            <w:u w:val="single"/>
            <w:shd w:val="clear" w:color="auto" w:fill="FFFFFF"/>
            <w:lang w:val="en-US" w:eastAsia="en-US" w:bidi="ar-SA"/>
          </w:rPr>
          <w:t>[1989] B.C.J. No. 909</w:t>
        </w:r>
      </w:hyperlink>
      <w:r>
        <w:rPr>
          <w:rFonts w:ascii="arial" w:eastAsia="arial" w:hAnsi="arial" w:cs="arial"/>
          <w:color w:val="000000"/>
          <w:sz w:val="20"/>
          <w:lang w:val="en-US" w:eastAsia="en-US" w:bidi="ar-SA"/>
        </w:rPr>
        <w:t xml:space="preserve">. As noted by Drossos, Co. Ct. J. in </w:t>
      </w:r>
      <w:r>
        <w:rPr>
          <w:rFonts w:ascii="arial" w:eastAsia="arial" w:hAnsi="arial" w:cs="arial"/>
          <w:i/>
          <w:color w:val="000000"/>
          <w:sz w:val="20"/>
          <w:lang w:val="en-US" w:eastAsia="en-US" w:bidi="ar-SA"/>
        </w:rPr>
        <w:t>Kamoschinski</w:t>
      </w:r>
      <w:r>
        <w:rPr>
          <w:rFonts w:ascii="arial" w:eastAsia="arial" w:hAnsi="arial" w:cs="arial"/>
          <w:color w:val="000000"/>
          <w:sz w:val="20"/>
          <w:lang w:val="en-US" w:eastAsia="en-US" w:bidi="ar-SA"/>
        </w:rPr>
        <w:t xml:space="preserve">, however, this general rule is limited to the extent described by Lord Dunedin in </w:t>
      </w:r>
      <w:r>
        <w:rPr>
          <w:rFonts w:ascii="arial" w:eastAsia="arial" w:hAnsi="arial" w:cs="arial"/>
          <w:i/>
          <w:color w:val="000000"/>
          <w:sz w:val="20"/>
          <w:lang w:val="en-US" w:eastAsia="en-US" w:bidi="ar-SA"/>
        </w:rPr>
        <w:t>Fardon v. Harcourt-Rivington</w:t>
      </w:r>
      <w:r>
        <w:rPr>
          <w:rFonts w:ascii="arial" w:eastAsia="arial" w:hAnsi="arial" w:cs="arial"/>
          <w:color w:val="000000"/>
          <w:sz w:val="20"/>
          <w:lang w:val="en-US" w:eastAsia="en-US" w:bidi="ar-SA"/>
        </w:rPr>
        <w:t xml:space="preserve"> (1932), 48 T.L.R. 215 as follows: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root of this liability 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what 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depends on the facts with which you have to deal. If the possibility of the danger emerging is reasonably apparent, then to take no precautions 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if the possibility of danger emerging is only a mere possibility which would never occur to the mind of a reasonable man, then there is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not having taken extraordinary precautions.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[38] All drivers, whether dominant or servient, have a common law duty of care to avoid a collision which can reasonably be foreseen and avoided: </w:t>
      </w:r>
      <w:r>
        <w:rPr>
          <w:rFonts w:ascii="arial" w:eastAsia="arial" w:hAnsi="arial" w:cs="arial"/>
          <w:i/>
          <w:color w:val="000000"/>
          <w:sz w:val="20"/>
          <w:lang w:val="en-US" w:eastAsia="en-US" w:bidi="ar-SA"/>
        </w:rPr>
        <w:t>Atchison v. Kummetz</w:t>
      </w:r>
      <w:r>
        <w:rPr>
          <w:rFonts w:ascii="arial" w:eastAsia="arial" w:hAnsi="arial" w:cs="arial"/>
          <w:color w:val="000000"/>
          <w:sz w:val="20"/>
          <w:lang w:val="en-US" w:eastAsia="en-US" w:bidi="ar-SA"/>
        </w:rPr>
        <w:t xml:space="preserve"> </w:t>
      </w:r>
      <w:hyperlink r:id="rId336" w:history="1">
        <w:r>
          <w:rPr>
            <w:rFonts w:ascii="arial" w:eastAsia="arial" w:hAnsi="arial" w:cs="arial"/>
            <w:i/>
            <w:color w:val="0077CC"/>
            <w:sz w:val="20"/>
            <w:u w:val="single"/>
            <w:shd w:val="clear" w:color="auto" w:fill="FFFFFF"/>
            <w:lang w:val="en-US" w:eastAsia="en-US" w:bidi="ar-SA"/>
          </w:rPr>
          <w:t>(1995), 14 M.V.R. (2d) 271</w:t>
        </w:r>
      </w:hyperlink>
      <w:r>
        <w:rPr>
          <w:rFonts w:ascii="arial" w:eastAsia="arial" w:hAnsi="arial" w:cs="arial"/>
          <w:color w:val="000000"/>
          <w:sz w:val="20"/>
          <w:lang w:val="en-US" w:eastAsia="en-US" w:bidi="ar-SA"/>
        </w:rPr>
        <w:t xml:space="preserve"> (BCCA). Where a dominant driver poses an immediate hazard, the burden of proof on the servient driver to cast a portion of the blame on the dominant driver is significant. In the words of Cartwright J. in </w:t>
      </w:r>
      <w:r>
        <w:rPr>
          <w:rFonts w:ascii="arial" w:eastAsia="arial" w:hAnsi="arial" w:cs="arial"/>
          <w:i/>
          <w:color w:val="000000"/>
          <w:sz w:val="20"/>
          <w:lang w:val="en-US" w:eastAsia="en-US" w:bidi="ar-SA"/>
        </w:rPr>
        <w:t>Walker v. Brownlee</w:t>
      </w:r>
      <w:r>
        <w:rPr>
          <w:rFonts w:ascii="arial" w:eastAsia="arial" w:hAnsi="arial" w:cs="arial"/>
          <w:color w:val="000000"/>
          <w:sz w:val="20"/>
          <w:lang w:val="en-US" w:eastAsia="en-US" w:bidi="ar-SA"/>
        </w:rPr>
        <w:t xml:space="preserve"> </w:t>
      </w:r>
      <w:hyperlink r:id="rId315" w:history="1">
        <w:r>
          <w:rPr>
            <w:rFonts w:ascii="arial" w:eastAsia="arial" w:hAnsi="arial" w:cs="arial"/>
            <w:i/>
            <w:color w:val="0077CC"/>
            <w:sz w:val="20"/>
            <w:u w:val="single"/>
            <w:shd w:val="clear" w:color="auto" w:fill="FFFFFF"/>
            <w:lang w:val="en-US" w:eastAsia="en-US" w:bidi="ar-SA"/>
          </w:rPr>
          <w:t>[1952] 2 D.L.R. 450</w:t>
        </w:r>
      </w:hyperlink>
      <w:r>
        <w:rPr>
          <w:rFonts w:ascii="arial" w:eastAsia="arial" w:hAnsi="arial" w:cs="arial"/>
          <w:color w:val="000000"/>
          <w:sz w:val="20"/>
          <w:lang w:val="en-US" w:eastAsia="en-US" w:bidi="ar-SA"/>
        </w:rPr>
        <w:t xml:space="preserve"> (SCC):</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the decision of every motor vehicle collision case must depend on its particular facts, I am of the opinion that when A, the driver in the servient position, proceeds through an intersection in complete disregard of his statutory duty to yield the right-of-way and a collision results, if he seeks to cast any portion of the blame upon B, the driver having the right-of-way, A must establish that after B became aware, or by the exercise of reasonable care should have become aware, of A's disregard of the law B had in fact a sufficient opportunity to avoid the accident of which a reasonably careful and skilful driver would have availed himself; and I do not think that in such circumstances any doubts should be resolved in favour of A, whose unlawful conduct was </w:t>
      </w:r>
      <w:r>
        <w:rPr>
          <w:rFonts w:ascii="arial" w:eastAsia="arial" w:hAnsi="arial" w:cs="arial"/>
          <w:i/>
          <w:color w:val="000000"/>
          <w:sz w:val="20"/>
          <w:lang w:val="en-US" w:eastAsia="en-US" w:bidi="ar-SA"/>
        </w:rPr>
        <w:t>fons et origo mali</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conclude that, notwithstanding her evidence that she looked in the direction of Rossland Avenue and did not see the approach of Mr. Hall's vehicle, Ms. Kerr has not satisfied me that Mr. Hall's approaching vehicle was not an immediate hazard. He saw her vehicle stopped at the exit from the Gerick Cycle parking lot. He proceeded at a speed that I find was not excessive in all the circumstances. After he has passed the yield sign, Ms. Kerr made her move forward. Mr. Hall did not fail to yield at the yield sign to Ms. Kerr's vehicle. She had not yet begun to exit the roadway. At the point in time that she did so, Mr. Hall was already past the yield sign. His vehicle, the dominant vehicle, was then an immediate hazard to Ms. Kerr's vehicle, the servient vehicle. She had the duty to yield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my view, it matters not in which lane the accident occurred. Mr. Hall may well have had the impression that Ms. Kerr drove further out into the roadway than she did. But assuming she was only partially into the curb lane from the exit, that just emphasizes the fact that Mr. Hall's vehicle was very close indeed for her to have driven such a short distance into the roadway before being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718"/>
        <w:gridCol w:w="669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66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III.</w:t>
            </w:r>
          </w:p>
        </w:tc>
        <w:tc>
          <w:tcPr>
            <w:tcW w:w="655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CONCLUSION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conclude that Ms. Kerr has not made out that she entered Highway 3B at a time when it was safe for her to do so in that Mr. Hall's approaching vehicle was not an immediate hazard. Her case is dismissed with costs to Mr. Hall on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T.J. MELNICK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2" style="position:absolute;z-index:2517739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37"/>
          <w:headerReference w:type="default" r:id="rId338"/>
          <w:footerReference w:type="even" r:id="rId339"/>
          <w:footerReference w:type="default" r:id="rId340"/>
          <w:headerReference w:type="first" r:id="rId341"/>
          <w:footerReference w:type="first" r:id="rId34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43" w:history="1">
        <w:r>
          <w:rPr>
            <w:rFonts w:ascii="arial" w:eastAsia="arial" w:hAnsi="arial" w:cs="arial"/>
            <w:b/>
            <w:bCs/>
            <w:i/>
            <w:color w:val="0077CC"/>
            <w:kern w:val="32"/>
            <w:sz w:val="28"/>
            <w:szCs w:val="32"/>
            <w:u w:val="single"/>
            <w:shd w:val="clear" w:color="auto" w:fill="FFFFFF"/>
            <w:lang w:val="en-US" w:eastAsia="en-US" w:bidi="ar-SA"/>
          </w:rPr>
          <w:t>Lampkin v. Walls, [2016] B.C.J. No. 1154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J.E. Watchuk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13-16, 19-23,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6,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M106207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1154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1003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Randolph Lampkin, Plaintiff, and Brian John Terence Walls,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(218 paras.)</w:t>
      </w:r>
    </w:p>
    <w:p>
      <w:pPr>
        <w:jc w:val="both"/>
        <w:rPr>
          <w:rFonts w:ascii="arial" w:eastAsia="arial" w:hAnsi="arial" w:cs="arial"/>
          <w:sz w:val="20"/>
          <w:lang w:val="en-US" w:eastAsia="en-US" w:bidi="ar-SA"/>
        </w:rPr>
      </w:pPr>
      <w:bookmarkStart w:id="51" w:name="Counsel_13"/>
      <w:bookmarkEnd w:id="5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3" style="position:absolute;z-index:2516736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D.J. Gomel, R. Dasanjh.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J.N. Halperin, S.L. Kovacs.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2" w:name="Judgment_13"/>
      <w:bookmarkEnd w:id="52"/>
      <w:r>
        <w:pict>
          <v:line id="_x0000_s1074" style="position:absolute;z-index:25172480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751"/>
        <w:gridCol w:w="4078"/>
        <w:gridCol w:w="62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Paragraph</w:t>
            </w:r>
          </w:p>
        </w:tc>
        <w:tc>
          <w:tcPr>
            <w:tcW w:w="399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 Introduction</w:t>
            </w:r>
          </w:p>
        </w:tc>
        <w:tc>
          <w:tcPr>
            <w:tcW w:w="399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w:t>
            </w:r>
          </w:p>
        </w:tc>
        <w:tc>
          <w:tcPr>
            <w:tcW w:w="61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II. Issues</w:t>
            </w:r>
          </w:p>
        </w:tc>
        <w:tc>
          <w:tcPr>
            <w:tcW w:w="399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w:t>
            </w:r>
          </w:p>
        </w:tc>
        <w:tc>
          <w:tcPr>
            <w:tcW w:w="61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63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III. Evidence</w:t>
            </w:r>
          </w:p>
        </w:tc>
        <w:tc>
          <w:tcPr>
            <w:tcW w:w="399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w:t>
            </w:r>
          </w:p>
        </w:tc>
        <w:tc>
          <w:tcPr>
            <w:tcW w:w="61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6692"/>
        <w:gridCol w:w="2614"/>
        <w:gridCol w:w="5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55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 The Plaintiff, Randolph Lampkin</w:t>
            </w:r>
          </w:p>
        </w:tc>
        <w:tc>
          <w:tcPr>
            <w:tcW w:w="256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8</w:t>
            </w:r>
          </w:p>
        </w:tc>
        <w:tc>
          <w:tcPr>
            <w:tcW w:w="51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55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 Medical and Expert Evidence</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40</w:t>
            </w:r>
          </w:p>
        </w:tc>
        <w:tc>
          <w:tcPr>
            <w:tcW w:w="51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7947"/>
        <w:gridCol w:w="627"/>
        <w:gridCol w:w="5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7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 Dr. Fernando Villasenor, Family Medicine</w:t>
            </w:r>
          </w:p>
        </w:tc>
        <w:tc>
          <w:tcPr>
            <w:tcW w:w="61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40</w:t>
            </w:r>
          </w:p>
        </w:tc>
        <w:tc>
          <w:tcPr>
            <w:tcW w:w="51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7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 Dr. Pankaj Dhawan, Physical Medicine and Rehabilitation</w:t>
            </w:r>
          </w:p>
        </w:tc>
        <w:tc>
          <w:tcPr>
            <w:tcW w:w="61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50</w:t>
            </w:r>
          </w:p>
        </w:tc>
        <w:tc>
          <w:tcPr>
            <w:tcW w:w="51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7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 Dr. Iain Dommisse, Orthopedic Surgeon</w:t>
            </w:r>
          </w:p>
        </w:tc>
        <w:tc>
          <w:tcPr>
            <w:tcW w:w="61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59</w:t>
            </w:r>
          </w:p>
        </w:tc>
        <w:tc>
          <w:tcPr>
            <w:tcW w:w="51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 Russell McNeil, Occupational Therapist</w:t>
            </w:r>
          </w:p>
        </w:tc>
        <w:tc>
          <w:tcPr>
            <w:tcW w:w="61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65</w:t>
            </w:r>
          </w:p>
        </w:tc>
        <w:tc>
          <w:tcPr>
            <w:tcW w:w="51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23"/>
        <w:gridCol w:w="5228"/>
        <w:gridCol w:w="4182"/>
        <w:gridCol w:w="5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IV.</w:t>
            </w:r>
          </w:p>
        </w:tc>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Discussion</w:t>
            </w:r>
          </w:p>
        </w:tc>
        <w:tc>
          <w:tcPr>
            <w:tcW w:w="409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70</w:t>
            </w:r>
          </w:p>
        </w:tc>
        <w:tc>
          <w:tcPr>
            <w:tcW w:w="51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6065"/>
        <w:gridCol w:w="3241"/>
        <w:gridCol w:w="5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93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 Non-Pecuniary Damages</w:t>
            </w:r>
          </w:p>
        </w:tc>
        <w:tc>
          <w:tcPr>
            <w:tcW w:w="317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70</w:t>
            </w:r>
          </w:p>
        </w:tc>
        <w:tc>
          <w:tcPr>
            <w:tcW w:w="51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365"/>
        <w:gridCol w:w="7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819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 Credibility of the Plaintiff</w:t>
            </w:r>
          </w:p>
        </w:tc>
        <w:tc>
          <w:tcPr>
            <w:tcW w:w="717"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73]</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819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 Causation</w:t>
            </w:r>
          </w:p>
        </w:tc>
        <w:tc>
          <w:tcPr>
            <w:tcW w:w="717"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103</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819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 Assessment of Damages</w:t>
            </w:r>
          </w:p>
        </w:tc>
        <w:tc>
          <w:tcPr>
            <w:tcW w:w="717"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122</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819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 Mitigation</w:t>
            </w:r>
          </w:p>
        </w:tc>
        <w:tc>
          <w:tcPr>
            <w:tcW w:w="717"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141</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751"/>
        <w:gridCol w:w="3660"/>
        <w:gridCol w:w="41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63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 Past Income Loss</w:t>
            </w:r>
          </w:p>
        </w:tc>
        <w:tc>
          <w:tcPr>
            <w:tcW w:w="358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154</w:t>
            </w:r>
          </w:p>
        </w:tc>
        <w:tc>
          <w:tcPr>
            <w:tcW w:w="41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5541"/>
        <w:gridCol w:w="3137"/>
        <w:gridCol w:w="41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42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 Mechanical Insulator</w:t>
            </w:r>
          </w:p>
        </w:tc>
        <w:tc>
          <w:tcPr>
            <w:tcW w:w="307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158</w:t>
            </w:r>
          </w:p>
        </w:tc>
        <w:tc>
          <w:tcPr>
            <w:tcW w:w="41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42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 Concrete Labourer</w:t>
            </w:r>
          </w:p>
        </w:tc>
        <w:tc>
          <w:tcPr>
            <w:tcW w:w="307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167</w:t>
            </w:r>
          </w:p>
        </w:tc>
        <w:tc>
          <w:tcPr>
            <w:tcW w:w="410"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215"/>
        <w:gridCol w:w="2195"/>
        <w:gridCol w:w="41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06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 Loss of Income Earning Capacity</w:t>
            </w:r>
          </w:p>
        </w:tc>
        <w:tc>
          <w:tcPr>
            <w:tcW w:w="215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181</w:t>
            </w:r>
          </w:p>
        </w:tc>
        <w:tc>
          <w:tcPr>
            <w:tcW w:w="41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06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 Quantification of Lost Earning Capacity</w:t>
            </w:r>
          </w:p>
        </w:tc>
        <w:tc>
          <w:tcPr>
            <w:tcW w:w="215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192</w:t>
            </w:r>
          </w:p>
        </w:tc>
        <w:tc>
          <w:tcPr>
            <w:tcW w:w="41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06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 Cost of Future Care</w:t>
            </w:r>
          </w:p>
        </w:tc>
        <w:tc>
          <w:tcPr>
            <w:tcW w:w="215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211</w:t>
            </w:r>
          </w:p>
        </w:tc>
        <w:tc>
          <w:tcPr>
            <w:tcW w:w="41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06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 Special Damages</w:t>
            </w:r>
          </w:p>
        </w:tc>
        <w:tc>
          <w:tcPr>
            <w:tcW w:w="215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216</w:t>
            </w:r>
          </w:p>
        </w:tc>
        <w:tc>
          <w:tcPr>
            <w:tcW w:w="41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G. Conclusion</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217</w:t>
            </w:r>
          </w:p>
        </w:tc>
        <w:tc>
          <w:tcPr>
            <w:tcW w:w="410"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3" w:name="J.E. WATCHUK J."/>
            <w:bookmarkEnd w:id="53"/>
            <w:r>
              <w:rPr>
                <w:rFonts w:ascii="arial" w:eastAsia="arial" w:hAnsi="arial" w:cs="arial"/>
                <w:b/>
                <w:color w:val="000000"/>
                <w:sz w:val="30"/>
                <w:lang w:val="en-US" w:eastAsia="en-US" w:bidi="ar-SA"/>
              </w:rPr>
              <w:t>J.E. WATCHUK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 </w:t>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Randolph Lampkin seeks damages for injuries he suffered when the vehicle in which he was a front-seat passenger was rear-ended on the Lougheed Highway in Coquitlam, B.C. on January 29, 2009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Lampkin has historically been employed in physically demanding occupations, most recently as a landscaper. He says that since the accident his ability to perform heavy tasks, and thus to earn income, has been negatively affected.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 admits liability and concedes that Mr. Lampkin was injured in the accident. However, the defendant takes issue with the extent, severity and duration of those injuries that he says have largely resolved. He submits that the cause of the plaintiff's continued pain and disability is not accident-related but rather that he has a disc bulge in his low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Lampkin claims for non-pecuniary and special damages, as well as for the cost of future care, and damages for loss of past and future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II. </w:t>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issues raised by the parties are the following:</w:t>
      </w:r>
      <w:r>
        <w:rPr>
          <w:rFonts w:ascii="arial" w:eastAsia="arial" w:hAnsi="arial" w:cs="arial"/>
          <w:sz w:val="20"/>
          <w:lang w:val="en-US" w:eastAsia="en-US" w:bidi="ar-SA"/>
        </w:rPr>
        <w:cr/>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were the injuries suffered by Mr. Lampkin to his neck and back as a result of the accident? To what extent has he recovered?</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Since the accident, what physically demanding work does Mr. Lampkin have the ability to perform?</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cause of any physical disability which prevents him from doing more physically demanding work?</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an issue with respect to Mr. Lampkin's credibility?</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Mr. Lampkin mitigate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III. </w:t>
      </w:r>
      <w:r>
        <w:rPr>
          <w:rFonts w:ascii="arial" w:eastAsia="arial" w:hAnsi="arial" w:cs="arial"/>
          <w:b/>
          <w:color w:val="000000"/>
          <w:sz w:val="20"/>
          <w:u w:val="single"/>
          <w:lang w:val="en-US" w:eastAsia="en-US" w:bidi="ar-SA"/>
        </w:rPr>
        <w:t>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Many of the facts are not in issue, and are set out below in the evidence of the plaintiff. The issues that arise from his evidence are dealt with below in the section regarding his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addition to the plaintiff, the medical experts, Mr. Russell McNeil who performed a Functional Capacity Evaluation, and Mr. Curtis Peever who is an economist, the other witnesses were Ms. Nadia Rouse, the plaintiff's spouse, and individuals who had worked with Mr. Lampkin or who had worked for his previous employers. They were: Mr. Steve Schlafen, Aarc-West Mechanical; Mr. Joe Viera, Global Concrete; Mr. Joe Freitas, M&amp;V Landscaping; Mr. Christian Perrin-Jacquet, T. Moscone Brothers; and Ms. Sue Martins, Global Concrete.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The Plaintiff, Randolph Lampkin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Lampkin was born and raised in a poor rural area on the island of St. Vincent in the Caribbean. Mr. Lampkin was raised by his mother and never knew his father. He did not complete high school as he worked to help support his family. Mr. Lampkin did not learn to read or write and remains semi-literate. At the time of the trial he was 46 years 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As a youth and young adult, Mr. Lampkin learned various skills including masonry and carpentry through working in those areas. In addition, he worked at a stone mill as a brick maker, on a banana farm, and for a power company erecting power poles.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From a young age, Mr. Lampkin played cricket, the most popular sport in St. Vincent. He was recruited to play on a competitive team which played against teams from other villages. Mr. Lampkin was a skilled bowler and cricket remains his passion to this day although he can no longer play.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At age 26, Mr. Lampkin took a job working as a cook on a cruise ship. He worked 10 to 16 hours per day, seven days per week. Mr. Lampkin rose through the ranks and achieved the position of head cook. The high pay and lack of expenses allowed him to build savings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1998, Mr. Lampkin met Nadia Rouse, who lived in British Columbia, while he was on shore leave in St. Vincent. Mr. Lampkin and Ms. Rouse continued to see each other over the following years and were married in 2003. Ms. Rouse sponsored his immigration application as he had decided to make Canada his home. In 2004, Mr. Lampkin and Ms. Rouse had their first child, Lexxus.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his first years in Canada, Mr. Lampkin was not permitted to work because he did not yet have a work permit. He spent most of his time taking care of Lexxus.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Lampkin made friends in the Caribbean immigrant community through a cricket team that he joined. He was occasionally able to provide financial support for his family working odd jobs for cash. Until Mr. Lampkin became a permanent resident of Canada, Ms. Rouse supported the family through her work as a nurse.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2006, Mr. Lampkin and Ms. Rouse separated. There was litigation over child support and custody issues. They later reconciled and had a second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Lampkin was involved in a prior motor vehicle accident in 2007. He suffered a low back injury, for which he consulted a doctor at a walk-in clinic. He did not undergo any formal treatments for the injury and took only a day or two off work. The injury from this earlier motor vehicle accident had resolved by the end of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Upon becoming a permanent resident in early 2007, Mr. Lampkin began working as an apprentice at AARC-West Mechanical ("AARC-West") doing mechanical insulation. This was physically demanding work that required Mr. Lampkin to carry heavy materials and bend in tight places in order to perform the insulation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During this time, Mr. Lampkin missed many days of work because of his marital problems and child care duties. In January 2008, Mr. Lampkin was laid off from AARC-West with the understanding that could return once his personal issues had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the following months, he was able to do casual work doing concrete construction and other odd jobs through various acquaintances, including Joe Vieira who worked at Global Concrete.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Later in 2008, Mr. Lampkin returned to St. Vincent to care for his mother who was recovering from surgery. He spent several months in St. Vincent before returning to Canada in late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Upon his return from St. Vincent, Mr. Lampkin continued to perform odd jobs, including casual shifts for Global Concrete. The work was physically demanding and drew upon his prior masonry experience. Mr. Lampkin was unrestricted in his ability to do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January 29, 2009, Mr. Lampkin was the front seat passenger of a 2001 Dodge Durango, driven by David Goncalves, which was stopped in the westbound lane of Lougheed Highway. Mr. Lampkin and Mr. Goncalves were on their way to go fishing.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Defendant, Brian Walls, who was the driver of a 1991 Toyota Tercel was directly behind the Goncalves vehicle. The defendant failed to stop his vehicle before rear-ending the Goncalves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As a result of the damage caused by the accident, the defendant's vehicle was determined to be a total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Lampkin experienced immediate symptoms in his neck, low back, between his shoulder blades, in his knee, pain down his leg, and headaches. Mr. Lampkin attended for treatment at a walk-in clinic that same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Two weeks later, Mr. Lampkin was treated by Dr. Villasenor, who later became his family physician. He was having a lot of pain in his neck, back, shoulder and headaches. Dr. Villasenor prescribed Naproxen and Flexeril and provided him with a number of sample medications to avoid the expense of filling the prescriptions.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Dr. Villasenor also advised Mr. Lampkin to attend physiotherapy. From March 18, 2009 to June 24, 2009, Mr. Lampkin attended 12 physiotherapy sessions at Port Coquitlam Physiotherapy and Sports Injury Clinic. Although he experienced some improvement, he continued to have pain in his neck and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Lampkin was not employed at the time of the accident. Following the accident, Mr. Lampkin attempted to return to concrete work and worked a few shifts. He struggled to perform the full duties of the role as he was in pain and unable to keep up with the fast pace of the rest of the crew. Mr. Vieira testified that he informed Mr. Lampkin that given his poor performance, he could not give him any further work. They parted on good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May 2009, Mr. Lampkin attempted to return to playing cricket for the Windies, a team he had played for since he arrived in Canada. Mr. Lampkin said that the act of "bowling", which involves running, jumping and hurling the cricket ball, was very difficult for him given his neck and back pain. After playing several games, Mr. Lampkin gave up and has not since returned to playing cricket.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On July 17, 2009, Mr. Lampkin was hired to work as a landscaper for a company called M&amp;V Landscaping ("M&amp;V"). His employer, Joao Freitas, became aware of his injuries and accommodated him by allowing him to focus on lighter duties. Mr. Lampkin's rate of pay was commensurate with his reduced abilities. Mr. Lampkin worked six days per week, 9 to 13 hour shifts, at a rate of pay of $13 per hour. Mr. Lampkin missed many work days due to his back and his painting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late 2009, Mr. Lampkin started a painting company called RL Painting. He was able to find a few small jobs, but generally the enterprise was a failure. Mr. Lampkin later invested in some landscaping equipment and did some work on the side in addition to his work at M&amp;V. Mr. Freitas was aware of Mr. Lampkin's additional work and provided him with a contract for work in White Rock.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2010, Ms. Rouse took a full-time job as a registered nurse in Ontario. Ms. Rouse was in Ontario from June 2010 until December 2011. During this time, Mr. Lampkin took care of Lexxus with the support of Ms. Rouse's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June 2010, Mr. Lampkin left M&amp;V for a higher paying job with lighter duties at Donnelly Landscaping ("Donnelly"). During this time, Mr. Lampkin had full custody of his son and struggled to find suitable childcare options. In October 2010, Mr. Lampkin was terminated from Donnelly due to his poor attendance because of his sore back and full-time care of Lexxus. He parted ways on good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Lampkin returned to M&amp;V in December 2010 and remained there until April 2013. Mr. Freitas, the owner of M&amp;V, testified that Mr. Lampkin struggled with the heavier aspects of landscaping and moved slowly. Mr. Lampkin was moved into a supervisory role, running a crew to whom he could delegate the heavier tasks. Mr. Freitas confirmed that members of Mr. Lampkin's crew complained to him that Mr. Lampkin was unable to do his fair share of the heavier work. Despite continued accommodation at M&amp;V, Mr. Lampkin experienced pain at work and was exhausted and in pain by the end of a workday. He worked six days per week with time off for childcare and because of his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When Mr. Lampkin's injuries did not improve, his family physician, Dr. Villasenor, referred him to Dr. Pankaj Dhawan, whom Mr. Lampkin had seen previously for a medical legal assessment. In August 2012, Dr. Dhawan administered cortisone injections into Mr. Lampkin's cervical and lumbar spine. Dr. Dhawan administered a second round of injections in April 2013. The injections provided Mr. Lampkin some relief from his symptoms, but the relief was temporary and lasted only six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2013, Mr. Lampkin left M&amp;V to work for T. Moscone Brothers ("T. Moscone"). T. Moscone specialized in construction landscaping, doing both "hardscaping" and "softscaping". Mr. Lampkin was initially hired to do the hardscaping which involved building retaining walls and placing heavy stones and pavers.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Christian Perrin-Jaquet, the hardscaping foreman at T. Moscone, testified that he observed Mr. Lampkin struggling to do the hardscaping duties. In particular, Mr. Perrin-Jaquet recalled that early in his tenure with T. Moscone, Mr. Lampkin was in significant pain when he tried to haul a wheelbarrow down a ramp and was unable to carry heavy stones. Thereafter, Mr. Lampkin was accommodated and was only expected to do the lighter softscaping duties. Moving trees was work that was too heavy for him. The softscaping involved pruning and laying soil. While still physically challenging, it was considerably lighter than hardscaping work. Mr. Lampkin testified that when his injuries became aggravated he was permitted to drive a dump truck, which was substantially easier for him. He continued to take time off for back pain and his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For treatment, Mr. Lampkin performed self-directed stretches and exercises at home. He took over-the-counter and occasionally prescription medications to manage his pain. In March 2014, Mr. Lampkin returned to physiotherapy. He attended six sessions and experienced minimum benefit. He also attended three sessions of active rehabilitation in 2014 which further aggravated his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July 2015, Mr. Lampkin was laid off from T. Moscone because his work was too slow. Since being laid off, Mr. Lampkin has attempted to earn an income by doing some landscaping independently. He hopes to find a new job and described an idea of doing concrete forming, which involves building the wood forms into which concrete is poured. While he is not certain whether he will be capable of the work, he stated that he is prepared to try.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Medical and Expert Evidence</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1. Dr. Fernando Villasenor, Family Medicine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Dr. Villasenor became Mr. Lampkin's family physician following the accident after first treating him on February 16, 2009. On his initial visit, Mr. Lampkin presented with neck tenderness, decreased cervical spine range of motion, and lumbar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Lampkin returned to Dr. Villasenor on March 19, 2009. On examination, Dr. Villasenor found a full range of motion in Mr. Lampkin's neck and lumbar spine but identified some tenderness in the neck and lumbar region. On May 22, 2009, Mr. Lampkin complained of lumbar pain with "irradiation to right lower limb", or sciatica. The assessment was: "lumbar pain, right sciatica, post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On July 7, 2009, in a CL19 form, Dr. Villesenor noted Mr. Lampkin's "neck clear", and made a diagnosis of a grade II soft tissue injury to the low back. On the same date Mr. Lampkin, who had previously been given samples of some medications by the doctor, first filled prescriptions for Cyclobenzaprine (Flexeril) and Tylenol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Lampkin's next appointment was on July 7, 2009. Dr. Villasenor noted lumbar decreased range of motion, and pain to palpation on lumbar area. The assessment was "lumbar strain".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On January 20, 2010, one year post-accident, it was noted that the neck and lumbar pain had improved, but lumbar pain and sciatica continued. On the next visit for accident-related symptoms in July 2010, left shoulder pain was noted along with lower back and neck strain and headaches. In April 2011, neck pain and decreased neck range of motion was noted. Headaches are also mentioned. The assessment was: "Cervical strain. Right sciatica." In July 2011, thoracic back pain is noted for the first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his medical legal report dated June 18, 2012, Dr. Villasenor provided a diagnosis of soft tissue damage or injuries to Mr. Lampkin's cervical and lumbar area due to the accident. With respect to Mr. Lampkin's report of headaches, Dr. Villasenor testified that this is not an unusual occurrence in conjunction with neck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With regard to the results of the July 10, 2009 CT scan of the lumbar spine, Dr. Villasenor stated in his report that: "... it is more likely than not that the disc protrusions at L4-L5, and L5-S1 may have been caused by the whiplash mechanism in the motor vehicle accident that occurred on January 29,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six visits to Dr. Villasenor later in 2012 and in 2013, Mr. Lampkin was noted to have decreased range of motion in his neck and lumbar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his updated report of November 17, 2013, Dr. Villasenor agreed with the diagnosis of Dr. Dhawan of "[s]oft tissue injury to the cervical and lumbar spine with facet-mediated pain." He characterized this as "chronic regional pain" which is the phenomenon of pain radiating to other areas of the body rather than being isolated to one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With respect to prognosis, in that report, Dr. Villasenor opined that although Mr. Lampkin's symptoms have improved in the last year, he did not believe he would improve much more over the next years.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Mister Lampkin's prognosis of his chronic neck, thoracic and lumbar pain is poor in the long-term due to the fact that he has had these symptoms for the last 4 years, symptoms which increase with his current work as a landscaper, and the symptoms are likely to increase in intensity over time with the kind of physical activity that a landscaper has to carry on during the day.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Mister Lampkin should continue with physiotherapy when possible, stretching exercises, range of motion exercises, and relaxation techniques...</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2. Dr. Pankaj Dhawan, Physical Medicine and Rehabilitation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Dr. Dhawan first examined Mr. Lampkin for the purpose of providing the medical legal report dated June 29, 2011. On August 9, 2012, Dr. Dhawan's role changed from an independent medical expert to treating Mr. Lampkin when he administered cortisone injections into Mr. Lampkin's back and neck. At that time he concluded that the tenderness in his back may be inflammation. A second round of injections followed in April 2013. In total, Dr. Dhawan assessed Mr. Lampkin a total of 10 times from June 2011 until May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his medical legal report of June 29, 2011, Dr. Dhawan noted the ongoing symptoms of back and neck pain, and stated that Mr. Lampkin has improved with time. He described the nature of Mr. Lampkin's injuries: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all the information available to me, I am of the opinion that Mr. Lampkin was asymptomatic, well and physically fit prior to the accident of January 2009. In this accident, he suffered soft tissue injuries to the cervical and lumbar spine without any bony injury or fracture, disc herniation, or neurological compromise.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Dhawan stated that: "The cause and effect relationship between the accident and his symptomatology, in my opinion, is well established. He was asymptomatic before he was symptomatic right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recommendation was for active rehab with a personal trainer and a gym pass to help improve his endurance and ability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Dr. Dhawan saw Mr. Lampkin for a reassessment for an updated medical legal report. In that report dated July 10, 2012, he stated:</w:t>
      </w:r>
      <w:r>
        <w:rPr>
          <w:rFonts w:ascii="arial" w:eastAsia="arial" w:hAnsi="arial" w:cs="arial"/>
          <w:sz w:val="20"/>
          <w:lang w:val="en-US" w:eastAsia="en-US" w:bidi="ar-SA"/>
        </w:rPr>
        <w:cr/>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Lampkin reported that he is currently working in landscaping with a company. He works full time. His job is physically demanding. He has not been able to return to work in construction. He feels that he has improved further since my last assessment of him yet he has not been able to fully recover from his injuries. At times he does feel some neck and back pain. Occasionally his neck and back pain is bad enough to require Tylenol Extra Strength. At the end of the workday sometimes he feels tired and stiff, especially while driving home and then when he gets out of the car and does some stretches his pain goes away. He has some insomnia but that is unrelated to his pain or injuries and is more due to stress due to personal reasons.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to my previous report, Mr. Lampkin has continued to improve with the passage of time regarding his soft tissue injuries and he has continued with his physically demanding work as a landscaper. He requires some Tylenol on as needed basis [sic] for neck and back pain which comes on with prolonged sitting, driving, or keeping his neck flexed or carrying a heavy load on his back. More often or not, he can just stretch and the pain goes away. There is no loss of sensation or strength noted. There is no mood disorder.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has improved yet some symptoms are remaining and he is unlikely to continue to improve further over the next subsequent months given the chronicity of his symptoms and his physically demanding work. I do not expect any long-term sequelae like the development of arthritis or the need for surgery. He is fit to continue in his profession as a landscaper in his current employment for now yet he is not able to carry out all aspects of his current work without accommodations and with ongoing pain. I am not sure he will be able to continue even this work till age of retirement. He is not fit to return to his previous work in construction and is unlikely to return to that work in future. He is less than competitive in job market for labor work given his injuries and ongoing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the report of August 9, 2012, written in response to the report of Dr. Dommisse, Dr. Dhawan opined as follows:</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you know, Mr. Lampkin was involved in a motor vehicle accident on January 29, 2009. I had seen him for an independent medical examination on June 29, 2011 and prepared a medical legal report. I then prepared an updated medical legal report on June 12, 2012. Subsequently, he was referred to me by his family physician for treatment and I saw him recently for that on August 9, 2012.</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previously stated, Mr. Lampkin had been fit and active in construction, mechanical installation, and concrete type work prior to the accident. These were very physically demanding work descriptions and he was able to do them without difficulty. In this accident, he suffered soft tissue injuries to the cervical spine and lumbar spine. He has had persistent pain in the neck and back since. His neck is much more symptomatic and disabling to him than his back pain. He started having pain down the right leg a few months later but particularly it was his neck pain which has prevented him from carrying on with previous employment. He was not able to return to mechanical installation at all as it was very physically demanding. He attempted concrete work but could not do it. He subsequently started working as a landscaper. He has a very sympathetic employer who he considers almost like family and thus he is able to pick and choose the jobs he wants to do, take his time doing them, and that is the only reason that he is able to work currently as a landscaper.</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continues to have daily neck and back pain but particularly neck pain with any jobs that require neck flexion; for example blowing leaves, mowing and raking the lawn, and weeding cause him pain and discomfort. He has stiffness in the neck and back on a daily basis. He feels that the only reason he can be working is due to his sympathetic employer and I agree with that assessment.</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I last saw him he continued to have pain on a daily basis in the neck and back, tenderness in the lower cervical C4 to C7 facets and lumbar facets L4 to S1. He received ultrasound-guided C4 to C7 and L4 to S1 facet blocks. He was advised a core strengthening program, posture control and stretching exercises. He has been advised to take ibuprofen and Tylenol on an as needed basis which he does.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Mr. Lampkin suffered soft tissue injuries to the cervical and lumbar spine and his cervical spine primarily is the disabling factor which is due to the persistence of significant flare-ups with his work-related activities that has prevented him from returning to his previous work. He is compromised in landscaping work as well and only due to having a sympathetic employer is he still employable. If his employment situation changes he will be a lot less competitive in the job market and may not be able to sustain this type of physical work.</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 reviewed Dr. Dommisse's medical legal report of July 6, 2012 and overall I agree with the assessment and the opinion, except Dr. Dommisse seems to place a lot of emphasis on a small central disc protrusion at L5-S1 and that, as well as the sciatica symptoms the onset of which were delayed by a few months, as not being related to the motor vehicle accident. In my opinion the emphasis should be certainly on the soft tissue injuries in the cervical and lumbosacral spine which have been the symptoms significantly present since the day of the accident and persistent ever since and which are the disabling symptoms despite treatment. He has recently received facet blocks and it remains to be seen how much benefit he receives from that and if it is helpful, then they may need to be repeated. Once again, I would like to emphasize that it is the cervical spine injury that is much more significant than the lumbar spine injury regarding symptoms and the impact on vocational ability in Mr. Lampkin's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cross-examination regarding the disc protrusion, Dr. Dhawan stated that there was insufficient evidence to render an opinion regarding the disc protrusion, but it was likely that there was no significant disc herniation related to the accident. Further, the protrusion of Mr. Lampkin may not be symptomatic. He opined it is incidental as such disc protrusions are common in the general public. The predominant injuries were the soft tissue injuries to his back and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Dr. Dhawan consistently opined that Mr. Lampkin's injuries will prevent him from working in jobs with heavy physical demands. In his updated report of October 26, 2013,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can no longer work in the construction or concrete industry. ... I think he can stay employed in the landscaping industry as long as he has sympathetic employers and accommodations such that he can avoid some of the heavier jobs.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While Dr. Dhawan was initially optimistic that Mr. Lampkin's injuries would improve with time, by the time of his final assessment in May 2015, Dr. Dhawan provided a poor prognosis: "It is my opinion that Mr. Lampkin has plateaued in his recovery and he is not improving any further."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his May 26, 2015 report, Dr. Dhawan further opined with regards to the impact of Mr. Lampkin's injuries on his work capacity:</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His neck is a lot better than it was and only occasionally bothers him with prolonged sitting, however he still has low back pain on a daily basis and with prolonged sitting and driving his leg goes numb. He is avoiding prolonged sitting and driving and higher paying job opportunities like driving a dump truck. He is not doing some of the heavier lifting jobs of landscaping like lifting paving stones and he has a sympathetic supervisor who allows him lighter jobs. If he did not have this opportunity or if he was laid off from this job he may not be competitively employable as a landscaper or a labourer. He also would not be in a position to exceed his current tolerances or do any overtime work.</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has benefited from a self-directed exercise program and stretches. From time to time if his symptoms get worse he may benefit from facet blocks or a caudal epidural block. The injections are painful and he may need to take one or two days off work if he gets these injections and there is a limit to how often we can do these injections and they will be restricted to once or twice a year. Otherwise they will be not safe for him and may cause weight gain or weakness of the muscle or ligamentous tissue where they are injected with possible thinning of bone mass.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is likely to have long-term pain in the lower back, especially the right side, occasional numbness in the leg and occasional neck pain with prolonged sitting and driving. He should avoid repetitive bending from his waist and heavy lifting. Light landscaping work is possible but if he were to lose his current job and a sympathetic supervisor he may not be able to do landscaping labour work given his symptomatology. He will need to continue to take anti-inflammatory and painkiller medication on a daily basis on the long term as he is doing now. He will have to maintain his body weight low, keep his core muscles strong and stretch every morning and evening on a long-term indefinite basis. I do not see a quick resolution to his symptoms.</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3. Dr. Iain Dommisse, Orthopedic Surgeon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Dr. Dommisse is an orthopedic surgeon who was called by the defendant to testify with regards to the plaintiff's injuries. In his report dated July 5, 2012, Dr. Dommisse confirmed the causation of Mr. Lampkin's injuries, stating that: "In my opinion, Mr. Lampkin sustained a Grade II strain of his cervical and thoracolumbar spine as a result of the Accident." A Grade II strain results in prolonged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his report, Dr. Dommisse stated that the prognosis for Mr. Lampkin's injuries was good. In cross-examination, Dr. Dommisse accepted the opportunity to revise his opinion with respect to his prognosis in light of Mr. Lampkin's ongoing pain three years after Dr. Dommisse's examination. Dr. Dommisse confirmed that Mr. Lampkin's injuries at this stage would be unlikely to resolve.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Dr. Dommisse also testified that, while not referenced in his report, in the course of his assessment of Mr. Lampkin he performed a series of tests called Waddell tests, which are designed to detect exaggeration of symptoms. He confirmed that Mr. Lampkin did not test positive for any "Waddell signs". Accordingly, he did not have any concerns about the reliability of Mr. Lampkin's reports of pain or whether he was giving full effort in the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With regard to the CT scan finding of "a very small right central protrusion", Dr. Dommisse stated that it was unlikely that it was related to the accident since it did not present until some months after the accident. He also noted that not all leg pain is sciatic pain, and he stated that the finding of the disc protrusion is not clinically significant.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Dr. Dommisse did not provide any opinion with regards to disability in his first report. In his September 13, 2012 report, in response to Mr. McNeil's report, he offered the opinion that Mr. Lampkin should be capable of heavy work based on the fact Mr. Lampkin had calluses on his hands.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Dr. Dommisse also stated with regard to Mr. McNeil's report that he "would doubt the validity of his findings contrast significantly with my physical examination findings". However, he took issue with the findings of shoulder function and weakness.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4. Russell McNeil, Occupational Therapist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Russell McNeil is an Occupational Therapist who specializes in functional capacity evaluations. Mr. McNeil assessed Mr. Lampkin on June 28, 2012 and prepared his first report dated July 2,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During his assessment, Mr. McNeil had Mr. Lampkin perform various tests in order to simulate a work day and determine Mr. Lampkin's functional abilities in light of the physical demands of his particular occupations.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McNeil concluded Mr. Lampkin's overall functional capacity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Mr. Lampkin has demonstrated the capacity to perform activity that requires light to modified medium level strength. He demonstrated restrictions in his capacity for activity requiring sustained vertical reaching as well as restrictions performing sustained and repetitive below waist work including bending, stooping, crouching, and kneeling. There were measured restrictions in his upper and lower extremity strength as well as restrictions in his capacity to perform pushing/pulling, two-handed carrying, and two handed lifting. Overall, there were restrictions in his mobility and activity tolerance that adversely affected his capacity to maintain a productive work pace.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his second report dated December 31, 2013, Mr. McNeil maintained his conclusion that Mr. Lampkin's capacity is restricted to modified medium level strength. He again noted that Mr. Lampkin put forth a high level of effort in order to obtain a reliable assessment. Mr. McNeil compared Mr. Lampkin's tested functional capacity against the requirements of various occupations. Mr. McNeil confirmed that Mr. Lampkin was unfit for concrete construction and mechanical insulation work. He also explained that Mr. Lampkin was capable of landscaping work with modification of the work demands and accommodation.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McNeil was subject to a lengthy cross-examination. The focus of the cross-examination was whether Mr. Lampkin put forth a full effort during the testing, with particular focus on the increase in Mr. Lampkin's heart rate during testing. Mr. McNeil confirmed that a single instance of the heart rate increase of less than 25% is not clinically significant. Mr. McNeil explained, and the literature put to him in cross-examination confirmed, that the clinician's actual observations are the most reliable means of determining whether a subject is putting forth a high level of effort.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IV. </w:t>
      </w:r>
      <w:r>
        <w:rPr>
          <w:rFonts w:ascii="arial" w:eastAsia="arial" w:hAnsi="arial" w:cs="arial"/>
          <w:b/>
          <w:color w:val="000000"/>
          <w:sz w:val="20"/>
          <w:u w:val="single"/>
          <w:lang w:val="en-US" w:eastAsia="en-US" w:bidi="ar-SA"/>
        </w:rPr>
        <w:t>Discussion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Damages for non-pecuniary losses compensate the plaintiff for consequences such as pain, suffering, loss of enjoyment of life, and loss of amenities. While restitution is not possible for this type of loss, the rationale for non-pecuniary damages is to provide "substitute pleasures and amenities to make the life of the injured person more bearable"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123"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97, aff'd </w:t>
      </w:r>
      <w:hyperlink r:id="rId344"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The factors a court will consider when assessing damages for non-pecuniary losses are set out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102"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 leave to appeal ref'd </w:t>
      </w:r>
      <w:hyperlink r:id="rId345" w:history="1">
        <w:r>
          <w:rPr>
            <w:rFonts w:ascii="arial" w:eastAsia="arial" w:hAnsi="arial" w:cs="arial"/>
            <w:i/>
            <w:color w:val="0077CC"/>
            <w:sz w:val="20"/>
            <w:u w:val="single"/>
            <w:shd w:val="clear" w:color="auto" w:fill="FFFFFF"/>
            <w:lang w:val="en-US" w:eastAsia="en-US" w:bidi="ar-SA"/>
          </w:rPr>
          <w:t>[2006] SCCA No. 100</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stoicism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order to make the necessary findings of fact regarding the nature, severity and duration of the injury, and the resulting disability, it is necessary to consider the submissions regarding the credibility of the plaintiff, causation of the ongoing complaints of pain, and the evidence, particularly that of the plaintiff and the medical experts.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1. Credibility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defendant has put the plaintiff's credibility into issue. Throughout the proceedings it became apparent that Mr. Lampkin struggles with communication and is difficult to understand due to his heavy accent. Mr. Lampkin is a simple and unsophisticated man. He is substantially illiterate. The plaintiff says that many of the issues with regard to inconsistencies arise from his difficulties with communicating clearly and effectively.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The factors to be considered when assessing credibility were summarized in </w:t>
      </w:r>
      <w:r>
        <w:rPr>
          <w:rFonts w:ascii="arial" w:eastAsia="arial" w:hAnsi="arial" w:cs="arial"/>
          <w:i/>
          <w:color w:val="000000"/>
          <w:sz w:val="20"/>
          <w:lang w:val="en-US" w:eastAsia="en-US" w:bidi="ar-SA"/>
        </w:rPr>
        <w:t>Hardychuk v. Johnstone</w:t>
      </w:r>
      <w:r>
        <w:rPr>
          <w:rFonts w:ascii="arial" w:eastAsia="arial" w:hAnsi="arial" w:cs="arial"/>
          <w:color w:val="000000"/>
          <w:sz w:val="20"/>
          <w:lang w:val="en-US" w:eastAsia="en-US" w:bidi="ar-SA"/>
        </w:rPr>
        <w:t xml:space="preserve">, </w:t>
      </w:r>
      <w:hyperlink r:id="rId346" w:history="1">
        <w:r>
          <w:rPr>
            <w:rFonts w:ascii="arial" w:eastAsia="arial" w:hAnsi="arial" w:cs="arial"/>
            <w:i/>
            <w:color w:val="0077CC"/>
            <w:sz w:val="20"/>
            <w:u w:val="single"/>
            <w:shd w:val="clear" w:color="auto" w:fill="FFFFFF"/>
            <w:lang w:val="en-US" w:eastAsia="en-US" w:bidi="ar-SA"/>
          </w:rPr>
          <w:t>2012 BCSC 1359</w:t>
        </w:r>
      </w:hyperlink>
      <w:r>
        <w:rPr>
          <w:rFonts w:ascii="arial" w:eastAsia="arial" w:hAnsi="arial" w:cs="arial"/>
          <w:color w:val="000000"/>
          <w:sz w:val="20"/>
          <w:lang w:val="en-US" w:eastAsia="en-US" w:bidi="ar-SA"/>
        </w:rPr>
        <w:t xml:space="preserve"> (citing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63"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 The factors to be considered when assessing credibility were summarized by Dillon J.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63"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186 Credibility involves an assessment of the trustworthiness of a witness' testimony based upon the veracity or sincerity of a witness and the accuracy of the evidence that the witness provides (</w:t>
      </w:r>
      <w:r>
        <w:rPr>
          <w:rFonts w:ascii="arial" w:eastAsia="arial" w:hAnsi="arial" w:cs="arial"/>
          <w:i/>
          <w:color w:val="000000"/>
          <w:sz w:val="20"/>
          <w:lang w:val="en-US" w:eastAsia="en-US" w:bidi="ar-SA"/>
        </w:rPr>
        <w:t>Raymond v. Bosanquet (Township)</w:t>
      </w:r>
      <w:r>
        <w:rPr>
          <w:rFonts w:ascii="arial" w:eastAsia="arial" w:hAnsi="arial" w:cs="arial"/>
          <w:color w:val="000000"/>
          <w:sz w:val="20"/>
          <w:lang w:val="en-US" w:eastAsia="en-US" w:bidi="ar-SA"/>
        </w:rPr>
        <w:t xml:space="preserve"> </w:t>
      </w:r>
      <w:hyperlink r:id="rId347" w:history="1">
        <w:r>
          <w:rPr>
            <w:rFonts w:ascii="arial" w:eastAsia="arial" w:hAnsi="arial" w:cs="arial"/>
            <w:i/>
            <w:color w:val="0077CC"/>
            <w:sz w:val="20"/>
            <w:u w:val="single"/>
            <w:shd w:val="clear" w:color="auto" w:fill="FFFFFF"/>
            <w:lang w:val="en-US" w:eastAsia="en-US" w:bidi="ar-SA"/>
          </w:rPr>
          <w:t>(1919), 59 S.C.R. 452</w:t>
        </w:r>
      </w:hyperlink>
      <w:r>
        <w:rPr>
          <w:rFonts w:ascii="arial" w:eastAsia="arial" w:hAnsi="arial" w:cs="arial"/>
          <w:color w:val="000000"/>
          <w:sz w:val="20"/>
          <w:lang w:val="en-US" w:eastAsia="en-US" w:bidi="ar-SA"/>
        </w:rPr>
        <w:t xml:space="preserve">, </w:t>
      </w:r>
      <w:hyperlink r:id="rId348" w:history="1">
        <w:r>
          <w:rPr>
            <w:rFonts w:ascii="arial" w:eastAsia="arial" w:hAnsi="arial" w:cs="arial"/>
            <w:i/>
            <w:color w:val="0077CC"/>
            <w:sz w:val="20"/>
            <w:u w:val="single"/>
            <w:shd w:val="clear" w:color="auto" w:fill="FFFFFF"/>
            <w:lang w:val="en-US" w:eastAsia="en-US" w:bidi="ar-SA"/>
          </w:rPr>
          <w:t>50 D.L.R. 560</w:t>
        </w:r>
      </w:hyperlink>
      <w:r>
        <w:rPr>
          <w:rFonts w:ascii="arial" w:eastAsia="arial" w:hAnsi="arial" w:cs="arial"/>
          <w:color w:val="000000"/>
          <w:sz w:val="20"/>
          <w:lang w:val="en-US" w:eastAsia="en-US" w:bidi="ar-SA"/>
        </w:rPr>
        <w:t xml:space="preserve"> (S.C.C.)). The art of assessment involves examination of various factors such as the ability and opportunity to observe events, the firmness of his memory, the ability to resist the influence of interest to modify his recollection, whether the witness' evidence harmonizes with independent evidence that has been accepted, whether the witness changes his testimony during direct and cross-examination, whether the witness' testimony seems unreasonable, impossible, or unlikely, whether a witness has a motive to lie, and the demeanor of a witness generally (</w:t>
      </w:r>
      <w:r>
        <w:rPr>
          <w:rFonts w:ascii="arial" w:eastAsia="arial" w:hAnsi="arial" w:cs="arial"/>
          <w:i/>
          <w:color w:val="000000"/>
          <w:sz w:val="20"/>
          <w:lang w:val="en-US" w:eastAsia="en-US" w:bidi="ar-SA"/>
        </w:rPr>
        <w:t>Wallace v. Davis</w:t>
      </w:r>
      <w:r>
        <w:rPr>
          <w:rFonts w:ascii="arial" w:eastAsia="arial" w:hAnsi="arial" w:cs="arial"/>
          <w:color w:val="000000"/>
          <w:sz w:val="20"/>
          <w:lang w:val="en-US" w:eastAsia="en-US" w:bidi="ar-SA"/>
        </w:rPr>
        <w:t xml:space="preserve"> </w:t>
      </w:r>
      <w:hyperlink r:id="rId349" w:history="1">
        <w:r>
          <w:rPr>
            <w:rFonts w:ascii="arial" w:eastAsia="arial" w:hAnsi="arial" w:cs="arial"/>
            <w:i/>
            <w:color w:val="0077CC"/>
            <w:sz w:val="20"/>
            <w:u w:val="single"/>
            <w:shd w:val="clear" w:color="auto" w:fill="FFFFFF"/>
            <w:lang w:val="en-US" w:eastAsia="en-US" w:bidi="ar-SA"/>
          </w:rPr>
          <w:t>(1926), 31 O.W.N. 202</w:t>
        </w:r>
      </w:hyperlink>
      <w:r>
        <w:rPr>
          <w:rFonts w:ascii="arial" w:eastAsia="arial" w:hAnsi="arial" w:cs="arial"/>
          <w:color w:val="000000"/>
          <w:sz w:val="20"/>
          <w:lang w:val="en-US" w:eastAsia="en-US" w:bidi="ar-SA"/>
        </w:rPr>
        <w:t xml:space="preserve"> (Ont. H.C.);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xml:space="preserve">, </w:t>
      </w:r>
      <w:hyperlink r:id="rId161"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Faryna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S.(R.D.)</w:t>
      </w:r>
      <w:r>
        <w:rPr>
          <w:rFonts w:ascii="arial" w:eastAsia="arial" w:hAnsi="arial" w:cs="arial"/>
          <w:color w:val="000000"/>
          <w:sz w:val="20"/>
          <w:lang w:val="en-US" w:eastAsia="en-US" w:bidi="ar-SA"/>
        </w:rPr>
        <w:t xml:space="preserve">, </w:t>
      </w:r>
      <w:hyperlink r:id="rId350" w:history="1">
        <w:r>
          <w:rPr>
            <w:rFonts w:ascii="arial" w:eastAsia="arial" w:hAnsi="arial" w:cs="arial"/>
            <w:i/>
            <w:color w:val="0077CC"/>
            <w:sz w:val="20"/>
            <w:u w:val="single"/>
            <w:shd w:val="clear" w:color="auto" w:fill="FFFFFF"/>
            <w:lang w:val="en-US" w:eastAsia="en-US" w:bidi="ar-SA"/>
          </w:rPr>
          <w:t>[1997] 3 S.C.R. 484</w:t>
        </w:r>
      </w:hyperlink>
      <w:r>
        <w:rPr>
          <w:rFonts w:ascii="arial" w:eastAsia="arial" w:hAnsi="arial" w:cs="arial"/>
          <w:color w:val="000000"/>
          <w:sz w:val="20"/>
          <w:lang w:val="en-US" w:eastAsia="en-US" w:bidi="ar-SA"/>
        </w:rPr>
        <w:t xml:space="preserve"> at para. 128 (S.C.C.)). Ultimately, the validity of the evidence depends on whether the evidence is consistent with the probabilities affecting the case as a whole and shown to be in existence at the time (</w:t>
      </w:r>
      <w:r>
        <w:rPr>
          <w:rFonts w:ascii="arial" w:eastAsia="arial" w:hAnsi="arial" w:cs="arial"/>
          <w:i/>
          <w:color w:val="000000"/>
          <w:sz w:val="20"/>
          <w:lang w:val="en-US" w:eastAsia="en-US" w:bidi="ar-SA"/>
        </w:rPr>
        <w:t>Faryna</w:t>
      </w:r>
      <w:r>
        <w:rPr>
          <w:rFonts w:ascii="arial" w:eastAsia="arial" w:hAnsi="arial" w:cs="arial"/>
          <w:color w:val="000000"/>
          <w:sz w:val="20"/>
          <w:lang w:val="en-US" w:eastAsia="en-US" w:bidi="ar-SA"/>
        </w:rPr>
        <w:t xml:space="preserve"> at para. 356).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 Where, as here, a plaintiff's case relies on subjective symptoms with little or no objective evidence of continuing injury the court must be exceedingly careful in examining the evidence and assessing credibility: </w:t>
      </w:r>
      <w:r>
        <w:rPr>
          <w:rFonts w:ascii="arial" w:eastAsia="arial" w:hAnsi="arial" w:cs="arial"/>
          <w:i/>
          <w:color w:val="000000"/>
          <w:sz w:val="20"/>
          <w:lang w:val="en-US" w:eastAsia="en-US" w:bidi="ar-SA"/>
        </w:rPr>
        <w:t>Price v. Kostryba</w:t>
      </w:r>
      <w:r>
        <w:rPr>
          <w:rFonts w:ascii="arial" w:eastAsia="arial" w:hAnsi="arial" w:cs="arial"/>
          <w:color w:val="000000"/>
          <w:sz w:val="20"/>
          <w:lang w:val="en-US" w:eastAsia="en-US" w:bidi="ar-SA"/>
        </w:rPr>
        <w:t xml:space="preserve"> </w:t>
      </w:r>
      <w:hyperlink r:id="rId156" w:history="1">
        <w:r>
          <w:rPr>
            <w:rFonts w:ascii="arial" w:eastAsia="arial" w:hAnsi="arial" w:cs="arial"/>
            <w:i/>
            <w:color w:val="0077CC"/>
            <w:sz w:val="20"/>
            <w:u w:val="single"/>
            <w:shd w:val="clear" w:color="auto" w:fill="FFFFFF"/>
            <w:lang w:val="en-US" w:eastAsia="en-US" w:bidi="ar-SA"/>
          </w:rPr>
          <w:t>(1982), 70 B.C.L.R. 397</w:t>
        </w:r>
      </w:hyperlink>
      <w:r>
        <w:rPr>
          <w:rFonts w:ascii="arial" w:eastAsia="arial" w:hAnsi="arial" w:cs="arial"/>
          <w:color w:val="000000"/>
          <w:sz w:val="20"/>
          <w:lang w:val="en-US" w:eastAsia="en-US" w:bidi="ar-SA"/>
        </w:rPr>
        <w:t xml:space="preserve">. If deliberate falsehood is established it may be difficult to disentangle truth from deceit and some truthful aspects of the plaintiff's testimony may lose their force, particularly in the absence of corroboration. That being said, when a plaintiff is accused of deliberate deceit more than speculation or innuendo is required. A charge of deliberate deceit under oath is a serious attack on an individual's integrity which should not be lightly treated or lightly made: </w:t>
      </w:r>
      <w:r>
        <w:rPr>
          <w:rFonts w:ascii="arial" w:eastAsia="arial" w:hAnsi="arial" w:cs="arial"/>
          <w:i/>
          <w:color w:val="000000"/>
          <w:sz w:val="20"/>
          <w:lang w:val="en-US" w:eastAsia="en-US" w:bidi="ar-SA"/>
        </w:rPr>
        <w:t>Halteren v. Wilhelm</w:t>
      </w:r>
      <w:r>
        <w:rPr>
          <w:rFonts w:ascii="arial" w:eastAsia="arial" w:hAnsi="arial" w:cs="arial"/>
          <w:color w:val="000000"/>
          <w:sz w:val="20"/>
          <w:lang w:val="en-US" w:eastAsia="en-US" w:bidi="ar-SA"/>
        </w:rPr>
        <w:t xml:space="preserve">, </w:t>
      </w:r>
      <w:hyperlink r:id="rId351" w:history="1">
        <w:r>
          <w:rPr>
            <w:rFonts w:ascii="arial" w:eastAsia="arial" w:hAnsi="arial" w:cs="arial"/>
            <w:i/>
            <w:color w:val="0077CC"/>
            <w:sz w:val="20"/>
            <w:u w:val="single"/>
            <w:shd w:val="clear" w:color="auto" w:fill="FFFFFF"/>
            <w:lang w:val="en-US" w:eastAsia="en-US" w:bidi="ar-SA"/>
          </w:rPr>
          <w:t>2000 BCCA 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Edmondson v. Payer</w:t>
      </w:r>
      <w:r>
        <w:rPr>
          <w:rFonts w:ascii="arial" w:eastAsia="arial" w:hAnsi="arial" w:cs="arial"/>
          <w:color w:val="000000"/>
          <w:sz w:val="20"/>
          <w:lang w:val="en-US" w:eastAsia="en-US" w:bidi="ar-SA"/>
        </w:rPr>
        <w:t xml:space="preserve">, </w:t>
      </w:r>
      <w:hyperlink r:id="rId157" w:history="1">
        <w:r>
          <w:rPr>
            <w:rFonts w:ascii="arial" w:eastAsia="arial" w:hAnsi="arial" w:cs="arial"/>
            <w:i/>
            <w:color w:val="0077CC"/>
            <w:sz w:val="20"/>
            <w:u w:val="single"/>
            <w:shd w:val="clear" w:color="auto" w:fill="FFFFFF"/>
            <w:lang w:val="en-US" w:eastAsia="en-US" w:bidi="ar-SA"/>
          </w:rPr>
          <w:t>2011 BCSC 118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Vasiliopoulos v. Dosangh</w:t>
      </w:r>
      <w:r>
        <w:rPr>
          <w:rFonts w:ascii="arial" w:eastAsia="arial" w:hAnsi="arial" w:cs="arial"/>
          <w:color w:val="000000"/>
          <w:sz w:val="20"/>
          <w:lang w:val="en-US" w:eastAsia="en-US" w:bidi="ar-SA"/>
        </w:rPr>
        <w:t xml:space="preserve">, </w:t>
      </w:r>
      <w:hyperlink r:id="rId352" w:history="1">
        <w:r>
          <w:rPr>
            <w:rFonts w:ascii="arial" w:eastAsia="arial" w:hAnsi="arial" w:cs="arial"/>
            <w:i/>
            <w:color w:val="0077CC"/>
            <w:sz w:val="20"/>
            <w:u w:val="single"/>
            <w:shd w:val="clear" w:color="auto" w:fill="FFFFFF"/>
            <w:lang w:val="en-US" w:eastAsia="en-US" w:bidi="ar-SA"/>
          </w:rPr>
          <w:t>2008 BCCA 399</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The typical starting point in a credibility assessment is to presume truthfulness: </w:t>
      </w:r>
      <w:r>
        <w:rPr>
          <w:rFonts w:ascii="arial" w:eastAsia="arial" w:hAnsi="arial" w:cs="arial"/>
          <w:i/>
          <w:color w:val="000000"/>
          <w:sz w:val="20"/>
          <w:lang w:val="en-US" w:eastAsia="en-US" w:bidi="ar-SA"/>
        </w:rPr>
        <w:t>Halteren</w:t>
      </w:r>
      <w:r>
        <w:rPr>
          <w:rFonts w:ascii="arial" w:eastAsia="arial" w:hAnsi="arial" w:cs="arial"/>
          <w:color w:val="000000"/>
          <w:sz w:val="20"/>
          <w:lang w:val="en-US" w:eastAsia="en-US" w:bidi="ar-SA"/>
        </w:rPr>
        <w:t>. Truthfulness and reliability are not, however, necessarily the same. A witness may sincerely attempt to be truthful but lack the perceptive, recall or narrative capacity to provide reliable testimony. Alternatively, he or she may unconsciously indulge in the human tendency to reconstruct and distort history in a manner that favours a desired outcome. There is, of course, also the possibility that a witness may choose, consciously and deliberately, to lie out of perceived self-interest or for some other reason. Accordingly, when a witness's evidence is demonstrably inaccurate the challenge from an assessment perspective is to identify the likely reason for the inaccuracy in a cautious, balanced and contextually sensitive 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The presumption of truthfulness will be displaced by convincing evidence of deliberate falsehood. Such evidence may take many forms. There is no hard and fast rule as to how falsehood on a plaintiff's part may be demonstrated in a personal injury action. In my view, however, in most such cases fairness will require that a plaintiff be given an opportunity to respond directly to an assertion of deliberate untruthfulness before his or her credibility, as distinct from reliability, is successfully impeached: </w:t>
      </w:r>
      <w:r>
        <w:rPr>
          <w:rFonts w:ascii="arial" w:eastAsia="arial" w:hAnsi="arial" w:cs="arial"/>
          <w:i/>
          <w:color w:val="000000"/>
          <w:sz w:val="20"/>
          <w:lang w:val="en-US" w:eastAsia="en-US" w:bidi="ar-SA"/>
        </w:rPr>
        <w:t>R. v. Lyttle</w:t>
      </w:r>
      <w:r>
        <w:rPr>
          <w:rFonts w:ascii="arial" w:eastAsia="arial" w:hAnsi="arial" w:cs="arial"/>
          <w:color w:val="000000"/>
          <w:sz w:val="20"/>
          <w:lang w:val="en-US" w:eastAsia="en-US" w:bidi="ar-SA"/>
        </w:rPr>
        <w:t xml:space="preserve">, </w:t>
      </w:r>
      <w:hyperlink r:id="rId353" w:history="1">
        <w:r>
          <w:rPr>
            <w:rFonts w:ascii="arial" w:eastAsia="arial" w:hAnsi="arial" w:cs="arial"/>
            <w:i/>
            <w:color w:val="0077CC"/>
            <w:sz w:val="20"/>
            <w:u w:val="single"/>
            <w:shd w:val="clear" w:color="auto" w:fill="FFFFFF"/>
            <w:lang w:val="en-US" w:eastAsia="en-US" w:bidi="ar-SA"/>
          </w:rPr>
          <w:t>2004 SCC 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Browne v. Dunn</w:t>
      </w:r>
      <w:r>
        <w:rPr>
          <w:rFonts w:ascii="arial" w:eastAsia="arial" w:hAnsi="arial" w:cs="arial"/>
          <w:color w:val="000000"/>
          <w:sz w:val="20"/>
          <w:lang w:val="en-US" w:eastAsia="en-US" w:bidi="ar-SA"/>
        </w:rPr>
        <w:t xml:space="preserve"> (1893), 6 R. 67 (U.K.H.L.).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defendant raised a number of issues with regard to Mr. Lampkin's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With regard to his work at Global Concrete, in the course of cross-examining Mr. Lampkin and Mr. Vieira, issues were raised as to whether Mr. Lampkin had ever worked for Global Concrete. The issue then became whether Mr. Lampkin had worked for Global Concrete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defendant called Ms. Sue Martins, the former bookkeeper for Global Concrete. Ms. Martins had previously stated that Global Concrete had no records relating to Mr. Lampkin. In her evidence, Ms. Martins said that on the day of her court appearance she was able to find two records of Mr. Lampkin working at Global Concrete before the accident. She went on to say that there was no record of Mr. Lampkin working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Ms. Martins acknowledged that in 2012 and 2013 she received a number of requests for information regarding Mr. Lampkin's records. Despite these requests, and a subsequent court order, Global Concrete and Ms. Martins failed to produce any documents stating that there were no records available for Mr. Lampkin, which ultimately proved to be untrue.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Ms. Martins explained that she did not find records for Mr. Lampkin when she was previously asked. She had been looking from the date of the accident forward, despite the fact that the request was for production of all records, including the date that Mr. Lampkin commenced work with Global Concrete.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cross-examination, Ms. Martins admitted there is a reference Mr. Lampkin contained in the financial spreadsheet dated January 29, 2009, the date of the accident. She was unable to explain why she did not see this record given her prior testimony that she only searched the records from the date of the accident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only records Ms. Martins brought with her to court were the payroll records which were prepared based on information given to her by Mr. Vieira who was at the job sites. The original records prepared by Mr. Vieira were not produced.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Ms. Martins was defensive throughout her cross-examination. She had no explanation for how she failed to observe the reference to Mr. Lampkin in the financial spreadsheet dated January 29, 2009. In the result, I conclude that Ms. Martins' evidence and the documents she relied upon in giving her evidence are unreliable and incomplete.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 accept the evidence of Mr. Vieira that Mr. Lampkin worked for him following the accident. Of note, Mr. Vieira is the sister of Mr. Lampkin's former girlfriend, Ms. Goncalves. Mr. Lampkin confirmed in cross-examination that he and Ms. Goncalves are no longer on speaking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defendant submits that a physiotherapy record dated March 29, 2014 is evidence that Mr. Lampkin lied to the physiotherapist. The physiotherapy note states that Mr. Lampkin "didn't work Friday due to pain". There is surveillance footage dated that Friday, March 28, 2014, showing Mr. Lampkin driving a T. Moscone dump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In redirect examination, Mr. Lampkin explained that driving the dump truck is a light duty job that his foreman allows him when to do his injuries are aggravated. The physiotherapist, Mr. Lammers, was not called to testify with respect to the notation, despite being on the defendant's list of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During both of his examinations for discovery, Mr. Lampkin stated that he graduated from high school in St. Vincent. During his direct examination, Mr. Lampkin testified that he only attended school until the age of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cross-examination, Mr. Lampkin became quite emotional when explaining that he is ashamed of not having completed high school. He grew up in an impoverished environment and was embarrassed to admit that he had not graduated from high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With regard to his previous testimony in examinations for discovery regarding his education level, the important factor is that in court Mr. Lampkin told the truth. He did not complete high school. While it is not to be condoned that he was not honest in his discoveries on this point, the explanation of embarrassment is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defendant also raised concerns that on several of the days he was logged as a no show at his landscaping job, he had contemporaneous jobs with his side business, RL Painting. On several specific days there are receipts indicating that he was shopping at Rona or Home Depot when he was expected to be at his landscaping job. Mr. Lampkin did not recollect these jobs. Despite several invoices to Deto Contracting, he did not know who they were.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defendant says that in his direct examination, Mr. Lampkin testified that he struck his right knee on the dashboard in the accident. When confronted with his examination for discovery testimony where he indicated it was, in fact, his left knee, he acknowledged that he did not know what knee it was that he struck. He initially did not acknowledge his lack of memory on the subject.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defendant further submits that in preparing an Employment Insurance application in November 2010, Mr. Lampkin was asked whether, during the previous two years, he was "at any time...unable to work for medical reasons", to which he answered "no". Mr. Lampkin explained that he does not recall reading the application form or asking for assistance to have it read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During Mr. McNeil's 2012 assessment, Mr. Lampkin reported to Mr. McNeil that "in late May 2009, he was advised by his physician to stop the concrete work". The evidence of Dr. Villasenor was that he had not discussed Mr. Lampkin's vocational pursuits until after May 2009. I accept that Mr. Lampkin did not, at that time, remember the date of that conversation with his doctor who later discussed his work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Mr. Lampkin's credibility is a central issue in this case. The defendant says that his evidence is deliberately self-serving and dishonest. It is clear that Mr. Lampkin is a poor historian. However, is his evidence with regard to the issues to be decided in this case unreliable? The court may believe some, none or all of his evidence. It is necessary to determine which of his evidence is to be believed.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With regard to the reliability of Mr. Lampkin, the analysis must commence with difficulties with communication. He responded to questions with the apparent intention to give considered responses. However, his responses were often brief, leaving the impression that he was not confident in his ability to voice the answer. Many of his answers were: "That's correct". Often he was straightforward with responses when he did not know an answer or where the response may not be favourable. Overall throughout lengthy testimony, except where he became emotional about his family, his income-earning prospects, or his childhood, he gave evidence in a calm, soft-spoken manner which did not change from direct to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However, Mr. Lampkin is a poor historian. It is clear that he does not remember details, or sometimes sequences of events. With regard to some questions he appeared hesitant or embarrassed to say that he did not know or remember the answer. The issue of the knee he injured in the accident is in this category, as well as the jobs he did for his own company. Although he appeared to have an arrangement with his employer that he could be absent for his own jobs, he was a poor historian with regard to remembering the specific jobs. He was reluctant to admit that he did not remember.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defendant submits that if it is accepted that some or all of Mr. Lampkin's continuing pain is related to the accident, the court cannot find that Mr. Lampkin's pain is disabling as his evidence is neither credible nor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defendant identifies the matter of the most concern: that Mr. Lampkin has not offered specific testimony regarding the nature, severity, duration or frequency of his complaints of ongoing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There are two instances of testimony which is contradicted by a report from a medical provider. The first is that of the physiotherapist to whom Mr. Lampkin reported that he "did not work Friday". The video of him driving a truck is evidence that he was at work that day, which was the day before the report to the physiotherapist. The report of Mr. Lampkin to his treating physiotherapist was inaccurate. The second instance is his report to Mr. McNeil regarding the date on which he discussed his vocation with Dr. Villasenor. The date of the discussion is not material.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This is not a case of repeated exaggerations or inaccuracies in the plaintiff's reporting. However, the evidence of Mr. Lampkin is far from specific. He testified that in 2010, he was still experiencing pain in his back, neck, shoulder, and legs associated with the back pain, as well as headaches. In 2011 it was the same, with the leg pain only with heavy work. The injections by Dr. Dhawan assisted in 2012 but the pain was ongoing. In 2013, the pain was the same (back, neck, between the shoulders, and headaches as well as occasional leg pain). There were more injections which helped temporarily. In 2014, it was the same. By 2015 there was some improvement since 2012, but with ongoing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However, Mr. Lampkin testified that he reported his symptoms accurately to the doctors. He said words to the effect of "whatever my symptoms are I report them to my family doctor". Other than the report to the physiotherapist of missing work and the date reported to Mr. McNeil, there are no other inconsistencies or inaccuracies referred to by the defendant. On review of the medical records and reports, the nature, extent and duration of the injuries is consistent and credible. They are consistent with the plaintiff's brief evidence regarding his injuries, and not collectively inconsistent. In these circumstances where the plaintiff's testimony was not detailed regarding the progression of his injuries, I rely on the medical records which he testified were based on accurate reports by him, as an accurate history of the injuries, their duration and extent.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Mr. Lampkin does not exaggerate his pain in his reports to the doctors. Dr. Dommisse noted the absence of Waddell factors and had no concern that Mr. Lampkin was not exerting his full effort in the testing. Dr. Dhawan observed no pain behaviours. Mr. Lampkin stated that when he could bear the pain, he did not go to the doctor. There are periods of months when he does not have appointments with Dr. Villasenor. Dr. Dhawan testified in cross-examination (in response to paragraph 11 of his July 10, 2012 report where he stated "at times he does feel some neck and back pain...") that what he gleaned from Mr. Lampkin's history is that the pain was "off and on, not constant". Dr. Dhawan said Mr. Lampkin told him the pain was relieved by stretching. This is consistent with Mr. Lampkin's history of continuing to work and to manage with the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 therefore conclude that I can rely on the evidence of Mr. Lampkin and the expert medical witnesses with regard to his injuries, symptoms and the extent of his recovery.</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2.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The Supreme Court of Canada has stated with regard to causation in tort in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99"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at para. 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recap, the basic rule of recovery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that the plaintiff must establish on a balance of probabilities that the defendant caused the plaintiff's injury on the "but for" test. This is a factual 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The primary test for causation is the "but for" test. The plaintiff must show that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materially contributed to the plaintiff's injuries on the balance of probabilities. The "but for" test does not require the plaintiff to show that the tortious conduct was the sole cause of the cause of an injury: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30"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t>
      </w:r>
      <w:hyperlink r:id="rId30" w:history="1">
        <w:r>
          <w:rPr>
            <w:rFonts w:ascii="arial" w:eastAsia="arial" w:hAnsi="arial" w:cs="arial"/>
            <w:i/>
            <w:color w:val="0077CC"/>
            <w:sz w:val="20"/>
            <w:u w:val="single"/>
            <w:shd w:val="clear" w:color="auto" w:fill="FFFFFF"/>
            <w:lang w:val="en-US" w:eastAsia="en-US" w:bidi="ar-SA"/>
          </w:rPr>
          <w:t>140 D.L.R. (4th) 235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The plaintiff need only establish a "substantial connection" between the injury and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order to find that the defendant is liable: </w:t>
      </w:r>
      <w:r>
        <w:rPr>
          <w:rFonts w:ascii="arial" w:eastAsia="arial" w:hAnsi="arial" w:cs="arial"/>
          <w:i/>
          <w:color w:val="000000"/>
          <w:sz w:val="20"/>
          <w:lang w:val="en-US" w:eastAsia="en-US" w:bidi="ar-SA"/>
        </w:rPr>
        <w:t>Sam v. Wilson</w:t>
      </w:r>
      <w:r>
        <w:rPr>
          <w:rFonts w:ascii="arial" w:eastAsia="arial" w:hAnsi="arial" w:cs="arial"/>
          <w:color w:val="000000"/>
          <w:sz w:val="20"/>
          <w:lang w:val="en-US" w:eastAsia="en-US" w:bidi="ar-SA"/>
        </w:rPr>
        <w:t xml:space="preserve">, </w:t>
      </w:r>
      <w:hyperlink r:id="rId354" w:history="1">
        <w:r>
          <w:rPr>
            <w:rFonts w:ascii="arial" w:eastAsia="arial" w:hAnsi="arial" w:cs="arial"/>
            <w:i/>
            <w:color w:val="0077CC"/>
            <w:sz w:val="20"/>
            <w:u w:val="single"/>
            <w:shd w:val="clear" w:color="auto" w:fill="FFFFFF"/>
            <w:lang w:val="en-US" w:eastAsia="en-US" w:bidi="ar-SA"/>
          </w:rPr>
          <w:t>2007 BCCA 622</w:t>
        </w:r>
      </w:hyperlink>
      <w:r>
        <w:rPr>
          <w:rFonts w:ascii="arial" w:eastAsia="arial" w:hAnsi="arial" w:cs="arial"/>
          <w:color w:val="000000"/>
          <w:sz w:val="20"/>
          <w:lang w:val="en-US" w:eastAsia="en-US" w:bidi="ar-SA"/>
        </w:rPr>
        <w:t xml:space="preserve"> at paras. 107-109. A substantial connection is something beyond the </w:t>
      </w:r>
      <w:r>
        <w:rPr>
          <w:rFonts w:ascii="arial" w:eastAsia="arial" w:hAnsi="arial" w:cs="arial"/>
          <w:i/>
          <w:color w:val="000000"/>
          <w:sz w:val="20"/>
          <w:lang w:val="en-US" w:eastAsia="en-US" w:bidi="ar-SA"/>
        </w:rPr>
        <w:t>de minimus</w:t>
      </w:r>
      <w:r>
        <w:rPr>
          <w:rFonts w:ascii="arial" w:eastAsia="arial" w:hAnsi="arial" w:cs="arial"/>
          <w:color w:val="000000"/>
          <w:sz w:val="20"/>
          <w:lang w:val="en-US" w:eastAsia="en-US" w:bidi="ar-SA"/>
        </w:rPr>
        <w:t xml:space="preserve"> range: </w:t>
      </w:r>
      <w:r>
        <w:rPr>
          <w:rFonts w:ascii="arial" w:eastAsia="arial" w:hAnsi="arial" w:cs="arial"/>
          <w:i/>
          <w:color w:val="000000"/>
          <w:sz w:val="20"/>
          <w:lang w:val="en-US" w:eastAsia="en-US" w:bidi="ar-SA"/>
        </w:rPr>
        <w:t>Farrant v. Laktin</w:t>
      </w:r>
      <w:r>
        <w:rPr>
          <w:rFonts w:ascii="arial" w:eastAsia="arial" w:hAnsi="arial" w:cs="arial"/>
          <w:color w:val="000000"/>
          <w:sz w:val="20"/>
          <w:lang w:val="en-US" w:eastAsia="en-US" w:bidi="ar-SA"/>
        </w:rPr>
        <w:t xml:space="preserve">, </w:t>
      </w:r>
      <w:hyperlink r:id="rId98" w:history="1">
        <w:r>
          <w:rPr>
            <w:rFonts w:ascii="arial" w:eastAsia="arial" w:hAnsi="arial" w:cs="arial"/>
            <w:i/>
            <w:color w:val="0077CC"/>
            <w:sz w:val="20"/>
            <w:u w:val="single"/>
            <w:shd w:val="clear" w:color="auto" w:fill="FFFFFF"/>
            <w:lang w:val="en-US" w:eastAsia="en-US" w:bidi="ar-SA"/>
          </w:rPr>
          <w:t>2011 BCCA 336</w:t>
        </w:r>
      </w:hyperlink>
      <w:r>
        <w:rPr>
          <w:rFonts w:ascii="arial" w:eastAsia="arial" w:hAnsi="arial" w:cs="arial"/>
          <w:color w:val="000000"/>
          <w:sz w:val="20"/>
          <w:lang w:val="en-US" w:eastAsia="en-US" w:bidi="ar-SA"/>
        </w:rPr>
        <w:t xml:space="preserve"> at para.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plaintiff submits that the causation of his injuries is straightforward. In his first medical legal report, Dr. Dhawan opined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case and effect relationship between the accident and his symptomology, in my opinion, is well established. ... After the rear-ending accident, he experienced neck and back pain, which gradually has improved with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Dr. Dommisse also stated that Mr. Lampkin's neck and back injuries were caused by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Mr. Lampkin sustained a Grade II strain of his cervical and thoracolumbar spine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Mr. Schlafen, Mr. Lampkin's foreman before the accident, confirmed that Mr. Lampkin met all of the physical demands of his prior work as a mechanical insulator. The job was physically demanding and Mr. Lampkin was capable of doing the work despite having sustaining a minor back injury in a February 2007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only evidence before the court confirms that the accident is the sole cause of Mr. Lampkin's ongoing neck, back and shoulder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defendant submits that there is no basis for application of the material contribution test. The plaintiff carries the burden of proof on causation. The defendant is not required to disprove causation. Given Mr. Lampkin's disc bulge, his physically-demanding work which in itself could cause neck and back pain due to strain, and the significant gap in the medical records during which time Mr. Lampkin did not complain to any medical professional about soft tissue injury symptoms, the defendant says the plaintiff has not established that his ongoing complaints of pain and disability are necessarily all 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incidental finding of a disc bulge on the July 10, 2009 CT scan is the primary basis of the defendant's submissions regarding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Dr. Dommisse was of the opinion that the disc protrusion was not caused by the accident. Dr. Dhawan did not disagree with Dr. Dommisse and stated that he did not have enough evidence to come to an informed opinion regarding the onset of the disc protrusion. Both doctors gave the opinion that the protrusion was not of significance. Dr. Dommisse said that it was a finding that was not clinically significant, and Dr. Dhawan characterised it as an incidental finding.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Dr. Villasenor was of the opinion that the disc protrusion was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 prefer the evidence of Dr. Dhawan. He saw Mr. Lampkin on ten occasions over almost four years, both for assessments and for treatment. I rely on his opinion, based on his experience and knowledge, that the injuries suffered by Mr. Lampkin are predominantly "the soft tissue injuries in the cervical and lumbosacral spine which have been the symptoms significantly present since the day of the accident and persistent ever since and which are the disabling symptoms despite treatment." He described the pain, and Dr. Villasenor concurred, as being facet-mediated pain which refers to other parts of the body.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Dr. Dommisse diagnosed the injury as a Grade II strain of the cervical and thoracolumbar spine. This diagnosis is consistent with that of Dr. Dhawan and Dr. Villasenor.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Drs. Villasenor, Dhawan and Dommisse all were of the opinion that the accident was the cause of the injury to the neck and low back. There is no evidence of symptomology prior to the accident. I conclude that causation of the injury to the cervical and thoracolumbar spine was the accident of January 29,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With regard to the neck injury, Mr. Lampkin's range of motion in his neck had returned to normal within one month of the accident, as documented by Dr. Villasenor on March 19, 2009. Dr. Villasenor confirmed the neck was "clear" in the CL19 form dated July 7, 2009. When Mr. Lampkin returned to see Dr. Villasenor seven months later he noted the neck was improved. However, there are complaints of neck pain again after April 11, 2011. Dr. Dhawan noted in his August 9, 2012 report that the injury to the cervical spine is the most disabling. By the report of May 26, 2015, the cervical or neck injuries were a lot better, and the lumbar area was of the most concern.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As Dr. Dhawan described in his testimony, the area of predominant manifestation of pain, whether lower back or neck, has often been linked to the work done at that time by Mr. Lampkin. If he is using his low back, that is the area most symptomatic. Dr. Dhawan also said that when an injured area is being used, it takes longer to recover.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first reference to upper back spasms was on April 11, 2011. After the date of the accident the first recorded complaint of shoulder pain was on July 20, 2010. These areas, the upper back or thoracic spine, and shoulder, are not the subject of major complaint or specific diagnosis but Dr. Villasenor included thoracic pain in his second report. The intermittent headaches are related to the neck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Mr. Lampkin's complaints of insomnia are sporadic. As he explained to Dr. Dhawan on June 12, 2012, the insomnia is not due to pain but to stress. I do not attribute its cause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Mr. Lampkin has improved since the accident. Many of the medical reports note improvement. Examples are contained in the reports of: Dr. Dhawan in June 2011, July 2012 and May 2015; Dr. Villasenor in 2013: and Dr. Dommisse in July 2012. I conclude on all the evidence that the injuries were most disabling for the first six months, and then from two years post- accident indicated continued improvement . Six years post-accident Mr. Lampkin was not expected to improve further from daily low-back pain, and anticipated long-term pain in the neck and lower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On all of the evidence, I am satisfied that the cause of the ongoing disability is the accident.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3. 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Prior to the accident, Mr. Lampkin identified with his physical abilities and being a hard worker. Having grown up in an impoverished environment with limited education, Mr. Lampkin's physical strength was always something that he could rely on. It was his source of pride because it was the basis on which he supported himself and his family from a young 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Ms. Rouse described that prior to the accident, Mr. Lampkin was a "hands on" father. He also did most of the household duties including vacuuming, cooking and cleaning. Ms. Rouse described Mr. Lampkin as being a very strong, active and energetic person. As a couple, they enjoyed attending festivals, barbequing at the beach and listening to music.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Mr. Lampkin also enjoyed recreational activities such as basketball, soccer, and playing dominos with his friends from the West Indies.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Most of all, Mr. Lampkin enjoyed playing cricket. Having grown up playing cricket competitively in St. Vincent, Mr. Lampkin continued to play competitively when he moved to Canada. This was a very important aspect of Mr. Lampkin's life and was a way for him to stay connected to his culture. He was a talented player and was the first bowler for his team, the Windies.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Following the accident, Mr. Lampkin attempted to resume playing cricket but found that it aggravated his injuries and that he was unable to play at the same level. He has not played cricket since 2009. Mr. McNeil concluded that he was able to play, but Mr. Lampkin's experience has been that it causes too much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Ms. Rouse testified that Mr. Lampkin just is not the same person anymore and that he is much more irritable than he used to be. With respect to his function, she notes that he moves at a much slower pace than he used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Mr. Lampkin is in pain on a daily basis. He performs work, which consistently aggravates his injuries. He is exhausted by the end of the day. He feels guilty that he does not have the energy to play with his 10-year-old son, Lexxus, or help with the care of his infant son, Nathaniel. Mr. Lampkin's injuries have had a significant effect on the quality of his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I substantially agree with the application by Mr. Lampkin of the factors as set out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I accept the following facts with respect to these factors:</w:t>
      </w:r>
      <w:r>
        <w:rPr>
          <w:rFonts w:ascii="arial" w:eastAsia="arial" w:hAnsi="arial" w:cs="arial"/>
          <w:sz w:val="20"/>
          <w:lang w:val="en-US" w:eastAsia="en-US" w:bidi="ar-SA"/>
        </w:rPr>
        <w:cr/>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Age of the Plaintiff</w:t>
      </w:r>
      <w:r>
        <w:rPr>
          <w:rFonts w:ascii="arial" w:eastAsia="arial" w:hAnsi="arial" w:cs="arial"/>
          <w:color w:val="000000"/>
          <w:sz w:val="20"/>
          <w:lang w:val="en-US" w:eastAsia="en-US" w:bidi="ar-SA"/>
        </w:rPr>
        <w:t>: Mr. Lampkin is currently 46 years old. Both he and his wife are involved in raising their two children, Lexxus and Nathaniel. Prior to the accident, Mr. Lampkin enjoyed taking Lexxus to the park and playing soccer with him. As a family, they enjoyed going to the beach for barbeques and attending festivals. A great deal of this enjoyment has not been possible since the accident. Given his age, Mr. Lampkin has less opportunity to heal or find alternative ways to enjoy recreational activities.</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Nature of the Injury</w:t>
      </w:r>
      <w:r>
        <w:rPr>
          <w:rFonts w:ascii="arial" w:eastAsia="arial" w:hAnsi="arial" w:cs="arial"/>
          <w:color w:val="000000"/>
          <w:sz w:val="20"/>
          <w:lang w:val="en-US" w:eastAsia="en-US" w:bidi="ar-SA"/>
        </w:rPr>
        <w:t>: Mr. Lampkin has been experiencing pain primarily in his neck and back for over 6 years. He reported those and other injuries immediately following the accident, and he continues to experience them although in lesser degrees. The pain affects his work and his day-to-day activities including driving, playing sports and playing with his children. At the end of a work day, Mr. Lampkin's injuries are aggravated leaving him with little energy or patience to pursue his usual after work activities.</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Severity and duration of the pain</w:t>
      </w:r>
      <w:r>
        <w:rPr>
          <w:rFonts w:ascii="arial" w:eastAsia="arial" w:hAnsi="arial" w:cs="arial"/>
          <w:color w:val="000000"/>
          <w:sz w:val="20"/>
          <w:lang w:val="en-US" w:eastAsia="en-US" w:bidi="ar-SA"/>
        </w:rPr>
        <w:t>: Mr. Lampkin's injuries tend to vary depending on his activities. When he has had time to rest, the severity of his pain is manageable. However, after a work day, Mr. Lampkin requires pain medication to manage the pain. His symptoms are focused in his neck and back. The medical evidence supports that, in particular, Mr. Lampkin's low-back symptoms are unlikely to resolve.</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Disability</w:t>
      </w:r>
      <w:r>
        <w:rPr>
          <w:rFonts w:ascii="arial" w:eastAsia="arial" w:hAnsi="arial" w:cs="arial"/>
          <w:color w:val="000000"/>
          <w:sz w:val="20"/>
          <w:lang w:val="en-US" w:eastAsia="en-US" w:bidi="ar-SA"/>
        </w:rPr>
        <w:t>: Mr. Lampkin is partially restricted in many of his activities and has not been able to return to cricket. He is careful not to aggravate his neck or back. He now takes much longer to do things than he used to and is frustrated by his lack of energy.</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Emotional suffering</w:t>
      </w:r>
      <w:r>
        <w:rPr>
          <w:rFonts w:ascii="arial" w:eastAsia="arial" w:hAnsi="arial" w:cs="arial"/>
          <w:color w:val="000000"/>
          <w:sz w:val="20"/>
          <w:lang w:val="en-US" w:eastAsia="en-US" w:bidi="ar-SA"/>
        </w:rPr>
        <w:t>: There is no doubt that Mr. Lampkin is clearly frustrated by his injuries. Ms. Rouse explained that Mr. Lampkin is much more irritable than he used to be.</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Impairment of life</w:t>
      </w:r>
      <w:r>
        <w:rPr>
          <w:rFonts w:ascii="arial" w:eastAsia="arial" w:hAnsi="arial" w:cs="arial"/>
          <w:color w:val="000000"/>
          <w:sz w:val="20"/>
          <w:lang w:val="en-US" w:eastAsia="en-US" w:bidi="ar-SA"/>
        </w:rPr>
        <w:t>: Mr. Lampkin no longer plays cricket and is less interested in hobbies such as attending festivals, going to the beach or playing soccer. Doing too much tends to aggravate his symptoms.</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Impairment of family, marital and social relationships</w:t>
      </w:r>
      <w:r>
        <w:rPr>
          <w:rFonts w:ascii="arial" w:eastAsia="arial" w:hAnsi="arial" w:cs="arial"/>
          <w:color w:val="000000"/>
          <w:sz w:val="20"/>
          <w:lang w:val="en-US" w:eastAsia="en-US" w:bidi="ar-SA"/>
        </w:rPr>
        <w:t>: Although Mr. Lampkin and Ms. Rouse have reconciled since the accident, Mr. Rouse has noted a significant change in Mr. Lampkin. He often does not have energy or is in too much pain to play with Lexxus. He is also much more irritable than he used to be.</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Impairment of physical and mental abilities</w:t>
      </w:r>
      <w:r>
        <w:rPr>
          <w:rFonts w:ascii="arial" w:eastAsia="arial" w:hAnsi="arial" w:cs="arial"/>
          <w:color w:val="000000"/>
          <w:sz w:val="20"/>
          <w:lang w:val="en-US" w:eastAsia="en-US" w:bidi="ar-SA"/>
        </w:rPr>
        <w:t>: The injuries to his neck and back have directly impacted his ability to play soccer, basketball and cricket. Mr. Lampkin used to enjoy staying active but is now concerned that these activities will aggravate his symptoms.</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Loss of lifestyle</w:t>
      </w:r>
      <w:r>
        <w:rPr>
          <w:rFonts w:ascii="arial" w:eastAsia="arial" w:hAnsi="arial" w:cs="arial"/>
          <w:color w:val="000000"/>
          <w:sz w:val="20"/>
          <w:lang w:val="en-US" w:eastAsia="en-US" w:bidi="ar-SA"/>
        </w:rPr>
        <w:t>: Mr. Lampkin and Ms. Rouse were carefree people. They now have to deal with their continued loss of income, particularly with raising a young family. Mr. Lampkin is also worried about his ability to partake in his sons' lives and wants to be able to play sports with them.</w:t>
      </w:r>
    </w:p>
    <w:p>
      <w:pPr>
        <w:numPr>
          <w:numId w:val="4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The plaintiff's stoicism</w:t>
      </w:r>
      <w:r>
        <w:rPr>
          <w:rFonts w:ascii="arial" w:eastAsia="arial" w:hAnsi="arial" w:cs="arial"/>
          <w:color w:val="000000"/>
          <w:sz w:val="20"/>
          <w:lang w:val="en-US" w:eastAsia="en-US" w:bidi="ar-SA"/>
        </w:rPr>
        <w:t>: Mr. Lampkin is resilient and hardworking. He takes pride in his ability to provide for his family and his skills. Despite the continued pain, Mr. Lampkin has continued to work in physical jobs, working as many as seven days per week. He was fortunate to have two employers in landscaping who made accommodations to assist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The plaintiff submits that an appropriate award in this case would be $85,000 for non-pecuniary damages. He relies on </w:t>
      </w:r>
      <w:r>
        <w:rPr>
          <w:rFonts w:ascii="arial" w:eastAsia="arial" w:hAnsi="arial" w:cs="arial"/>
          <w:i/>
          <w:color w:val="000000"/>
          <w:sz w:val="20"/>
          <w:lang w:val="en-US" w:eastAsia="en-US" w:bidi="ar-SA"/>
        </w:rPr>
        <w:t>MacKenzie v. Rogalasky</w:t>
      </w:r>
      <w:r>
        <w:rPr>
          <w:rFonts w:ascii="arial" w:eastAsia="arial" w:hAnsi="arial" w:cs="arial"/>
          <w:color w:val="000000"/>
          <w:sz w:val="20"/>
          <w:lang w:val="en-US" w:eastAsia="en-US" w:bidi="ar-SA"/>
        </w:rPr>
        <w:t xml:space="preserve">, </w:t>
      </w:r>
      <w:hyperlink r:id="rId355" w:history="1">
        <w:r>
          <w:rPr>
            <w:rFonts w:ascii="arial" w:eastAsia="arial" w:hAnsi="arial" w:cs="arial"/>
            <w:i/>
            <w:color w:val="0077CC"/>
            <w:sz w:val="20"/>
            <w:u w:val="single"/>
            <w:shd w:val="clear" w:color="auto" w:fill="FFFFFF"/>
            <w:lang w:val="en-US" w:eastAsia="en-US" w:bidi="ar-SA"/>
          </w:rPr>
          <w:t>2011 BCSC 54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Davidge v. Fairholm</w:t>
      </w:r>
      <w:r>
        <w:rPr>
          <w:rFonts w:ascii="arial" w:eastAsia="arial" w:hAnsi="arial" w:cs="arial"/>
          <w:color w:val="000000"/>
          <w:sz w:val="20"/>
          <w:lang w:val="en-US" w:eastAsia="en-US" w:bidi="ar-SA"/>
        </w:rPr>
        <w:t xml:space="preserve">, </w:t>
      </w:r>
      <w:hyperlink r:id="rId356" w:history="1">
        <w:r>
          <w:rPr>
            <w:rFonts w:ascii="arial" w:eastAsia="arial" w:hAnsi="arial" w:cs="arial"/>
            <w:i/>
            <w:color w:val="0077CC"/>
            <w:sz w:val="20"/>
            <w:u w:val="single"/>
            <w:shd w:val="clear" w:color="auto" w:fill="FFFFFF"/>
            <w:lang w:val="en-US" w:eastAsia="en-US" w:bidi="ar-SA"/>
          </w:rPr>
          <w:t>2014 BCSC 1948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Kuras v. Repo</w:t>
      </w:r>
      <w:r>
        <w:rPr>
          <w:rFonts w:ascii="arial" w:eastAsia="arial" w:hAnsi="arial" w:cs="arial"/>
          <w:color w:val="000000"/>
          <w:sz w:val="20"/>
          <w:lang w:val="en-US" w:eastAsia="en-US" w:bidi="ar-SA"/>
        </w:rPr>
        <w:t xml:space="preserve">, </w:t>
      </w:r>
      <w:hyperlink r:id="rId357" w:history="1">
        <w:r>
          <w:rPr>
            <w:rFonts w:ascii="arial" w:eastAsia="arial" w:hAnsi="arial" w:cs="arial"/>
            <w:i/>
            <w:color w:val="0077CC"/>
            <w:sz w:val="20"/>
            <w:u w:val="single"/>
            <w:shd w:val="clear" w:color="auto" w:fill="FFFFFF"/>
            <w:lang w:val="en-US" w:eastAsia="en-US" w:bidi="ar-SA"/>
          </w:rPr>
          <w:t>2014 BCSC 1634</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MacAulay v. Field</w:t>
      </w:r>
      <w:r>
        <w:rPr>
          <w:rFonts w:ascii="arial" w:eastAsia="arial" w:hAnsi="arial" w:cs="arial"/>
          <w:color w:val="000000"/>
          <w:sz w:val="20"/>
          <w:lang w:val="en-US" w:eastAsia="en-US" w:bidi="ar-SA"/>
        </w:rPr>
        <w:t xml:space="preserve">, </w:t>
      </w:r>
      <w:hyperlink r:id="rId358" w:history="1">
        <w:r>
          <w:rPr>
            <w:rFonts w:ascii="arial" w:eastAsia="arial" w:hAnsi="arial" w:cs="arial"/>
            <w:i/>
            <w:color w:val="0077CC"/>
            <w:sz w:val="20"/>
            <w:u w:val="single"/>
            <w:shd w:val="clear" w:color="auto" w:fill="FFFFFF"/>
            <w:lang w:val="en-US" w:eastAsia="en-US" w:bidi="ar-SA"/>
          </w:rPr>
          <w:t>2014 BCSC 937</w:t>
        </w:r>
      </w:hyperlink>
      <w:r>
        <w:rPr>
          <w:rFonts w:ascii="arial" w:eastAsia="arial" w:hAnsi="arial" w:cs="arial"/>
          <w:color w:val="000000"/>
          <w:sz w:val="20"/>
          <w:lang w:val="en-US" w:eastAsia="en-US" w:bidi="ar-SA"/>
        </w:rPr>
        <w:t xml:space="preserve">. The defendant states that an appropriate award under this head of damage would be $30,000-$40,000. He cites </w:t>
      </w:r>
      <w:r>
        <w:rPr>
          <w:rFonts w:ascii="arial" w:eastAsia="arial" w:hAnsi="arial" w:cs="arial"/>
          <w:i/>
          <w:color w:val="000000"/>
          <w:sz w:val="20"/>
          <w:lang w:val="en-US" w:eastAsia="en-US" w:bidi="ar-SA"/>
        </w:rPr>
        <w:t>Rabiee v Rendleman</w:t>
      </w:r>
      <w:r>
        <w:rPr>
          <w:rFonts w:ascii="arial" w:eastAsia="arial" w:hAnsi="arial" w:cs="arial"/>
          <w:color w:val="000000"/>
          <w:sz w:val="20"/>
          <w:lang w:val="en-US" w:eastAsia="en-US" w:bidi="ar-SA"/>
        </w:rPr>
        <w:t xml:space="preserve">, </w:t>
      </w:r>
      <w:hyperlink r:id="rId359" w:history="1">
        <w:r>
          <w:rPr>
            <w:rFonts w:ascii="arial" w:eastAsia="arial" w:hAnsi="arial" w:cs="arial"/>
            <w:i/>
            <w:color w:val="0077CC"/>
            <w:sz w:val="20"/>
            <w:u w:val="single"/>
            <w:shd w:val="clear" w:color="auto" w:fill="FFFFFF"/>
            <w:lang w:val="en-US" w:eastAsia="en-US" w:bidi="ar-SA"/>
          </w:rPr>
          <w:t>2015 BCSC 595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St. Germain v. Jemmott</w:t>
      </w:r>
      <w:r>
        <w:rPr>
          <w:rFonts w:ascii="arial" w:eastAsia="arial" w:hAnsi="arial" w:cs="arial"/>
          <w:color w:val="000000"/>
          <w:sz w:val="20"/>
          <w:lang w:val="en-US" w:eastAsia="en-US" w:bidi="ar-SA"/>
        </w:rPr>
        <w:t xml:space="preserve">, </w:t>
      </w:r>
      <w:hyperlink r:id="rId360" w:history="1">
        <w:r>
          <w:rPr>
            <w:rFonts w:ascii="arial" w:eastAsia="arial" w:hAnsi="arial" w:cs="arial"/>
            <w:i/>
            <w:color w:val="0077CC"/>
            <w:sz w:val="20"/>
            <w:u w:val="single"/>
            <w:shd w:val="clear" w:color="auto" w:fill="FFFFFF"/>
            <w:lang w:val="en-US" w:eastAsia="en-US" w:bidi="ar-SA"/>
          </w:rPr>
          <w:t>2012 BCSC 1041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Maltese v. Pratap</w:t>
      </w:r>
      <w:r>
        <w:rPr>
          <w:rFonts w:ascii="arial" w:eastAsia="arial" w:hAnsi="arial" w:cs="arial"/>
          <w:color w:val="000000"/>
          <w:sz w:val="20"/>
          <w:lang w:val="en-US" w:eastAsia="en-US" w:bidi="ar-SA"/>
        </w:rPr>
        <w:t xml:space="preserve">, </w:t>
      </w:r>
      <w:hyperlink r:id="rId361" w:history="1">
        <w:r>
          <w:rPr>
            <w:rFonts w:ascii="arial" w:eastAsia="arial" w:hAnsi="arial" w:cs="arial"/>
            <w:i/>
            <w:color w:val="0077CC"/>
            <w:sz w:val="20"/>
            <w:u w:val="single"/>
            <w:shd w:val="clear" w:color="auto" w:fill="FFFFFF"/>
            <w:lang w:val="en-US" w:eastAsia="en-US" w:bidi="ar-SA"/>
          </w:rPr>
          <w:t>2014 BCSC 18</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Zajaczkowski v. Grauer</w:t>
      </w:r>
      <w:r>
        <w:rPr>
          <w:rFonts w:ascii="arial" w:eastAsia="arial" w:hAnsi="arial" w:cs="arial"/>
          <w:color w:val="000000"/>
          <w:sz w:val="20"/>
          <w:lang w:val="en-US" w:eastAsia="en-US" w:bidi="ar-SA"/>
        </w:rPr>
        <w:t xml:space="preserve">, </w:t>
      </w:r>
      <w:hyperlink r:id="rId362" w:history="1">
        <w:r>
          <w:rPr>
            <w:rFonts w:ascii="arial" w:eastAsia="arial" w:hAnsi="arial" w:cs="arial"/>
            <w:i/>
            <w:color w:val="0077CC"/>
            <w:sz w:val="20"/>
            <w:u w:val="single"/>
            <w:shd w:val="clear" w:color="auto" w:fill="FFFFFF"/>
            <w:lang w:val="en-US" w:eastAsia="en-US" w:bidi="ar-SA"/>
          </w:rPr>
          <w:t>2014 BCSC 711</w:t>
        </w:r>
      </w:hyperlink>
      <w:r>
        <w:rPr>
          <w:rFonts w:ascii="arial" w:eastAsia="arial" w:hAnsi="arial" w:cs="arial"/>
          <w:color w:val="000000"/>
          <w:sz w:val="20"/>
          <w:lang w:val="en-US" w:eastAsia="en-US" w:bidi="ar-SA"/>
        </w:rPr>
        <w:t xml:space="preserve">, aff'd </w:t>
      </w:r>
      <w:hyperlink r:id="rId363" w:history="1">
        <w:r>
          <w:rPr>
            <w:rFonts w:ascii="arial" w:eastAsia="arial" w:hAnsi="arial" w:cs="arial"/>
            <w:i/>
            <w:color w:val="0077CC"/>
            <w:sz w:val="20"/>
            <w:u w:val="single"/>
            <w:shd w:val="clear" w:color="auto" w:fill="FFFFFF"/>
            <w:lang w:val="en-US" w:eastAsia="en-US" w:bidi="ar-SA"/>
          </w:rPr>
          <w:t>2016 BCCA 48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MacKenzie</w:t>
      </w:r>
      <w:r>
        <w:rPr>
          <w:rFonts w:ascii="arial" w:eastAsia="arial" w:hAnsi="arial" w:cs="arial"/>
          <w:color w:val="000000"/>
          <w:sz w:val="20"/>
          <w:lang w:val="en-US" w:eastAsia="en-US" w:bidi="ar-SA"/>
        </w:rPr>
        <w:t>, the plaintiff sustained soft tissue injuries to his neck, shoulders, mid and lower back that resulted in chronic pain. The trial was seven years after the accident and the plaintiff was still experiencing pain in his lower back and occasional pain in his neck and shoulders. The judge found that the plaintiff had developed chronic myofascial pain syndrome and had a partial permanent disability. He was not able to continue in his profession as a chef or engage in other pursuits such as motorcycling, snowboarding and mountain biking. In that case the plaintiff was awarded $100,000.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Davidge</w:t>
      </w:r>
      <w:r>
        <w:rPr>
          <w:rFonts w:ascii="arial" w:eastAsia="arial" w:hAnsi="arial" w:cs="arial"/>
          <w:color w:val="000000"/>
          <w:sz w:val="20"/>
          <w:lang w:val="en-US" w:eastAsia="en-US" w:bidi="ar-SA"/>
        </w:rPr>
        <w:t>, the plaintiff, in his early twenties at the time of the accident, suffered injuries to his neck and lower pain as the result of a rear-end collision. The plaintiff, like the plaintiff in this case, had a very physical job working in the oil fields in Alberta. He returned to work after the accident but eventually had to stop working in that area because of his symptoms and instead found work in the railway industry. He was also an avid fisherman and hunter prior to the accident and these pursuits were limited by his pain. It was found that his chronic pain would impact all areas of his daily life and he was awarded $90,000.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Kuras</w:t>
      </w:r>
      <w:r>
        <w:rPr>
          <w:rFonts w:ascii="arial" w:eastAsia="arial" w:hAnsi="arial" w:cs="arial"/>
          <w:color w:val="000000"/>
          <w:sz w:val="20"/>
          <w:lang w:val="en-US" w:eastAsia="en-US" w:bidi="ar-SA"/>
        </w:rPr>
        <w:t>, the 31-year-old plaintiff suffered soft tissue injuries to her neck, upper and lower back and headaches as the result of a rear-end collision. Prior to the accident, the plaintiff was very active running, cycling and hiking. Her symptoms affected her ability to cycle and run as well as lifting her two-year-old daughter. In addition, it was found that limiting her ability to exercise also affected her emotional well-being. She was awarded $80,000.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MacAulay</w:t>
      </w:r>
      <w:r>
        <w:rPr>
          <w:rFonts w:ascii="arial" w:eastAsia="arial" w:hAnsi="arial" w:cs="arial"/>
          <w:color w:val="000000"/>
          <w:sz w:val="20"/>
          <w:lang w:val="en-US" w:eastAsia="en-US" w:bidi="ar-SA"/>
        </w:rPr>
        <w:t>, the plaintiff was 47 years old at the time of the accident and sustained soft tissue injuries to her neck and back. She also suffered headaches which had reduced in frequency by the date of the trial. The plaintiff was unable to do physically-demanding recreational activities, gardening and household chores after the accident. While it was a main issue in this case how much pre-accident injuries affected the plaintiff, the trial judge found that her symptoms were not disabling or limiting before the accident. The plaintiff was awarded $75,000.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Rabiee</w:t>
      </w:r>
      <w:r>
        <w:rPr>
          <w:rFonts w:ascii="arial" w:eastAsia="arial" w:hAnsi="arial" w:cs="arial"/>
          <w:color w:val="000000"/>
          <w:sz w:val="20"/>
          <w:lang w:val="en-US" w:eastAsia="en-US" w:bidi="ar-SA"/>
        </w:rPr>
        <w:t>, the 44-year-old plaintiff was in a rear-end collision and suffered neck and lower back pain. However, in this case the trial judge found that other stressors in her life contributed to the development of new symptoms and the continuation of the symptoms from the accident. The plaintiff also did not attend physiotherapy in a timely manner. It is noteworthy in this case that her lingering pain was found not to affect her ability to work. The plaintiff was awarded $40,000, reduced by 5% for 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 Germain</w:t>
      </w:r>
      <w:r>
        <w:rPr>
          <w:rFonts w:ascii="arial" w:eastAsia="arial" w:hAnsi="arial" w:cs="arial"/>
          <w:color w:val="000000"/>
          <w:sz w:val="20"/>
          <w:lang w:val="en-US" w:eastAsia="en-US" w:bidi="ar-SA"/>
        </w:rPr>
        <w:t>, the plaintiff suffered from low back pain as the result of a collision with a runaway van at a gas station. The plaintiff was 31 years old at the time of the accident. The trial judge found that there was little medical evidence to support a link between her migraines and lower back pain as well as an overall lack of objective evidence with respect to the plaintiff's symptoms. While the plaintiff attributed other pain to the accident, the trial judge found that only was lower back pain could be attributed to the accident. She was awarded $35,000.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Maltese</w:t>
      </w:r>
      <w:r>
        <w:rPr>
          <w:rFonts w:ascii="arial" w:eastAsia="arial" w:hAnsi="arial" w:cs="arial"/>
          <w:color w:val="000000"/>
          <w:sz w:val="20"/>
          <w:lang w:val="en-US" w:eastAsia="en-US" w:bidi="ar-SA"/>
        </w:rPr>
        <w:t>, the 44-year-old plaintiff suffered neck and lower back pain that persisted as well as headaches, leg and shoulder pain, and psychological symptoms that had resolved prior to the trial. There was a period of time where the plaintiff was not able to play hockey and golf although he was able to return to those activities in a modified capacity. He was off work for seven months and also changed jobs after the accident. The plaintiff was awarded $40,000 before a 30% reduction for 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Zajaczkowski</w:t>
      </w:r>
      <w:r>
        <w:rPr>
          <w:rFonts w:ascii="arial" w:eastAsia="arial" w:hAnsi="arial" w:cs="arial"/>
          <w:color w:val="000000"/>
          <w:sz w:val="20"/>
          <w:lang w:val="en-US" w:eastAsia="en-US" w:bidi="ar-SA"/>
        </w:rPr>
        <w:t>, the plaintiff was involved in a rear-end collision and suffered injury to his lower back. A central issue in this case was the credibility of the plaintiff. The trial judge found that there was low back pain but it was not as debilitating as the plaintiff suggested. The plaintiff, who worked as a contractor, did not have any income interruption as a result of the accident. The plaintiff was awarded $40,000.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I find that the cases relied on by the defendant all have injuries that are less severe and with less debilitating and disabling effects on the respective plaintiffs. In </w:t>
      </w:r>
      <w:r>
        <w:rPr>
          <w:rFonts w:ascii="arial" w:eastAsia="arial" w:hAnsi="arial" w:cs="arial"/>
          <w:i/>
          <w:color w:val="000000"/>
          <w:sz w:val="20"/>
          <w:lang w:val="en-US" w:eastAsia="en-US" w:bidi="ar-SA"/>
        </w:rPr>
        <w:t>Maltese</w:t>
      </w:r>
      <w:r>
        <w:rPr>
          <w:rFonts w:ascii="arial" w:eastAsia="arial" w:hAnsi="arial" w:cs="arial"/>
          <w:color w:val="000000"/>
          <w:sz w:val="20"/>
          <w:lang w:val="en-US" w:eastAsia="en-US" w:bidi="ar-SA"/>
        </w:rPr>
        <w:t>, arguably the most severe of the cases relied on by the defendant, the plaintiff was off work for a period of time but he was able to continue to earn money in a new position and return to his recreational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It is necessary to consider each case individually and I find that all of the cases relied on by the plaintiff have important differences with the plaintiff's circumstances here. However, I find that those cases are informative for circumstances where the plaintiff has somewhat similar injuries and is limited to varying degrees in both their jobs and recreational pursuits. Mr. Lampkin is no longer able to perform the heavy tasks that he has relied upon to learn a living. In addition, he had excelled in cricket for his entire life and is no longer able to play this sport that was central to his identity both in St. Vincent and Canada. Considering all of the factors, I find that an appropriate award for non-pecuniary damages is $75,000.</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4. 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 defendant submits that Mr. Lampkin has failed to mitigate his damages by not pursuing a more rigorous course of physiotherapy and active rehabilitation. The plaintiff says that each plaintiff must be viewed in the context of his own personal circumstances. The question is whether this particular plaintiff acted reasonably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A succinct summary of the law as it pertains to the duty to mitigate was set out by Madam Justice Dickson in </w:t>
      </w:r>
      <w:r>
        <w:rPr>
          <w:rFonts w:ascii="arial" w:eastAsia="arial" w:hAnsi="arial" w:cs="arial"/>
          <w:i/>
          <w:color w:val="000000"/>
          <w:sz w:val="20"/>
          <w:lang w:val="en-US" w:eastAsia="en-US" w:bidi="ar-SA"/>
        </w:rPr>
        <w:t>Gilbert v. Bottle</w:t>
      </w:r>
      <w:r>
        <w:rPr>
          <w:rFonts w:ascii="arial" w:eastAsia="arial" w:hAnsi="arial" w:cs="arial"/>
          <w:color w:val="000000"/>
          <w:sz w:val="20"/>
          <w:lang w:val="en-US" w:eastAsia="en-US" w:bidi="ar-SA"/>
        </w:rPr>
        <w:t xml:space="preserve">, </w:t>
      </w:r>
      <w:hyperlink r:id="rId133" w:history="1">
        <w:r>
          <w:rPr>
            <w:rFonts w:ascii="arial" w:eastAsia="arial" w:hAnsi="arial" w:cs="arial"/>
            <w:i/>
            <w:color w:val="0077CC"/>
            <w:sz w:val="20"/>
            <w:u w:val="single"/>
            <w:shd w:val="clear" w:color="auto" w:fill="FFFFFF"/>
            <w:lang w:val="en-US" w:eastAsia="en-US" w:bidi="ar-SA"/>
          </w:rPr>
          <w:t>2011 BCSC 1389</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 The plaintiff has a positive duty to mitigate by taking all reasonable measures to reduce loss and damages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This duty includes an obligation to undertake reasonably available treatment that would assist in alleviating or curing his or her injuries. The principle of mitigation is based on the general proposition that a defendant should not be held liable for loss and damages the plaintiff could have reasonably avoided: </w:t>
      </w:r>
      <w:r>
        <w:rPr>
          <w:rFonts w:ascii="arial" w:eastAsia="arial" w:hAnsi="arial" w:cs="arial"/>
          <w:i/>
          <w:color w:val="000000"/>
          <w:sz w:val="20"/>
          <w:lang w:val="en-US" w:eastAsia="en-US" w:bidi="ar-SA"/>
        </w:rPr>
        <w:t>Janiak v. Ippolito</w:t>
      </w:r>
      <w:r>
        <w:rPr>
          <w:rFonts w:ascii="arial" w:eastAsia="arial" w:hAnsi="arial" w:cs="arial"/>
          <w:color w:val="000000"/>
          <w:sz w:val="20"/>
          <w:lang w:val="en-US" w:eastAsia="en-US" w:bidi="ar-SA"/>
        </w:rPr>
        <w:t xml:space="preserve">, </w:t>
      </w:r>
      <w:hyperlink r:id="rId364" w:history="1">
        <w:r>
          <w:rPr>
            <w:rFonts w:ascii="arial" w:eastAsia="arial" w:hAnsi="arial" w:cs="arial"/>
            <w:i/>
            <w:color w:val="0077CC"/>
            <w:sz w:val="20"/>
            <w:u w:val="single"/>
            <w:shd w:val="clear" w:color="auto" w:fill="FFFFFF"/>
            <w:lang w:val="en-US" w:eastAsia="en-US" w:bidi="ar-SA"/>
          </w:rPr>
          <w:t>[1985] 1 S.C.R. 146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Danicek v. Alexander Holburn Beaudin &amp; Lang</w:t>
      </w:r>
      <w:r>
        <w:rPr>
          <w:rFonts w:ascii="arial" w:eastAsia="arial" w:hAnsi="arial" w:cs="arial"/>
          <w:color w:val="000000"/>
          <w:sz w:val="20"/>
          <w:lang w:val="en-US" w:eastAsia="en-US" w:bidi="ar-SA"/>
        </w:rPr>
        <w:t xml:space="preserve">, </w:t>
      </w:r>
      <w:hyperlink r:id="rId365" w:history="1">
        <w:r>
          <w:rPr>
            <w:rFonts w:ascii="arial" w:eastAsia="arial" w:hAnsi="arial" w:cs="arial"/>
            <w:i/>
            <w:color w:val="0077CC"/>
            <w:sz w:val="20"/>
            <w:u w:val="single"/>
            <w:shd w:val="clear" w:color="auto" w:fill="FFFFFF"/>
            <w:lang w:val="en-US" w:eastAsia="en-US" w:bidi="ar-SA"/>
          </w:rPr>
          <w:t>2010 BCSC 1111</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[202] Once a plaintiff has established that the defendant is liable for causing his or her injuries, the burden of proof shifts to the defendant. To succeed on a mitigation defence, the defence must prove that the plaintiff acted unreasonably and reasonable conduct would have reduced or eliminated the loss. Whether the plaintiff acted reasonably is a factual question. Its answer depends on consideration of all of the surrounding circumstances: </w:t>
      </w:r>
      <w:r>
        <w:rPr>
          <w:rFonts w:ascii="arial" w:eastAsia="arial" w:hAnsi="arial" w:cs="arial"/>
          <w:i/>
          <w:color w:val="000000"/>
          <w:sz w:val="20"/>
          <w:lang w:val="en-US" w:eastAsia="en-US" w:bidi="ar-SA"/>
        </w:rPr>
        <w:t>Byron v. Larson</w:t>
      </w:r>
      <w:r>
        <w:rPr>
          <w:rFonts w:ascii="arial" w:eastAsia="arial" w:hAnsi="arial" w:cs="arial"/>
          <w:color w:val="000000"/>
          <w:sz w:val="20"/>
          <w:lang w:val="en-US" w:eastAsia="en-US" w:bidi="ar-SA"/>
        </w:rPr>
        <w:t xml:space="preserve">, </w:t>
      </w:r>
      <w:hyperlink r:id="rId366" w:history="1">
        <w:r>
          <w:rPr>
            <w:rFonts w:ascii="arial" w:eastAsia="arial" w:hAnsi="arial" w:cs="arial"/>
            <w:i/>
            <w:color w:val="0077CC"/>
            <w:sz w:val="20"/>
            <w:u w:val="single"/>
            <w:shd w:val="clear" w:color="auto" w:fill="FFFFFF"/>
            <w:lang w:val="en-US" w:eastAsia="en-US" w:bidi="ar-SA"/>
          </w:rPr>
          <w:t>2004 ABCA 398</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[203] A relevant circumstance in cases such as this is the plaintiff's personality and condition before and after the accident. The law does not require a plaintiff to do that which cannot be controlled, nor does it require perfection in the pursuit of rehabilitation. In addition, the defendant must take the victim as found, which may affect what is to be reasonably expected. For example, a person who has struggled with life-long obesity may not be expected to lose substantial weight to discharge the duty to mitigate, even though weight loss would assist recovery. What the law requires is that the plaintiff makes contextually reasonable and sincere efforts to limit his or her damages and loss: </w:t>
      </w:r>
      <w:r>
        <w:rPr>
          <w:rFonts w:ascii="arial" w:eastAsia="arial" w:hAnsi="arial" w:cs="arial"/>
          <w:i/>
          <w:color w:val="000000"/>
          <w:sz w:val="20"/>
          <w:lang w:val="en-US" w:eastAsia="en-US" w:bidi="ar-SA"/>
        </w:rPr>
        <w:t>Qiao v. Buckley</w:t>
      </w:r>
      <w:r>
        <w:rPr>
          <w:rFonts w:ascii="arial" w:eastAsia="arial" w:hAnsi="arial" w:cs="arial"/>
          <w:color w:val="000000"/>
          <w:sz w:val="20"/>
          <w:lang w:val="en-US" w:eastAsia="en-US" w:bidi="ar-SA"/>
        </w:rPr>
        <w:t xml:space="preserve">, </w:t>
      </w:r>
      <w:hyperlink r:id="rId367" w:history="1">
        <w:r>
          <w:rPr>
            <w:rFonts w:ascii="arial" w:eastAsia="arial" w:hAnsi="arial" w:cs="arial"/>
            <w:i/>
            <w:color w:val="0077CC"/>
            <w:sz w:val="20"/>
            <w:u w:val="single"/>
            <w:shd w:val="clear" w:color="auto" w:fill="FFFFFF"/>
            <w:lang w:val="en-US" w:eastAsia="en-US" w:bidi="ar-SA"/>
          </w:rPr>
          <w:t>2008 BCSC 1782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Antoniali v. Massey</w:t>
      </w:r>
      <w:r>
        <w:rPr>
          <w:rFonts w:ascii="arial" w:eastAsia="arial" w:hAnsi="arial" w:cs="arial"/>
          <w:color w:val="000000"/>
          <w:sz w:val="20"/>
          <w:lang w:val="en-US" w:eastAsia="en-US" w:bidi="ar-SA"/>
        </w:rPr>
        <w:t xml:space="preserve">, </w:t>
      </w:r>
      <w:hyperlink r:id="rId368" w:history="1">
        <w:r>
          <w:rPr>
            <w:rFonts w:ascii="arial" w:eastAsia="arial" w:hAnsi="arial" w:cs="arial"/>
            <w:i/>
            <w:color w:val="0077CC"/>
            <w:sz w:val="20"/>
            <w:u w:val="single"/>
            <w:shd w:val="clear" w:color="auto" w:fill="FFFFFF"/>
            <w:lang w:val="en-US" w:eastAsia="en-US" w:bidi="ar-SA"/>
          </w:rPr>
          <w:t>2008 BCSC 1085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A number of cases have considered whether the plaintiff has made a contextually reasonable effort to mitigate. In </w:t>
      </w:r>
      <w:r>
        <w:rPr>
          <w:rFonts w:ascii="arial" w:eastAsia="arial" w:hAnsi="arial" w:cs="arial"/>
          <w:i/>
          <w:color w:val="000000"/>
          <w:sz w:val="20"/>
          <w:lang w:val="en-US" w:eastAsia="en-US" w:bidi="ar-SA"/>
        </w:rPr>
        <w:t>Tsalamandris v. MacDonald</w:t>
      </w:r>
      <w:r>
        <w:rPr>
          <w:rFonts w:ascii="arial" w:eastAsia="arial" w:hAnsi="arial" w:cs="arial"/>
          <w:color w:val="000000"/>
          <w:sz w:val="20"/>
          <w:lang w:val="en-US" w:eastAsia="en-US" w:bidi="ar-SA"/>
        </w:rPr>
        <w:t xml:space="preserve">, </w:t>
      </w:r>
      <w:hyperlink r:id="rId369" w:history="1">
        <w:r>
          <w:rPr>
            <w:rFonts w:ascii="arial" w:eastAsia="arial" w:hAnsi="arial" w:cs="arial"/>
            <w:i/>
            <w:color w:val="0077CC"/>
            <w:sz w:val="20"/>
            <w:u w:val="single"/>
            <w:shd w:val="clear" w:color="auto" w:fill="FFFFFF"/>
            <w:lang w:val="en-US" w:eastAsia="en-US" w:bidi="ar-SA"/>
          </w:rPr>
          <w:t>2011 BCSC 1138</w:t>
        </w:r>
      </w:hyperlink>
      <w:r>
        <w:rPr>
          <w:rFonts w:ascii="arial" w:eastAsia="arial" w:hAnsi="arial" w:cs="arial"/>
          <w:color w:val="000000"/>
          <w:sz w:val="20"/>
          <w:lang w:val="en-US" w:eastAsia="en-US" w:bidi="ar-SA"/>
        </w:rPr>
        <w:t xml:space="preserve">, varied on other grounds </w:t>
      </w:r>
      <w:hyperlink r:id="rId130" w:history="1">
        <w:r>
          <w:rPr>
            <w:rFonts w:ascii="arial" w:eastAsia="arial" w:hAnsi="arial" w:cs="arial"/>
            <w:i/>
            <w:color w:val="0077CC"/>
            <w:sz w:val="20"/>
            <w:u w:val="single"/>
            <w:shd w:val="clear" w:color="auto" w:fill="FFFFFF"/>
            <w:lang w:val="en-US" w:eastAsia="en-US" w:bidi="ar-SA"/>
          </w:rPr>
          <w:t>2012 BCCA 239</w:t>
        </w:r>
      </w:hyperlink>
      <w:r>
        <w:rPr>
          <w:rFonts w:ascii="arial" w:eastAsia="arial" w:hAnsi="arial" w:cs="arial"/>
          <w:color w:val="000000"/>
          <w:sz w:val="20"/>
          <w:lang w:val="en-US" w:eastAsia="en-US" w:bidi="ar-SA"/>
        </w:rPr>
        <w:t>, the court held that there was no failure to mitigate when various life circumstances (including pregnancy and caring for small children) prevented the plaintiff from pursuing certain recommended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Rozendaal v. Landingin</w:t>
      </w:r>
      <w:r>
        <w:rPr>
          <w:rFonts w:ascii="arial" w:eastAsia="arial" w:hAnsi="arial" w:cs="arial"/>
          <w:color w:val="000000"/>
          <w:sz w:val="20"/>
          <w:lang w:val="en-US" w:eastAsia="en-US" w:bidi="ar-SA"/>
        </w:rPr>
        <w:t xml:space="preserve">, </w:t>
      </w:r>
      <w:hyperlink r:id="rId370" w:history="1">
        <w:r>
          <w:rPr>
            <w:rFonts w:ascii="arial" w:eastAsia="arial" w:hAnsi="arial" w:cs="arial"/>
            <w:i/>
            <w:color w:val="0077CC"/>
            <w:sz w:val="20"/>
            <w:u w:val="single"/>
            <w:shd w:val="clear" w:color="auto" w:fill="FFFFFF"/>
            <w:lang w:val="en-US" w:eastAsia="en-US" w:bidi="ar-SA"/>
          </w:rPr>
          <w:t>2013 BCSC 24</w:t>
        </w:r>
      </w:hyperlink>
      <w:r>
        <w:rPr>
          <w:rFonts w:ascii="arial" w:eastAsia="arial" w:hAnsi="arial" w:cs="arial"/>
          <w:color w:val="000000"/>
          <w:sz w:val="20"/>
          <w:lang w:val="en-US" w:eastAsia="en-US" w:bidi="ar-SA"/>
        </w:rPr>
        <w:t>, the court accepted that the plaintiff's financial circumstances and her family obligations were a greater priority for her than pursuing physiotherapy treatments that were recommended to her by her family physician.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In order to meet the onus, the defendant must show that the plaintiff acted unreasonably in failing to follow certain recommended treatments and that the treatments would have caused his injuries and losses to be reduced.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Mr. Lampkin initially followed the treatment recommendations of Dr. Villasenor. From March 18, 2009 to June 24, 2009, Mr. Lampkin attended 12 physiotherapy sessions at Port Coquitlam Physiotherapy and Sports Injury Clinic. Mr. Lampkin experienced some improvement through this treatment, such that he was able to attempt a return to work in concrete construction and subsequently in landscaping.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When Mr. Lampkin first joined M&amp;V he earned only $12 per hour. In order to earn a sufficient income to support his son, who was living with him part-time and eventually full-time when Ms. Rouse moved to Ontario in 2010, Mr. Lampkin worked six days per week with M&amp;V and earned additional money on the side by taking jobs through his own company. In addition, Mr. Lampkin had to care for his son when he was not working.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In these circumstances, it is reasonable that Mr. Lampkin found little time to engage in a formal active rehabilitation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The medical expert witnesses each referred to the importance of exercise for Mr. Lampkin. In addition to the active rehab suggested by Dr. Dhawan in June 2011, Dr. Dommisse also recommended an active exercise program in his July 2012 report. Dr. Dhawan again recommended an active rehab program in August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Although Mr. Lampkin testified that his job takes a physical toll on him, and given that it temporarily aggravated his neck and back injuries, it was not reasonable after mid 2013 when he was working at T. Muscone and living with Ms. Rouse that he did not attend active rehabilitation as recommended. Mr. Lampkin did try to find time to engage in a self-directed exercise program based on exercises that were shown to him by the physiotherapist whom he consulted after the accident and Dr. Dhawan, but he did not start active rehabilitation until the end of October 2014 and then only for three sessions. He testified that he preferred to relax with his son after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That active rehabilitation would have reduced the loss is proven by the testimony of Dr. Dommisse. He stated that although 10-15% of patients with soft tissue injuries do not recover, there is a correlation between those 10-15% who do not recover from soft tissue injuries and a lack of active exercise treatment. He emphasized that maintenance of an active rehabilitation program is central to restoring function and those who discontinue relapse. He confirmed the general proposition that an individual is less likely to fall into the 10-15% cohort if he or she completes an active rehabilitation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Dr. Dhawan also said in cross-examination that the purpose of recommending exercises is to achieve lasting improvement of an individual's symptoms. He agreed that active rehabilitation was a more permanent solution when compared to cortisone injections. He agreed with the general principle that the earlier someone attends for active rehabilitation, the better the outcome.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Under the circumstances, and taking into account the efforts Mr. Lampkin did make towards rehabilitation, I find that after mid-2013, he did not satisfy the duty to mitigate. From that time he did not take all contextually reasonable measures. I therefore reduce the award of non-pecuniary damages by 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Past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Mr. Lampkin says that he has suffered income loss in a number of ways since the accident. Following the accident, Mr. Lampkin had a period of totally disability and did not work until approximately May 2009. Thereafter, Mr. Lampkin missed occasional days from work when his injuries became aggravated. Finally, Mr. Lampkin's reduced capacity to work in more physically demanding jobs has resulted in him working in a lower paying occupation.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Mr. Lampkin's past wage loss is complicated by other factors. He was not employed full-time at the time of the accident and it is unclear when he would have begun full-time work. Once he secured full-time work, Mr. Lampkin also missed time from work for other reasons, including days when he had to care for his son during his separation from Ms. Rouse. Finally, Mr. Lampkin also earned income from side jobs, which Mr. Lampkin admits is not well documented.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For simplification, Mr. Lampkin claims a past loss of earning capacity based on the reduced rate of pay he earned resulting from his inability to work heavier jobs. Mr. Lampkin claims no loss from the work he did on the side. Only his actual hours worked for the three employers (M&amp;V, Donnelly and T. Moscone) are used in calculating the loss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Absent the accident, Mr. Lampkin submits that he would have had a number of possible career paths available to him. Those are returning to work as a mechanical insulator, concrete labourer or working as landscaper at full and higher paying capacity. Mr. Lampkin provides the following summary of his past wage loss under these scenarios.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1. Mechanical Insulator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From February 19, 2007 to January 31, 2008, Mr. Lampkin worked at AARC-West as an apprentice. Mr. Schlafen, Mr. Lampkin's supervisor at the time, confirmed that Mr. Lampkin was a hard worker and was able to learn the trade. He confirmed that the apprentice program, including the classroom portion, is hands on and requires little written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Mr. Schlafen's evidence was that there is a path to becoming a journeyman without obtaining certification. He explained that in non-unionized jobs, an individual can obtain journeyman status through work experience and earn journeyman rates. The current rate for a journeyman is $31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Mr. Lampkin estimates his past wage loss based on what his earnings would have been if he had continued to work as a mechanical insulator, using the actual hours worked since the accident, at $127,022.</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075" type="#_x0000_t75" style="width:432.06pt;height:168.02pt">
            <v:imagedata r:id="rId371"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However, I cannot find there was a real and substantial possibility that Mr. Lampkin would have returned to AARC-West to continue with the apprenticeship program as a mechanical insulator with this potential earning stream.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Mr. Lampkin started work for AARC-West on February 19, 2007 in an apprenticeship program. After one year of working for AARC-West there is an academic component to the apprenticeship program. Mr. Lampkin left AARC-West less than one year later, on January 31,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There is no evidence that Mr. Lampkin has attempted to obtain a job with AARC-West at any point since January 31,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It is unlikely that Mr. Lampkin would have been able to complete the academic portion of the apprenticeship. Knowledge of mathematics as well as the English language, including spelling, rules of composition, and grammar are required for the job. Mr. Lampkin admitted at trial that he did not achieve his high school diploma. Further, he struggles with reading, writing, and does not know what algebra is. This is not a criticism, but it prevents him from pursuing this career option. Mr. Schlafen confirmed that the apprenticeship program involves many examinations and quizzes. While some insulators work without a trade certificate, they earn less than those with trade certificates.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In the almost one year between the time he left AARC-West and the date of the accident, Mr. Lampkin took no steps to return to AARC-West or upgrade his schooling. On his return from St. Vincent in late 2008, he decided to go into concrete for reasons that appear to be in part convenience and accessibility, as well as preference.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Mr. Lampkin did not, on the evidence, demonstrate an interest in this career after he left AARC-West in 2008. Further, he does not, on the evidence, have the scholastic ability to complete the apprenticeship.</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2. Concrete Labourer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Prior to the accident, Mr. Lampkin worked as a casual worker for Galaxy Concrete at a rate of $21 per hour. Mr. Lampkin also worked as a casual and on-call concrete laborer for Global Concrete for a short time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Mr. Vieira confirmed that he intended to hire Mr. Lampkin as a regular employee of Global Concrete. When Mr. Lampkin returned to Global Concrete following the accident, it became apparent that he was unable to keep up with the rest of the crew due to his injuries. Mr. Vieira was therefore unable to hire Mr. Lampkin as an employee. He testified that he would hire Mr. Lampkin tomorrow if he was capable of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As the current owner of a concrete company, Mr. Vieira's evidence is that concrete laborers can expect to earn approximately $29 per hour in today's market due to the high demand. He confirmed that Mr. Lampkin's work ethic and prior knowledge of concrete construction made him an excellent candidate for the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The evidence regarding Mr. Lampkin's work ethic on the job was consistent: he is dedicated and a hard-worker.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The table below estimates Mr. Lampkin's past wage loss had he continued to work in his area of preference as a concrete laborer.</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076" type="#_x0000_t75" style="width:432.06pt;height:164.27pt">
            <v:imagedata r:id="rId372"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The defendant submits that Mr. Lampkin's past income award should be an approximation of five months of part-time earnings at $16 per hour -- a mid-point between his full-time starting wage at M&amp;V ($12) and his casual, on-call hourly wage at Global Concrete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Mr. Lampkin testified throughout that concrete work was the work that he loved and that he would be doing if he could. His related work history began in St. Vincent. I accept that evidence. I also accept the evidence of Mr. Lampkin and Mr. Vieira that Mr. Lampkin worked some shifts for Global Concrete after the accident but was unable to do the work. Although it cannot be assumed that absent the accident Mr. Lampkin would have worked full-time for Global Concrete at $20 per hour, Mr. Lampkin likely would have obtained employment with a concrete company based on his 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In assessing past wage loss, the relevant evidence includes that Mr. Lampkin was operating his side business, RL Painting, for "cash jobs". He had not been employed for the year prior to the accident, with the exception of only some casual shifts for Global Concrete where he earned $20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Mr. Lampkin missed many days of work from M&amp;V, Donnelly, and T. Moscone. Not all days missed were as a result of his accident injuries. Childcare and work for RL Painting accounted for a substantial number of the days that he did not work at his landscaping employers.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However, Mr. Lampkin is claiming only for the days that he did work for a landscaping employer and is claiming the difference between the rate of pay for a concrete worker and his reduced landscaping pay.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I am satisfied that Mr. Lampkin has proven that there was a real and substantial possibility that, but for this injury, he would have earned additional income. The quantification of that loss is based on the differential between what he earned in landscaping, and the higher rate of pay that he would have earned in concrete. The number of hours worked remains the same. He is not compensated for the days that he did not attend work at one of the three landscaping employers.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With regard to the table provided by Mr. Lampkin and set out above, I accept the hours worked and actual earnings. However, the estimated rate will be reduced to account for a casual or part-time rate as is often the situation in the industry, rather than full-time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I therefore assess the past income loss at $72,000. With a deduction of 18% for income tax and EI premiums, the net amount is $59,000.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Given the finding that Mr. Lampkin has proven his past wage loss based on earnings lost as a concrete labourer, it is not necessary to set out the past wage loss if he had been employed in landscaping at full physical capacity without the need for accommodations.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Loss of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xml:space="preserve">  The Supreme Court of Canada addressed pecuniary losses in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34"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w:t>
      </w:r>
      <w:hyperlink r:id="rId34" w:history="1">
        <w:r>
          <w:rPr>
            <w:rFonts w:ascii="arial" w:eastAsia="arial" w:hAnsi="arial" w:cs="arial"/>
            <w:i/>
            <w:color w:val="0077CC"/>
            <w:sz w:val="20"/>
            <w:u w:val="single"/>
            <w:shd w:val="clear" w:color="auto" w:fill="FFFFFF"/>
            <w:lang w:val="en-US" w:eastAsia="en-US" w:bidi="ar-SA"/>
          </w:rPr>
          <w:t>83 D.L.R. (3d) 452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Thornton v. School Dist. No. 57 (Prince George)</w:t>
      </w:r>
      <w:r>
        <w:rPr>
          <w:rFonts w:ascii="arial" w:eastAsia="arial" w:hAnsi="arial" w:cs="arial"/>
          <w:color w:val="000000"/>
          <w:sz w:val="20"/>
          <w:lang w:val="en-US" w:eastAsia="en-US" w:bidi="ar-SA"/>
        </w:rPr>
        <w:t xml:space="preserve">, </w:t>
      </w:r>
      <w:hyperlink r:id="rId373" w:history="1">
        <w:r>
          <w:rPr>
            <w:rFonts w:ascii="arial" w:eastAsia="arial" w:hAnsi="arial" w:cs="arial"/>
            <w:i/>
            <w:color w:val="0077CC"/>
            <w:sz w:val="20"/>
            <w:u w:val="single"/>
            <w:shd w:val="clear" w:color="auto" w:fill="FFFFFF"/>
            <w:lang w:val="en-US" w:eastAsia="en-US" w:bidi="ar-SA"/>
          </w:rPr>
          <w:t>[1978] 2 S.C.R. 267</w:t>
        </w:r>
      </w:hyperlink>
      <w:r>
        <w:rPr>
          <w:rFonts w:ascii="arial" w:eastAsia="arial" w:hAnsi="arial" w:cs="arial"/>
          <w:color w:val="000000"/>
          <w:sz w:val="20"/>
          <w:lang w:val="en-US" w:eastAsia="en-US" w:bidi="ar-SA"/>
        </w:rPr>
        <w:t xml:space="preserve">, </w:t>
      </w:r>
      <w:hyperlink r:id="rId373" w:history="1">
        <w:r>
          <w:rPr>
            <w:rFonts w:ascii="arial" w:eastAsia="arial" w:hAnsi="arial" w:cs="arial"/>
            <w:i/>
            <w:color w:val="0077CC"/>
            <w:sz w:val="20"/>
            <w:u w:val="single"/>
            <w:shd w:val="clear" w:color="auto" w:fill="FFFFFF"/>
            <w:lang w:val="en-US" w:eastAsia="en-US" w:bidi="ar-SA"/>
          </w:rPr>
          <w:t>83 D.L.R. (3d) 480</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Arnold v. Teno,</w:t>
      </w:r>
      <w:r>
        <w:rPr>
          <w:rFonts w:ascii="arial" w:eastAsia="arial" w:hAnsi="arial" w:cs="arial"/>
          <w:color w:val="000000"/>
          <w:sz w:val="20"/>
          <w:lang w:val="en-US" w:eastAsia="en-US" w:bidi="ar-SA"/>
        </w:rPr>
        <w:t xml:space="preserve"> </w:t>
      </w:r>
      <w:hyperlink r:id="rId374" w:history="1">
        <w:r>
          <w:rPr>
            <w:rFonts w:ascii="arial" w:eastAsia="arial" w:hAnsi="arial" w:cs="arial"/>
            <w:i/>
            <w:color w:val="0077CC"/>
            <w:sz w:val="20"/>
            <w:u w:val="single"/>
            <w:shd w:val="clear" w:color="auto" w:fill="FFFFFF"/>
            <w:lang w:val="en-US" w:eastAsia="en-US" w:bidi="ar-SA"/>
          </w:rPr>
          <w:t>[1978] 2 S.C.R. 287</w:t>
        </w:r>
      </w:hyperlink>
      <w:r>
        <w:rPr>
          <w:rFonts w:ascii="arial" w:eastAsia="arial" w:hAnsi="arial" w:cs="arial"/>
          <w:color w:val="000000"/>
          <w:sz w:val="20"/>
          <w:lang w:val="en-US" w:eastAsia="en-US" w:bidi="ar-SA"/>
        </w:rPr>
        <w:t xml:space="preserve">, </w:t>
      </w:r>
      <w:hyperlink r:id="rId374" w:history="1">
        <w:r>
          <w:rPr>
            <w:rFonts w:ascii="arial" w:eastAsia="arial" w:hAnsi="arial" w:cs="arial"/>
            <w:i/>
            <w:color w:val="0077CC"/>
            <w:sz w:val="20"/>
            <w:u w:val="single"/>
            <w:shd w:val="clear" w:color="auto" w:fill="FFFFFF"/>
            <w:lang w:val="en-US" w:eastAsia="en-US" w:bidi="ar-SA"/>
          </w:rPr>
          <w:t>83 D.L.R. (3d) 609</w:t>
        </w:r>
      </w:hyperlink>
      <w:r>
        <w:rPr>
          <w:rFonts w:ascii="arial" w:eastAsia="arial" w:hAnsi="arial" w:cs="arial"/>
          <w:color w:val="000000"/>
          <w:sz w:val="20"/>
          <w:lang w:val="en-US" w:eastAsia="en-US" w:bidi="ar-SA"/>
        </w:rPr>
        <w:t xml:space="preserve">. With respect to loss of income earning capacity, Dickson J. stated in </w:t>
      </w:r>
      <w:r>
        <w:rPr>
          <w:rFonts w:ascii="arial" w:eastAsia="arial" w:hAnsi="arial" w:cs="arial"/>
          <w:i/>
          <w:color w:val="000000"/>
          <w:sz w:val="20"/>
          <w:lang w:val="en-US" w:eastAsia="en-US" w:bidi="ar-SA"/>
        </w:rPr>
        <w:t>Andrews</w:t>
      </w:r>
      <w:r>
        <w:rPr>
          <w:rFonts w:ascii="arial" w:eastAsia="arial" w:hAnsi="arial" w:cs="arial"/>
          <w:color w:val="000000"/>
          <w:sz w:val="20"/>
          <w:lang w:val="en-US" w:eastAsia="en-US" w:bidi="ar-SA"/>
        </w:rPr>
        <w:t xml:space="preserve"> at 251: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 must now gaze more deeply into the crystal ball. What sort of a career would the accident victim have had? What were his prospects and potential prior to the accident? It is not loss of earnings but, rather, loss of earning capacity for which compensation must be made: </w:t>
      </w:r>
      <w:r>
        <w:rPr>
          <w:rFonts w:ascii="arial" w:eastAsia="arial" w:hAnsi="arial" w:cs="arial"/>
          <w:i/>
          <w:color w:val="000000"/>
          <w:sz w:val="20"/>
          <w:lang w:val="en-US" w:eastAsia="en-US" w:bidi="ar-SA"/>
        </w:rPr>
        <w:t>The Queen v. Jennings,</w:t>
      </w:r>
      <w:r>
        <w:rPr>
          <w:rFonts w:ascii="arial" w:eastAsia="arial" w:hAnsi="arial" w:cs="arial"/>
          <w:color w:val="000000"/>
          <w:sz w:val="20"/>
          <w:lang w:val="en-US" w:eastAsia="en-US" w:bidi="ar-SA"/>
        </w:rPr>
        <w:t xml:space="preserve"> </w:t>
      </w:r>
      <w:hyperlink r:id="rId375" w:history="1">
        <w:r>
          <w:rPr>
            <w:rFonts w:ascii="arial" w:eastAsia="arial" w:hAnsi="arial" w:cs="arial"/>
            <w:i/>
            <w:color w:val="0077CC"/>
            <w:sz w:val="20"/>
            <w:u w:val="single"/>
            <w:shd w:val="clear" w:color="auto" w:fill="FFFFFF"/>
            <w:lang w:val="en-US" w:eastAsia="en-US" w:bidi="ar-SA"/>
          </w:rPr>
          <w:t>[1966] S.C.R. 532</w:t>
        </w:r>
      </w:hyperlink>
      <w:r>
        <w:rPr>
          <w:rFonts w:ascii="arial" w:eastAsia="arial" w:hAnsi="arial" w:cs="arial"/>
          <w:color w:val="000000"/>
          <w:sz w:val="20"/>
          <w:lang w:val="en-US" w:eastAsia="en-US" w:bidi="ar-SA"/>
        </w:rPr>
        <w:t xml:space="preserve"> supra. A capital asset has been lost: what was its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xml:space="preserve">  The criteria regarding whether an award for loss of future earning capacity is warranted are set out in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116"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 concise summary of the law in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was provided by Mr. Justice Savage in the recent case </w:t>
      </w:r>
      <w:r>
        <w:rPr>
          <w:rFonts w:ascii="arial" w:eastAsia="arial" w:hAnsi="arial" w:cs="arial"/>
          <w:i/>
          <w:color w:val="000000"/>
          <w:sz w:val="20"/>
          <w:lang w:val="en-US" w:eastAsia="en-US" w:bidi="ar-SA"/>
        </w:rPr>
        <w:t>Parker v. Lemmon</w:t>
      </w:r>
      <w:r>
        <w:rPr>
          <w:rFonts w:ascii="arial" w:eastAsia="arial" w:hAnsi="arial" w:cs="arial"/>
          <w:color w:val="000000"/>
          <w:sz w:val="20"/>
          <w:lang w:val="en-US" w:eastAsia="en-US" w:bidi="ar-SA"/>
        </w:rPr>
        <w:t xml:space="preserve">, </w:t>
      </w:r>
      <w:hyperlink r:id="rId376" w:history="1">
        <w:r>
          <w:rPr>
            <w:rFonts w:ascii="arial" w:eastAsia="arial" w:hAnsi="arial" w:cs="arial"/>
            <w:i/>
            <w:color w:val="0077CC"/>
            <w:sz w:val="20"/>
            <w:u w:val="single"/>
            <w:shd w:val="clear" w:color="auto" w:fill="FFFFFF"/>
            <w:lang w:val="en-US" w:eastAsia="en-US" w:bidi="ar-SA"/>
          </w:rPr>
          <w:t>2012 BCSC 27</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plaintiff must first prove there is a real and substantial possibility of a future event leading to an income loss before the Court will embark on an assessment of the loss;</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future or hypothetical possibility will be taken into consideration as long as it is a real and substantial possibility and not mere speculation;</w:t>
      </w:r>
    </w:p>
    <w:p>
      <w:pPr>
        <w:numPr>
          <w:numId w:val="4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plaintiff may be able to prove that there is a substantial possibility of a future income loss despite having returned to his or her employment;</w:t>
      </w:r>
    </w:p>
    <w:p>
      <w:pPr>
        <w:numPr>
          <w:numId w:val="4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inability to perform an occupation that is not a realistic alternative occupation is not proof of a future loss;</w:t>
      </w:r>
    </w:p>
    <w:p>
      <w:pPr>
        <w:numPr>
          <w:numId w:val="4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not the loss of earnings but rather the loss of earning capacity for which compensation must be made;</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plaintiff discharges the burden of proof, then there must be quantification of that loss;</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Two available methods of quantifying the loss are (a) an earnings approach or (b) a capital asset approach;</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earnings approach will be more useful when the loss is more easily measurable;</w:t>
      </w:r>
    </w:p>
    <w:p>
      <w:pPr>
        <w:numPr>
          <w:numId w:val="52"/>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capital asset approach will be more useful when the loss is not easily measurable (at para. 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xml:space="preserve">  A person's income earning potential can be viewed as a capital asset which can be diminished as a result of injury and disability.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36"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at para. 8, Finch J. (as he then was) summarized the four key questions which must be asked in assessing a claimant's loss of future earning capacity, which are whether:</w:t>
      </w:r>
      <w:r>
        <w:rPr>
          <w:rFonts w:ascii="arial" w:eastAsia="arial" w:hAnsi="arial" w:cs="arial"/>
          <w:sz w:val="20"/>
          <w:lang w:val="en-US" w:eastAsia="en-US" w:bidi="ar-SA"/>
        </w:rPr>
        <w:cr/>
      </w:r>
    </w:p>
    <w:p>
      <w:pPr>
        <w:numPr>
          <w:numId w:val="5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5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5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been open to him, had he not been injured; and</w:t>
      </w:r>
    </w:p>
    <w:p>
      <w:pPr>
        <w:numPr>
          <w:numId w:val="56"/>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Jurczak v. Mauro</w:t>
      </w:r>
      <w:r>
        <w:rPr>
          <w:rFonts w:ascii="arial" w:eastAsia="arial" w:hAnsi="arial" w:cs="arial"/>
          <w:color w:val="000000"/>
          <w:sz w:val="20"/>
          <w:lang w:val="en-US" w:eastAsia="en-US" w:bidi="ar-SA"/>
        </w:rPr>
        <w:t xml:space="preserve">, </w:t>
      </w:r>
      <w:hyperlink r:id="rId377" w:history="1">
        <w:r>
          <w:rPr>
            <w:rFonts w:ascii="arial" w:eastAsia="arial" w:hAnsi="arial" w:cs="arial"/>
            <w:i/>
            <w:color w:val="0077CC"/>
            <w:sz w:val="20"/>
            <w:u w:val="single"/>
            <w:shd w:val="clear" w:color="auto" w:fill="FFFFFF"/>
            <w:lang w:val="en-US" w:eastAsia="en-US" w:bidi="ar-SA"/>
          </w:rPr>
          <w:t>2013 BCCA 507</w:t>
        </w:r>
      </w:hyperlink>
      <w:r>
        <w:rPr>
          <w:rFonts w:ascii="arial" w:eastAsia="arial" w:hAnsi="arial" w:cs="arial"/>
          <w:color w:val="000000"/>
          <w:sz w:val="20"/>
          <w:lang w:val="en-US" w:eastAsia="en-US" w:bidi="ar-SA"/>
        </w:rPr>
        <w:t>, the court explained that while assessing an award for future loss of income is not purely mathematical, the court should use factual mathematical anchors as a starting foundation to quantify the future loss of income (at paras. 35-37).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In this case, there is a real and substantial possibility that Mr. Lampkin will suffer a loss in the future due to diminished income earning capacity arising from the accident. Mr. Lampkin's only means of earning an income is through physically demanding occupations. Since acquiring his permanent resident status in Canada, Mr. Lampkin has only worked in jobs that rely upon his strength and physical endurance. Mechanical insulation, concrete labouring and landscaping all have high physical demands.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The evidence establishes that Mr. Lampkin now has limitations in his ability to perform physically demanding work. Mr. Freitas, Mr. Vieira and Mr. Perren-Jaquet all testified that neck and back pain have limited Mr. Lampkin's ability to perform heavier work. Mr. Lampkin has been fortunate to find sympathetic employers who have been prepared to accommodate his 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Mr. Freitas confirmed that Mr. Lampkin has taken days off when his back and neck were bothering him. He also testified that he would have been earning a higher wage if Mr. Lampkin's injuries did not prevent him from being more productive on the job site. Mr. Vieira testified as to the significantly higher earnings that Mr. Lampkin would earn if he was capable of working in the physically demanding field of concrete construction. Mr. Perren-Jaquet, who testified that Mr. Lampkin was unable to perform hardscape landscaping, confirmed that Mr. Lampkin would be more likely to be rehired if he was capable of all aspects of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Mr. Lampkin's claim is supported by the functional capacity evaluations performed by occupational therapist Russell McNeil on June 28, 2012 and November 25, 2013. In his reports, Mr. McNeil concludes as follows, as summarized by the defendant:</w:t>
      </w:r>
      <w:r>
        <w:rPr>
          <w:rFonts w:ascii="arial" w:eastAsia="arial" w:hAnsi="arial" w:cs="arial"/>
          <w:sz w:val="20"/>
          <w:lang w:val="en-US" w:eastAsia="en-US" w:bidi="ar-SA"/>
        </w:rPr>
        <w:cr/>
      </w:r>
    </w:p>
    <w:p>
      <w:pPr>
        <w:numPr>
          <w:numId w:val="57"/>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Mr. Lampkin has demonstrated the capacity to perform activity that requires light to modified medium level strength. He demonstrated restrictions for sustained vertical reaching and sustained / repetitive below waist work including bending, stooping, crouching and kneeling. Mobility and activity tolerance were adversely affected such that he cannot maintain a productive work pace (pg. 6 of 2012 report).</w:t>
      </w:r>
    </w:p>
    <w:p>
      <w:pPr>
        <w:numPr>
          <w:numId w:val="58"/>
        </w:numPr>
        <w:tabs>
          <w:tab w:val="num" w:pos="1840"/>
          <w:tab w:val="clear" w:pos="256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McNeil says Mr. Lampkin cannot be a concrete worker because the Dictionary of Occupational Titles requires handling of loads 50 lbs. to 75 lbs. </w:t>
      </w:r>
      <w:r>
        <w:rPr>
          <w:rFonts w:ascii="arial" w:eastAsia="arial" w:hAnsi="arial" w:cs="arial"/>
          <w:i/>
          <w:color w:val="000000"/>
          <w:sz w:val="20"/>
          <w:lang w:val="en-US" w:eastAsia="en-US" w:bidi="ar-SA"/>
        </w:rPr>
        <w:t>occasionally</w:t>
      </w:r>
      <w:r>
        <w:rPr>
          <w:rFonts w:ascii="arial" w:eastAsia="arial" w:hAnsi="arial" w:cs="arial"/>
          <w:color w:val="000000"/>
          <w:sz w:val="20"/>
          <w:lang w:val="en-US" w:eastAsia="en-US" w:bidi="ar-SA"/>
        </w:rPr>
        <w:t xml:space="preserve"> as heavy work. The more frequently required weight requirement is 25 lbs. to 50 lbs. Mr. McNeil says Mr. Lampkin cannot demonstrate either the strength or stamina for this kind of work and he finds he is unable to lift, carry, push or pull these weights (pgs. 9-10).</w:t>
      </w:r>
    </w:p>
    <w:p>
      <w:pPr>
        <w:numPr>
          <w:numId w:val="59"/>
        </w:numPr>
        <w:tabs>
          <w:tab w:val="num" w:pos="1840"/>
          <w:tab w:val="clear" w:pos="256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Similarly, Mr. McNeil says Mr. Lampkin cannot be a mechanical insulation installer because he demonstrated restrictions in strength and stamina for prolonged standing, overhead work, and below waist level work requiring repetitive and static bending, crouching, and kneeling (pg. 12). He measured restricted extent flexibility and trunk strength, and an inability to lift, push, pull or carry objects or exert himself physically over long periods of time.</w:t>
      </w:r>
    </w:p>
    <w:p>
      <w:pPr>
        <w:numPr>
          <w:numId w:val="60"/>
        </w:numPr>
        <w:tabs>
          <w:tab w:val="num" w:pos="1840"/>
          <w:tab w:val="clear" w:pos="256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Mr. Lampkin did demonstrate ability to walk, reach out, grip / pinch, and handle. Mr. McNeil found Mr. Lampkin to be slightly restricted reaching overhead. He found him to be moderately restricted standing, bending/stooping, crouching, and kneeling (pg. 10).</w:t>
      </w:r>
    </w:p>
    <w:p>
      <w:pPr>
        <w:numPr>
          <w:numId w:val="6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Mr. McNeil finds Mr. Lampkin is capable of working as a landscaper full time, but "with restrictions" (pg. 13). He says he requires accommodations because he does not have the strength or stamina for prolonged standing, repetitive and prolonged bending, crouching, and kneeling and working overhead.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The defendant says that Mr. McNeil's report should be afforded little, if any, weight for the following reasons:</w:t>
      </w:r>
      <w:r>
        <w:rPr>
          <w:rFonts w:ascii="arial" w:eastAsia="arial" w:hAnsi="arial" w:cs="arial"/>
          <w:sz w:val="20"/>
          <w:lang w:val="en-US" w:eastAsia="en-US" w:bidi="ar-SA"/>
        </w:rPr>
        <w:cr/>
      </w:r>
    </w:p>
    <w:p>
      <w:pPr>
        <w:numPr>
          <w:numId w:val="6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McNeil's tries to oath-help by usurping the trial judge's jurisdiction in assessing the veracity of Mr. Lampkin's efforts and complaints by concluding that his test results are consistent with Mr. Lampkin's self-reports. In truth, the actual test results -- particularly in respect of sustained carrying/lifting strength -- suggest there may have been a deliberate effort on Mr. Lampkin's part to deceive. Mr. McNeil says in both reports that "it is generally expected that heart rate will increase by a minimum of 25% of the pre-testing heart rate" during assessment (pg. 46 of 2013 report). Mr. Lampkin's heart rate monitor detected only a 15% change in his heart rate during two-handed carrying testing, and only 28% when bending and 31% while squatting. Mr. McNeil explains he would not have expected a significant increase beyond 15% in his heart rate because of his "limited carrying capacity", but this is nonsensical -- if indeed he is restricted by pain in carrying weight, one would expect full effort would result in an even higher heart rate. Indeed, a 2008 study was put to Mr. McNeil in cross-examination that suggested 25% was indeed the </w:t>
      </w:r>
      <w:r>
        <w:rPr>
          <w:rFonts w:ascii="arial" w:eastAsia="arial" w:hAnsi="arial" w:cs="arial"/>
          <w:color w:val="000000"/>
          <w:sz w:val="20"/>
          <w:u w:val="single"/>
          <w:lang w:val="en-US" w:eastAsia="en-US" w:bidi="ar-SA"/>
        </w:rPr>
        <w:t>minimum</w:t>
      </w:r>
      <w:r>
        <w:rPr>
          <w:rFonts w:ascii="arial" w:eastAsia="arial" w:hAnsi="arial" w:cs="arial"/>
          <w:color w:val="000000"/>
          <w:sz w:val="20"/>
          <w:lang w:val="en-US" w:eastAsia="en-US" w:bidi="ar-SA"/>
        </w:rPr>
        <w:t xml:space="preserve"> increase required to demonstrate </w:t>
      </w:r>
      <w:r>
        <w:rPr>
          <w:rFonts w:ascii="arial" w:eastAsia="arial" w:hAnsi="arial" w:cs="arial"/>
          <w:color w:val="000000"/>
          <w:sz w:val="20"/>
          <w:u w:val="single"/>
          <w:lang w:val="en-US" w:eastAsia="en-US" w:bidi="ar-SA"/>
        </w:rPr>
        <w:t>minimum</w:t>
      </w:r>
      <w:r>
        <w:rPr>
          <w:rFonts w:ascii="arial" w:eastAsia="arial" w:hAnsi="arial" w:cs="arial"/>
          <w:color w:val="000000"/>
          <w:sz w:val="20"/>
          <w:lang w:val="en-US" w:eastAsia="en-US" w:bidi="ar-SA"/>
        </w:rPr>
        <w:t xml:space="preserve"> effort. While it was suggested by Her Ladyship to Mr. McNeil that the suggested 25% increase in heart rate was restricted to the EPIC lift test, he agreed but did concede that the increase in heart rate is considered by occupational therapists for other tests as well -- indeed, why else would he measure it? Furthermore, he failed to report on heart rate increase for the pushing and pulling testing. This was yet another example of Mr. McNeil carelessly preparing his report and cutting and pasting into a template, resulting in the omission of relevant evidence.</w:t>
      </w:r>
    </w:p>
    <w:p>
      <w:pPr>
        <w:numPr>
          <w:numId w:val="6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Mr. McNeil inexplicably relies upon the Dictionary of Occupational Titles (DOT), a U.S. guideline for occupational classification and analysis. Mr. McNeil agreed the DOT was developed in 1986 and last amended in 1991. The NOC's classification of strength is different from the DOT. Mr. McNeil's reliance on the DOT as opposed to the NOC -- which is relied upon by Worksafe BC -- is suspect.</w:t>
      </w:r>
    </w:p>
    <w:p>
      <w:pPr>
        <w:numPr>
          <w:numId w:val="6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Lastly, despite the apparent numerous restrictions on Mr. Lampkin's functional capacity, Mr. McNeil nonetheless concludes Mr. Lampkin can play cricket and other recreational sports, just not competitively.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I am satisfied on the evidence of Mr. McNeil that Mr. Lampkin put forth a full effort in the testing which formed the basis of the evaluations of his functional capacity. I accept the conclusions in this report which are consistent with the observations and opinions of Dr. Dhawan who frequently assessed and treated Mr. Lampkin, and who has authored the most recent medical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All of the medical evidence, including Dr. Dommisse's evidence in cross-examination, confirms that Mr. Lampkin's injuries are unlikely to improve given that they have persisted for nearly seven years. The physical limitations and resulting income loss that has been ongoing since the accident are expected to continue.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Quantification of Lost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The issue then becomes how best to quantify the loss. Mr. Curtis Peever, an economist, provided a report and gave oral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With respect to contingency deductions, the plaintiff submits that Mr. Peever's "risk only" deductions should be used. In light of the evidence regarding the plaintiff's work ethic, working often six days per week, it is submitted that it is exceedingly unlikely that Mr. Lampkin would leave the workforce by choice.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The evidence of Mr. Peever was of assistance in determining the discount for negative contingencies. Table 1 of his report relied only upon survival and discount rates premised on the trial date and the plaintiff's age. It accounts for no negative labour market contingencies that would apply to the average worker. He agreed that if those were applied, they would have the effect of reducing the figures by 45-50%, as they do in his Tables 2 through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Mr. Peever agreed that the less education the plaintiff has, the higher the contingency to be applied. Generally individuals without a high school education have a more volatile earning pattern with higher labour market contingencies. In all of the circumstances, I would apply the higher "risk and choice" contingency deduction.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The defendant submits that even if the court accepts that the plaintiff would work in concrete but for the accident, there is no loss arising from this alleged loss of opportunity. In support, he relies on the evidence of Mr. Peever and his cross-examination. The defendant says that Mr. Lampkin's resulting total loss for his entire career life if he were to retire at age 70 is only approximately $16,000. The resulting total loss if he were to retire at age 65 is roughly $10,000.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However, on the evidence, I accept that Mr. Lampkin has established a real and substantial possibility of an income loss, and that that loss is appropriately quantified based on the figures and submissions provided by the plaintiff as set out below. With the evidence of specific wages in the relevant occupations and the collateral evidence regarding Mr. Lampkin's abilities and work ethic, it is unnecessary to rely upon the statistical data provided by Mr. Peever in his report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The issue remains as to whether the earnings approach or capital asset approach is more useful.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Mr. Vieira confirmed that Mr. Lampkin worked for him on concrete jobs in 2008 on a casual and on-call basis earning $21 per hour. The evidence also showed that Mr. Lampkin worked in concrete in December 2008 and January 2009 earning $20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In his current capacity as the owner of Flat Rock Concrete Ltd., Mr. Vieira confirmed that there is a shortage of skilled workers in the concrete industry and that the going rate for a general labourer is approximately $29 per hour. If Mr. Lampkin was healthy and able to work as he had in 2008, Mr. Vieira would have no concerns with hiring Mr. Lampkin.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In terms of career progression, Mr. Lampkin could have gone on to become a Finisher, Foreman and possibly a Superintendent, none of which require a formal education. Approximate earnings would be $35 or $34 to $38 per hour, respectively, or as a superintendent, $130,000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Using the difference between Mr. Lampkin's potential earnings as a concrete labourer ($29/hour) and his previous earnings as a landscaper ($19/hour), Mr. Lampkin's yearly loss assuming a 40-hour work week, 49 weeks per year is $19,600. The following table provided by the plaintiff indicates the present value of the loss claimed along with the total losses adjusted for risk alone and risk and choice contingencies:</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077" type="#_x0000_t75" style="width:432.06pt;height:61.51pt">
            <v:imagedata r:id="rId378"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The plaintiff says that while Mr. Lampkin has not returned to mechanical insulation since the accident, the career does provide a useful comparison scenario for Mr. Lampkin. The total loss adjusted for risk and choice contingencies would be $239,117. However, for the reasons stated above in assessing past income loss, as there is no real and substantial possibility of Mr. Lampkin working in the area of mechanical insulation, these figures will not be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As a measure of Mr. Lampkin's entitlement, the plaintiff refers to cases involving plaintiffs of a similar age who work in physically demanding professions and have suffered a loss of earning capacity as a result of similar injuries: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Demedeiros v. Heinrichs,</w:t>
      </w:r>
      <w:r>
        <w:rPr>
          <w:rFonts w:ascii="arial" w:eastAsia="arial" w:hAnsi="arial" w:cs="arial"/>
          <w:color w:val="000000"/>
          <w:sz w:val="20"/>
          <w:lang w:val="en-US" w:eastAsia="en-US" w:bidi="ar-SA"/>
        </w:rPr>
        <w:t xml:space="preserve"> </w:t>
      </w:r>
      <w:hyperlink r:id="rId379" w:history="1">
        <w:r>
          <w:rPr>
            <w:rFonts w:ascii="arial" w:eastAsia="arial" w:hAnsi="arial" w:cs="arial"/>
            <w:i/>
            <w:color w:val="0077CC"/>
            <w:sz w:val="20"/>
            <w:u w:val="single"/>
            <w:shd w:val="clear" w:color="auto" w:fill="FFFFFF"/>
            <w:lang w:val="en-US" w:eastAsia="en-US" w:bidi="ar-SA"/>
          </w:rPr>
          <w:t>2001 BCSC 1475</w:t>
        </w:r>
      </w:hyperlink>
      <w:r>
        <w:rPr>
          <w:rFonts w:ascii="arial" w:eastAsia="arial" w:hAnsi="arial" w:cs="arial"/>
          <w:color w:val="000000"/>
          <w:sz w:val="20"/>
          <w:lang w:val="en-US" w:eastAsia="en-US" w:bidi="ar-SA"/>
        </w:rPr>
        <w:t>, the plaintiff, a stone mason was injured in a motor vehicle accident, which resulted [in] an injury to the plaintiff's back. The prognosis for further improvement was poor. The medical evidence confirmed that the Plaintiff would continue to experience chronic pain with occasional exacerbations. The Court found that the plaintiff's back injury partially disabled him from his work as a stone mason. The Plaintiff was awarded $180,000 (Current value $232,866[footnote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Thompson v. Choi</w:t>
      </w:r>
      <w:r>
        <w:rPr>
          <w:rFonts w:ascii="arial" w:eastAsia="arial" w:hAnsi="arial" w:cs="arial"/>
          <w:color w:val="000000"/>
          <w:sz w:val="20"/>
          <w:lang w:val="en-US" w:eastAsia="en-US" w:bidi="ar-SA"/>
        </w:rPr>
        <w:t xml:space="preserve">, </w:t>
      </w:r>
      <w:hyperlink r:id="rId380" w:history="1">
        <w:r>
          <w:rPr>
            <w:rFonts w:ascii="arial" w:eastAsia="arial" w:hAnsi="arial" w:cs="arial"/>
            <w:i/>
            <w:color w:val="0077CC"/>
            <w:sz w:val="20"/>
            <w:u w:val="single"/>
            <w:shd w:val="clear" w:color="auto" w:fill="FFFFFF"/>
            <w:lang w:val="en-US" w:eastAsia="en-US" w:bidi="ar-SA"/>
          </w:rPr>
          <w:t>2015 BCSC 1283</w:t>
        </w:r>
      </w:hyperlink>
      <w:r>
        <w:rPr>
          <w:rFonts w:ascii="arial" w:eastAsia="arial" w:hAnsi="arial" w:cs="arial"/>
          <w:color w:val="000000"/>
          <w:sz w:val="20"/>
          <w:lang w:val="en-US" w:eastAsia="en-US" w:bidi="ar-SA"/>
        </w:rPr>
        <w:t>, the plaintiff, a 44-year-old journeyman sheet-metal worker suffered injuries to his neck, shoulders and right knee in a motor vehicle accident. The court held that the plaintiff would continue to experience problems with his work, including heavy lifting, overhead work, prolonged kneeling, crouching and assuming awkward positions. The court held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a realistic possibility he will experience flare-ups that may require downtime, occasional days off, and physiotherapy appointments. While he is likely to experience discomfort at work, through breaks, change of position, change of task and use of anti-inflammatory medication, he generally will be able to continue and complete the work, partly because has developed some pain tolerance (at para. 192).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The court held that the plaintiff would require some accommodation from future employers and his "injuries have rendered him less valuable to himself as a person capable of earning income in a competitive market" (at para. 192) The Plaintiff was awarded $200,000 for his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Based on the foregoing examples, the plaintiff submits that an appropriate award of damages for loss of earning capacity is $225,000.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Mr. Lampkin has suffered a loss of his capacity to earn income. He is less marketable or attractive as an employee to potential employers, and has lost the ability to take advantage of all job opportunities which might otherwise have been open to him. Although concrete labour is his preferred area of work, he does not have an established history of earnings in that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I therefore find that an award based on loss of a capital asset is appropriate in these circumstances. Mr. Lampkin stated: "What I am good at is my strength". His strength was his asset. His strength has been diminished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I therefore assess damages for loss of future income earning capacity at $175,000.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xml:space="preserve">  The legal framework for cost of future care awards was set out by Ballance J. in </w:t>
      </w:r>
      <w:r>
        <w:rPr>
          <w:rFonts w:ascii="arial" w:eastAsia="arial" w:hAnsi="arial" w:cs="arial"/>
          <w:i/>
          <w:color w:val="000000"/>
          <w:sz w:val="20"/>
          <w:lang w:val="en-US" w:eastAsia="en-US" w:bidi="ar-SA"/>
        </w:rPr>
        <w:t>S.R. v. Trasolini</w:t>
      </w:r>
      <w:r>
        <w:rPr>
          <w:rFonts w:ascii="arial" w:eastAsia="arial" w:hAnsi="arial" w:cs="arial"/>
          <w:color w:val="000000"/>
          <w:sz w:val="20"/>
          <w:lang w:val="en-US" w:eastAsia="en-US" w:bidi="ar-SA"/>
        </w:rPr>
        <w:t xml:space="preserve">, </w:t>
      </w:r>
      <w:hyperlink r:id="rId381" w:history="1">
        <w:r>
          <w:rPr>
            <w:rFonts w:ascii="arial" w:eastAsia="arial" w:hAnsi="arial" w:cs="arial"/>
            <w:i/>
            <w:color w:val="0077CC"/>
            <w:sz w:val="20"/>
            <w:u w:val="single"/>
            <w:shd w:val="clear" w:color="auto" w:fill="FFFFFF"/>
            <w:lang w:val="en-US" w:eastAsia="en-US" w:bidi="ar-SA"/>
          </w:rPr>
          <w:t>2013 BCSC 1135</w:t>
        </w:r>
      </w:hyperlink>
      <w:r>
        <w:rPr>
          <w:rFonts w:ascii="arial" w:eastAsia="arial" w:hAnsi="arial" w:cs="arial"/>
          <w:color w:val="000000"/>
          <w:sz w:val="20"/>
          <w:lang w:val="en-US" w:eastAsia="en-US" w:bidi="ar-SA"/>
        </w:rPr>
        <w:t xml:space="preserve"> at paras. 222-224. In this case, the evidence does establish that Mr. Lampkin requires and will use ongoing treatment into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Mr. Lampkin bases his claim under this heading on the recommendations of Drs. Dhawan and Dommisse, both of whom state that the best treatment will be a self-directed exercise program with input and guidance from a kinesiologist or physiotherapist. Mr. Lampkin testified that the cost of a personal trainer is $60 per session. It is assumed that 10 sessions with a personal trainer would be sufficient to provide him guidance on a proper technique.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Mr. Lampkin has testified that he will follow the recommendations. The facts that he began an active rehabilitation program in 2014 and that he did participate in a home exercise program confirm his stated intention. He will require occasional further guidance from a personal trainer to ensure that his home exercise program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Mr. Lampkin will continue to rely on over-the-counter and prescription pain medications to manage his pain levels, particularly if he continues to work in physically demanding jobs. Mr. Lampkin submits that a yearly figure of $200 per year is appropriate given the recommendations made by the medical experts. Using Mr. Peever's cost of care multiplier, the present value of Mr. Lampkin's future care costs is $4,941.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Mr. Lampkin is awarded $4,941 for the cost of future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Mr. Lampkin has incurred out-of-pocket expenses relating to treatment of the injuries he incurred in the accident. These costs, which are agreed, total $403.98.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The plaintiff is awarded damages in the following amounts: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136"/>
        <w:gridCol w:w="1673"/>
        <w:gridCol w:w="564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$67,500.00</w:t>
            </w:r>
          </w:p>
        </w:tc>
        <w:tc>
          <w:tcPr>
            <w:tcW w:w="553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Income Loss (net)</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$59,000.00</w:t>
            </w:r>
          </w:p>
        </w:tc>
        <w:tc>
          <w:tcPr>
            <w:tcW w:w="553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Future Earnings</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$175,000.00</w:t>
            </w:r>
          </w:p>
        </w:tc>
        <w:tc>
          <w:tcPr>
            <w:tcW w:w="553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 of Future Care</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$4,941.00</w:t>
            </w:r>
          </w:p>
        </w:tc>
        <w:tc>
          <w:tcPr>
            <w:tcW w:w="553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$403.98</w:t>
            </w:r>
          </w:p>
        </w:tc>
        <w:tc>
          <w:tcPr>
            <w:tcW w:w="553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Total:</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$306,844.98</w:t>
            </w:r>
          </w:p>
        </w:tc>
        <w:tc>
          <w:tcPr>
            <w:tcW w:w="5530"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Unless there are matters of which I am unaware, the plaintiff is entitled to his costs on Scale B. If either party seeks a different cost result, they may make submissions in writing within 30 days of the date of these Reasons. Reply submissions should be filed 15 days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J.E. WATCHUK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8" style="position:absolute;z-index:2517749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82"/>
          <w:headerReference w:type="default" r:id="rId383"/>
          <w:footerReference w:type="even" r:id="rId384"/>
          <w:footerReference w:type="default" r:id="rId385"/>
          <w:headerReference w:type="first" r:id="rId386"/>
          <w:footerReference w:type="first" r:id="rId38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88" w:history="1">
        <w:r>
          <w:rPr>
            <w:rFonts w:ascii="arial" w:eastAsia="arial" w:hAnsi="arial" w:cs="arial"/>
            <w:b/>
            <w:bCs/>
            <w:i/>
            <w:color w:val="0077CC"/>
            <w:kern w:val="32"/>
            <w:sz w:val="28"/>
            <w:szCs w:val="32"/>
            <w:u w:val="single"/>
            <w:shd w:val="clear" w:color="auto" w:fill="FFFFFF"/>
            <w:lang w:val="en-US" w:eastAsia="en-US" w:bidi="ar-SA"/>
          </w:rPr>
          <w:t>Larsen v. Larsen, [2004] B.C.J. No. 399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Allan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13,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2,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S040088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399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284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27 B.C.L.R. (4th) 193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22 C.C.L.T. (3d) 298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6 E.T.R. (3d) 293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129 A.C.W.S. (3d) 227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Ricky Paul Larsen, plaintiff, and Gary Larsen,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(29 paras.)</w:t>
      </w:r>
    </w:p>
    <w:p>
      <w:pPr>
        <w:jc w:val="both"/>
        <w:rPr>
          <w:rFonts w:ascii="arial" w:eastAsia="arial" w:hAnsi="arial" w:cs="arial"/>
          <w:sz w:val="20"/>
          <w:lang w:val="en-US" w:eastAsia="en-US" w:bidi="ar-SA"/>
        </w:rPr>
      </w:pPr>
      <w:bookmarkStart w:id="54" w:name="Counsel_14"/>
      <w:bookmarkEnd w:id="5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9" style="position:absolute;z-index:2516746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 Daniel Le Dressay, for the plaintiff. barbara findlay, Q.C.,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5" w:name="Judgment_14"/>
      <w:bookmarkEnd w:id="55"/>
      <w:r>
        <w:pict>
          <v:line id="_x0000_s1080" style="position:absolute;z-index:25172582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6" w:name="ALLAN J."/>
            <w:bookmarkEnd w:id="56"/>
            <w:r>
              <w:rPr>
                <w:rFonts w:ascii="arial" w:eastAsia="arial" w:hAnsi="arial" w:cs="arial"/>
                <w:b/>
                <w:color w:val="000000"/>
                <w:sz w:val="30"/>
                <w:lang w:val="en-US" w:eastAsia="en-US" w:bidi="ar-SA"/>
              </w:rPr>
              <w:t>ALLAN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 applies for a determination on a point of law raised by the plaintiff's pleadings and an order that the plaintiff's claim be dismissed, pursuant to Rule 34. The defendant also seeks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With respect to the point of law, the notice of motion seeks an order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 beneficiary of an estate owes no duty of care to another beneficiary of an estate to protect the assets of the estate, and in particular owes no duty not to cause damage to the assets of the estate, not to cause the estate to waste, and not to cause unnecessary expense to be incurred in the administration of the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During submissions, Ms. findlay conceded that the relief sought in the notice of motion is overly broad and requested an order confining the relief to a declaration regarding the duty of care between the parties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I granted the defendant leave to bring the application on the basis that the factors set out in Alcan Smelters &amp; Chemicals Ltd. v. Canadian Assoc. of Smelter and Allied Workers, Local 1 </w:t>
      </w:r>
      <w:hyperlink r:id="rId389" w:history="1">
        <w:r>
          <w:rPr>
            <w:rFonts w:ascii="arial" w:eastAsia="arial" w:hAnsi="arial" w:cs="arial"/>
            <w:i/>
            <w:color w:val="0077CC"/>
            <w:sz w:val="20"/>
            <w:u w:val="single"/>
            <w:shd w:val="clear" w:color="auto" w:fill="FFFFFF"/>
            <w:lang w:val="en-US" w:eastAsia="en-US" w:bidi="ar-SA"/>
          </w:rPr>
          <w:t>(1977), 3 B.C.L.R. 163</w:t>
        </w:r>
      </w:hyperlink>
      <w:r>
        <w:rPr>
          <w:rFonts w:ascii="arial" w:eastAsia="arial" w:hAnsi="arial" w:cs="arial"/>
          <w:color w:val="000000"/>
          <w:sz w:val="20"/>
          <w:lang w:val="en-US" w:eastAsia="en-US" w:bidi="ar-SA"/>
        </w:rPr>
        <w:t xml:space="preserve"> (S.C.) were satisfied. The point of law arises on the pleadings and can be determined without hearing evidence, the facts in the pleadings are not in dispute, and a determination of the question of law in the defendant's favour will be determinative of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Rule 34, while used sparingly, is designed to eliminate claims that have no hope of success, thus saving the litigants and the administration of justice both time and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statement of claim sets out the following facts. The plaintiff Ricky Paul Larsen and the defendant Gary Larsen are beneficiaries of the estate of their father who died on January 29, 2003 (the "Estate"). Each has a one-half undivided interest in the whole of the Estate. The plaintiff asserts that the defendant owed the plaintiff a duty of care not to damage the Estate, to cause the Estate not to waste, and not to cause unnecessary expense to be incurred in the administration of the Estate. The plaintiff alleges that the defendant breached that duty of care, caused damage and loss to the Estate, caused waste of the Estate to occur, and has put the administration of the Estate to unnecessary expense. There are no particulars of the defendant's alleged breach of his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It is common ground that the Executor of the estate is a third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statement of defence asserts that the defendant qua beneficiary owes no duty of care to the plaintiff qua beneficiary of the Estate, and that the plaintiff has no standing to bring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parties agree that there is no reported case in the jurisprudence of the Commonwealth in which a duty of care to one beneficiary has been imposed on another. Ms. findlay submits that there are no cases because no such duty exists.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Le Dressay urges the Court to refrain from exercising its discretion to dispose of the issue at this stage. He suggests that such a duty should exist and a determination of the question in this case should only be made when the facts have been fully developed.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defendant also pleads that both parties signed global releases of the Executor in relation to her administration of the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It is common ground that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requires a plaintiff to demonstrate a duty of care, a breach of that duty of care and resulting damages. The parties also agree that the correct articulation of the duty of care is that set out in Anns v. Merton London Borough Council, [1978] A.C. 728. The Supreme Court of Canada has consistently applied the two stages of that test: Kamloops (City) v. Nielson, </w:t>
      </w:r>
      <w:hyperlink r:id="rId390" w:history="1">
        <w:r>
          <w:rPr>
            <w:rFonts w:ascii="arial" w:eastAsia="arial" w:hAnsi="arial" w:cs="arial"/>
            <w:i/>
            <w:color w:val="0077CC"/>
            <w:sz w:val="20"/>
            <w:u w:val="single"/>
            <w:shd w:val="clear" w:color="auto" w:fill="FFFFFF"/>
            <w:lang w:val="en-US" w:eastAsia="en-US" w:bidi="ar-SA"/>
          </w:rPr>
          <w:t>[1984] 2 S.C.R. 2</w:t>
        </w:r>
      </w:hyperlink>
      <w:r>
        <w:rPr>
          <w:rFonts w:ascii="arial" w:eastAsia="arial" w:hAnsi="arial" w:cs="arial"/>
          <w:color w:val="000000"/>
          <w:sz w:val="20"/>
          <w:lang w:val="en-US" w:eastAsia="en-US" w:bidi="ar-SA"/>
        </w:rPr>
        <w:t xml:space="preserve">, Just v. British Columbia, </w:t>
      </w:r>
      <w:hyperlink r:id="rId391" w:history="1">
        <w:r>
          <w:rPr>
            <w:rFonts w:ascii="arial" w:eastAsia="arial" w:hAnsi="arial" w:cs="arial"/>
            <w:i/>
            <w:color w:val="0077CC"/>
            <w:sz w:val="20"/>
            <w:u w:val="single"/>
            <w:shd w:val="clear" w:color="auto" w:fill="FFFFFF"/>
            <w:lang w:val="en-US" w:eastAsia="en-US" w:bidi="ar-SA"/>
          </w:rPr>
          <w:t>[1989] 2 S.C.R. 1228</w:t>
        </w:r>
      </w:hyperlink>
      <w:r>
        <w:rPr>
          <w:rFonts w:ascii="arial" w:eastAsia="arial" w:hAnsi="arial" w:cs="arial"/>
          <w:color w:val="000000"/>
          <w:sz w:val="20"/>
          <w:lang w:val="en-US" w:eastAsia="en-US" w:bidi="ar-SA"/>
        </w:rPr>
        <w:t xml:space="preserve">, and Ryan v. Victoria (City), </w:t>
      </w:r>
      <w:hyperlink r:id="rId392" w:history="1">
        <w:r>
          <w:rPr>
            <w:rFonts w:ascii="arial" w:eastAsia="arial" w:hAnsi="arial" w:cs="arial"/>
            <w:i/>
            <w:color w:val="0077CC"/>
            <w:sz w:val="20"/>
            <w:u w:val="single"/>
            <w:shd w:val="clear" w:color="auto" w:fill="FFFFFF"/>
            <w:lang w:val="en-US" w:eastAsia="en-US" w:bidi="ar-SA"/>
          </w:rPr>
          <w:t>[1999] 1 S.C.R. 201</w:t>
        </w:r>
      </w:hyperlink>
      <w:r>
        <w:rPr>
          <w:rFonts w:ascii="arial" w:eastAsia="arial" w:hAnsi="arial" w:cs="arial"/>
          <w:color w:val="000000"/>
          <w:sz w:val="20"/>
          <w:lang w:val="en-US" w:eastAsia="en-US" w:bidi="ar-SA"/>
        </w:rPr>
        <w:t>. In Kamloops, supra, at 10-11, Madam Justice Wilson restated the test:</w:t>
      </w:r>
      <w:r>
        <w:rPr>
          <w:rFonts w:ascii="arial" w:eastAsia="arial" w:hAnsi="arial" w:cs="arial"/>
          <w:sz w:val="20"/>
          <w:lang w:val="en-US" w:eastAsia="en-US" w:bidi="ar-SA"/>
        </w:rPr>
        <w:cr/>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a sufficiently close relationship between the parties (the [defendant] and the person who has suffered the damage) so that, in the reasonable contemplation of the [defendant], carelessness on its part might cause damage to that person? If so,</w:t>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there any considerations which ought to negative or limit (a) the scope of the duty and (b) the class of persons to whom it is owed or (c) the damages to which a breach of it may give 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Thus, notwithstanding a finding of a relationship of proximity based on foreseeability, policy reasons may limit or negate the presumptive duty of care and, as a result, prevent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from regulating certain relationships.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defendant concedes that the first step in the Anns test is satisfied: one beneficiary can reasonably foresee that if he causes damage or waste to an asset of the estate, another beneficiary of the estate will suffer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parties disagree as to whether there are policy reasons which negative any duty of care between beneficiaries.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defendant submits that there is a comprehensive legal regime - both statutory and common law - governing the gathering in, preservation, and distribution of assets of a testator, pursuant to which it is the executor alone who is empowered to sue for waste, damage or excessive administration fees. The Executor has a fiduciary duty to the beneficiaries of the Estate to pursue an action against anyone who has damaged or caused loss to the assets of the Estate, whether the tortfeasor is a stranger or a beneficiary.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defendant submits that it would cause unnecessary and unacceptable confusion in the administration of estates to impose an additional or separate duty of care by one beneficiary upon another to safeguard assets of the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asserts that, if the defendant has committed a tortious act, it is an unnecessarily circuitous procedure to require the plaintiff to sue the Executor and then have the Executor sue the defendant. Relying on the dissent of Lord Lloyd of Berwick in Marc Rich &amp; Co. v. Bishop Rock Marine Co. Ltd., [1996] 1 A.C. 211 (H.L.), Mr. Le Dressay submits that it would be "fair, just and reasonable" to permit the proposed cause of action between beneficiaries in the circumstances of this case. He says that there are no public policy reasons to negate such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House of Lords appears to have retreated from the Anns formulation of the duty of care and embraced a test of what is "fair, just and reasonable" in the circumstances of a particular case. However, Canadian courts have consistently applied the Anns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also points to a statement in Halsbury's Laws of England, 4th ed., Vol. 17(2), [paragraph] 811, which states that it is "advisable" for an executor to obtain the consent of all of the beneficiaries or the court's direction before bringing or defending a claim. Otherwise, if he or she is found to have acted unreasonably, then he or she may be deprived of the right to be indemnified out of the estate for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Le Dressay questions whether a duty of care can ever be a pure question of law. In this case he says the Court should hear the facts in order to determine the issues of proximity and what is fair, just, and reasonable. Accordingly, he suggests that the Court should exercise its discretion and decline to determine this litigation on a point of law at this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response, Ms. findlay notes that it is the plaintiff who is responsible for the fact that there are no "facts" or particulars of the alleged waste or damage to the Estate before the Court. She notes that, even after the plaintiff had notice of this application, he took no steps to amend the statement of claim to plead additional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Upon the death of the Testator, ownership of the Estate passed to the Executor, who owed fiduciary duties to both beneficiaries. The powers, duties and liabilities of the Executor are codified in the Estate Administration Act, </w:t>
      </w:r>
      <w:hyperlink r:id="rId393" w:history="1">
        <w:r>
          <w:rPr>
            <w:rFonts w:ascii="arial" w:eastAsia="arial" w:hAnsi="arial" w:cs="arial"/>
            <w:i/>
            <w:color w:val="0077CC"/>
            <w:sz w:val="20"/>
            <w:u w:val="single"/>
            <w:shd w:val="clear" w:color="auto" w:fill="FFFFFF"/>
            <w:lang w:val="en-US" w:eastAsia="en-US" w:bidi="ar-SA"/>
          </w:rPr>
          <w:t>R.S.B.C. 1996, c. 122</w:t>
        </w:r>
      </w:hyperlink>
      <w:r>
        <w:rPr>
          <w:rFonts w:ascii="arial" w:eastAsia="arial" w:hAnsi="arial" w:cs="arial"/>
          <w:color w:val="000000"/>
          <w:sz w:val="20"/>
          <w:lang w:val="en-US" w:eastAsia="en-US" w:bidi="ar-SA"/>
        </w:rPr>
        <w:t xml:space="preserve">, and the Trustee Act, </w:t>
      </w:r>
      <w:r>
        <w:rPr>
          <w:rFonts w:ascii="arial" w:eastAsia="arial" w:hAnsi="arial" w:cs="arial"/>
          <w:i/>
          <w:color w:val="000000"/>
          <w:sz w:val="20"/>
          <w:lang w:val="en-US" w:eastAsia="en-US" w:bidi="ar-SA"/>
        </w:rPr>
        <w:t>R.S.B.C. 1996, c. 464</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There exists a well-developed framework for the administration of estates. If a beneficiary has dealt improperly with estate assets, the duty of the executor is to take action against that beneficiary for the benefit of the estate. The remedy for a beneficiary who alleges that the estate has been wasted or damaged is to bring an action against the executor of the estate. It is not necessary for a beneficiary to have an additional remedy against a co-beneficiary. Indeed, to provide such a remedy could cause confusion and duplication resulting in unnecessary expense to the Estate. The prospect of litigation between two beneficiaries in respect of the Estate's assets over which the Executor has no control is clearly unworkable.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If the assets of the Estate have been damaged or wasted, the plaintiff's remedy is against the Executor and his remedy is to bring an action for breach of fiduciary duty or to challenge the Executor at the passing of accounts. Even though an executor would be unlikely to obtain the consent of the beneficiary who is the proposed defendant, the executor would not be liable in costs so long as he or she acted reasonably in bringing the litigation in order to protect the assets of the estate. The executor has a legal duty to pursue an appropriate cause of action in order to benefit the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cannot agree with Mr. Le Dressay's argument that if a beneficiary causes harm to an estate, "the personal representative of the estate will not sue due to the personal exposure to costs..." and thus wrongs will not be redressed unless that beneficiary can be sued by another beneficiary. An executor has many duties that a beneficiary may enforce, including a duty to act impartially between beneficiaries and a duty not to mismanage the estate such that waste occurs. Professor Waters writes in Law of Trusts in Canada, 2nd ed. (Toronto: Carswell, 1984) at 984-985: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beneficiary does have access to both personal remedies and a proprietary remedy. In this way he [or she] can compel the trustees to perform their duties honestly and carefully, and he [or she] can join in the task of recovering the trust property when the trustees...have fallen down on their duty of protecting the trust property for their beneficiaries.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this manner the trust becomes a working machinery. The trustees "own" the trust property, and the beneficiary through his [or her] equitable interest can compel the trustees to discharge their fiduciary role in relation to the powers and duties which they possess.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Essentially, the principles of trust law, rather than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govern the administration of an estate. This policy reason bars the imposition of a duty of care on one beneficiary to another, at least in circumstances such as these where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intrinsically connected to the administration of a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dismiss the plaintiff's claim pursuant to Rule 34(2).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defendant also seeks special costs. Ms. findlay has filed a written argument with respect to that issue. The plaintiff has leave to file a written response of equal length.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ALLAN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1" style="position:absolute;z-index:251776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4"/>
          <w:headerReference w:type="default" r:id="rId395"/>
          <w:footerReference w:type="even" r:id="rId396"/>
          <w:footerReference w:type="default" r:id="rId397"/>
          <w:headerReference w:type="first" r:id="rId398"/>
          <w:footerReference w:type="first" r:id="rId39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400" w:history="1">
        <w:r>
          <w:rPr>
            <w:rFonts w:ascii="arial" w:eastAsia="arial" w:hAnsi="arial" w:cs="arial"/>
            <w:b/>
            <w:bCs/>
            <w:i/>
            <w:color w:val="0077CC"/>
            <w:kern w:val="32"/>
            <w:sz w:val="28"/>
            <w:szCs w:val="32"/>
            <w:u w:val="single"/>
            <w:shd w:val="clear" w:color="auto" w:fill="FFFFFF"/>
            <w:lang w:val="en-US" w:eastAsia="en-US" w:bidi="ar-SA"/>
          </w:rPr>
          <w:t>Malhotra v. Waterfront Homes Ltd., [2015] B.C.J. No. 1297</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Nanaimo,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R.A. McKinnon J.</w:t>
      </w:r>
    </w:p>
    <w:p>
      <w:pPr>
        <w:spacing w:before="120" w:line="260" w:lineRule="atLeast"/>
        <w:jc w:val="center"/>
        <w:rPr>
          <w:lang w:val="en-US" w:eastAsia="en-US" w:bidi="ar-SA"/>
        </w:rPr>
      </w:pPr>
      <w:r>
        <w:rPr>
          <w:rFonts w:ascii="arial" w:eastAsia="arial" w:hAnsi="arial" w:cs="arial"/>
          <w:color w:val="000000"/>
          <w:sz w:val="20"/>
          <w:lang w:val="en-US" w:eastAsia="en-US" w:bidi="ar-SA"/>
        </w:rPr>
        <w:t>Heard: November 3-7, 2014; January 12-15, 2015.</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June 22, 2015.</w:t>
      </w:r>
    </w:p>
    <w:p>
      <w:pPr>
        <w:spacing w:before="120" w:line="260" w:lineRule="atLeast"/>
        <w:jc w:val="center"/>
        <w:rPr>
          <w:lang w:val="en-US" w:eastAsia="en-US" w:bidi="ar-SA"/>
        </w:rPr>
      </w:pPr>
      <w:r>
        <w:rPr>
          <w:rFonts w:ascii="arial" w:eastAsia="arial" w:hAnsi="arial" w:cs="arial"/>
          <w:color w:val="000000"/>
          <w:sz w:val="20"/>
          <w:lang w:val="en-US" w:eastAsia="en-US" w:bidi="ar-SA"/>
        </w:rPr>
        <w:t>Docket: S65786</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Nanaimo</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[2015] B.C.J. No. 1297</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2015 BCSC 1068</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2015 CarswellBC 1720</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47 C.L.R. (4th) 306</w:t>
      </w:r>
    </w:p>
    <w:p>
      <w:pPr>
        <w:spacing w:before="120" w:line="260" w:lineRule="atLeast"/>
        <w:rPr>
          <w:lang w:val="en-US" w:eastAsia="en-US" w:bidi="ar-SA"/>
        </w:rPr>
      </w:pPr>
      <w:r>
        <w:rPr>
          <w:rFonts w:ascii="arial" w:eastAsia="arial" w:hAnsi="arial" w:cs="arial"/>
          <w:color w:val="000000"/>
          <w:sz w:val="20"/>
          <w:lang w:val="en-US" w:eastAsia="en-US" w:bidi="ar-SA"/>
        </w:rPr>
        <w:t>Between Inder Paul Singh Malhotra and Harpal Kaur Malhotra, Plaintiffs, and Waterfront Homes Ltd. and Ramnik Manhas, Defendants, and Inder Paul Singh Malhotra and Harpal Kaur Malhotra, Defendants by way of Counterclaim</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(40 paras.)</w:t>
      </w:r>
    </w:p>
    <w:p>
      <w:pPr>
        <w:jc w:val="both"/>
        <w:rPr>
          <w:lang w:val="en-US" w:eastAsia="en-US" w:bidi="ar-SA"/>
        </w:rPr>
      </w:pPr>
      <w:bookmarkStart w:id="57" w:name="Counsel_15"/>
      <w:bookmarkEnd w:id="57"/>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82" style="position:absolute;z-index:25167564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Plaintiffs: W. Geselbracht.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Defendants: C. Pagé.</w:t>
      </w:r>
      <w:r>
        <w:rPr>
          <w:lang w:val="en-US" w:eastAsia="en-US" w:bidi="ar-SA"/>
        </w:rPr>
        <w:cr/>
      </w:r>
    </w:p>
    <w:p>
      <w:pPr>
        <w:spacing w:after="240"/>
        <w:rPr>
          <w:lang w:val="en-US" w:eastAsia="en-US" w:bidi="ar-SA"/>
        </w:rPr>
      </w:pPr>
      <w:bookmarkStart w:id="58" w:name="Judgment_15"/>
      <w:bookmarkEnd w:id="58"/>
      <w:r>
        <w:pict>
          <v:line id="_x0000_s1083" style="position:absolute;z-index:251726848"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59" w:name="R.A. McKINNON J."/>
            <w:bookmarkEnd w:id="59"/>
            <w:r>
              <w:rPr>
                <w:rFonts w:ascii="arial" w:eastAsia="arial" w:hAnsi="arial" w:cs="arial"/>
                <w:b/>
                <w:color w:val="000000"/>
                <w:sz w:val="30"/>
                <w:lang w:val="en-US" w:eastAsia="en-US" w:bidi="ar-SA"/>
              </w:rPr>
              <w:t>R.A. McKINNON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It started like most matters that end up in acrimonious litigation. The Malhotra and Manhas families were the best of friends, courteous to each other and solicitous in respect to health and family issues. Riding the crest of friendship, the defendant's company, Waterfront Homes Ltd. ("Waterfront"), built a home for the plaintiffs, but neither bothered to document the agreement in any formal way. What resulted was disastrous. The plaintiffs, Inder Paul Singh Malholtra and Harpal Kaur Malholtra (the "Plaintiffs"), now claim an accounting,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construction and damages for "harassment, assault and intimidation".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defendants, Ramnik Manhas and his company Waterfront (the "Defendants") deny these claims and by counterclaim seek payment of $20,278.60, which they say is the balance due on a cost plus contract. In her submissions at the close of the trial, counsel for the Defendants further reduced this claim to $16,005.03.</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Malhotra is a highly educated master mariner who has worked throughout the world in various shipping capacities, including captain of large vessels. Presently he owns and operates BN Maritime Services Ltd., which provides consulting services to the marine industry. He travels extensively but is based in Nanaimo BC, where he has lived since 2005.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and his wife became acquainted with the Manhas family 25 years ago. Amrau Manhas and his wife Kay were travelling in India and were helped through an illness by Mrs. Malhotra's parents. In 1992, Mr. Malhotra came to Canada on a ship and stayed for a time with some branch of the Manhas family in Nanaimo. Through that connection he met Ramnik and Sukmander Manhas. In 2005, when he and his family moved to Nanaimo, the Manhas and the Malhotras re-established their friendship.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Manhas and his wife are the shareholders of Waterfront, which is a company that constructs primarily high end homes based in Victoria, BC. Mr. Manhas had three years of training in mechanical engineering and worked in England in that field until he moved to BC. He lived in Gold River, BC, for twenty years where he worked in the mill, built houses, a shopping mall and also owned and operated the Coast Hotel.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Manhas then moved to Victoria where he commenced working in home construction through his company. Over the years he has built as many as twenty four homes. He is experienced in both cost plus and fixed price contracts. I had no difficulty concluding that he is an experienced builder who appreciates the various issues and problems that can arise in the construction industry. Unfortunately, he did not deem it necessary to formalize his arrangements with the Plaintiffs, which he would have done absent their friendship.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Malhotra claimed ignorance of the home construction industry, testifying that this was the first home he had ever built. He testified to his reliance upon Mr. Manhas' expertise and experience. I had some difficulty accepting his claims in this respect. As noted, Mr. Malhotra has vast experience in the maritime shipping industry, and surely is no stranger to contracts and the need to protect one's position in the business world.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my view, both parties were lulled into a sense of complacency by virtue of their friendship and as construction progressed each took a different view of their expected obligations. Initially, they could not agree whether this was a fixed price or cost plus contract. Ultimately, and by the time the trial commenced, the Plaintiffs, who had until then insisted this was a fixed price contract, conceded that this was a cost plus contract. The Defendants have always maintained that this was a cost plus contract.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If construction proceeded in accordance with the agreed plans, then on a fixed price contract, the Plaintiffs would not be concerned with receiving invoices or accounts as the work progressed. Instead, they would only be concerned that the finished product was completed according to plan and price. Since the Defendants always believed this was a "cost plus" contract, they were obliged to keep accurate business records in support of the cost.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Curiously, each party seems to have acted contrary to their stated belief as to whether this was a "fixed price" or "cost plus" contract. To trial, the Plaintiffs claimed a fixed price yet hounded the Defendants for invoices and other records of costs while the Defendants, claiming a fixed price contract, kept poor records and generally took a very cavalier approach to accounting responsibilities.</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THE HISTORY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July 2011, construction began on the Plaintiff's home located at 312 Dorchester Road in Nanaimo, BC. The plans were designed by Mr. Gordon Burdge and construction followed that design with no significant changes. The end result was a home that is 3,160 finished square feet, plus 1,115 square feet of garage, decks, porch and a utility room, for a total of 4,275 square feet.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Tom Crosbie was qualified as an expert able to give opinion evidence in respect to the value of the finished product. He has considerable experience as a quantity surveyor, a designation he obtained from the Royal Institute of Quantity Surveyors in 1969. He estimated the cost of construction for this home at $562,300, which excluded land costs and design/architect/engineering fees, but included HST.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Plaintiffs both testified, as did Mr. and Mrs. Manhas. Each, of course, has an entirely different view of what was agreed upon and each has differing views as to what was or was not done. Additionally, Mrs. Malhotra believes she was "harassed" and "assaulted" by Mr. Manhas. I have concluded that none of the four witnesses were accurate historians, as each slanted events to suit a particular bias.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This was particularly evident in respect to the claim of assault and harassment.</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THE ASSAULT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Plaintiffs are seeking compensatory damages in the range of $75,000 to $125,000 for assault, intimidation and harassment at the hands of Mr. Manhas.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order to prove the intentional tort of assault, the Plaintiffs must show that Mrs. Malhotra apprehended immediate physical contact by Mr. Manhas, that her apprehension was reasonable, and that Mr. Manhas acted intentionally. In </w:t>
      </w:r>
      <w:r>
        <w:rPr>
          <w:rFonts w:ascii="arial" w:eastAsia="arial" w:hAnsi="arial" w:cs="arial"/>
          <w:i/>
          <w:color w:val="000000"/>
          <w:sz w:val="20"/>
          <w:lang w:val="en-US" w:eastAsia="en-US" w:bidi="ar-SA"/>
        </w:rPr>
        <w:t>The Law of Torts,</w:t>
      </w:r>
      <w:r>
        <w:rPr>
          <w:rFonts w:ascii="arial" w:eastAsia="arial" w:hAnsi="arial" w:cs="arial"/>
          <w:color w:val="000000"/>
          <w:sz w:val="20"/>
          <w:lang w:val="en-US" w:eastAsia="en-US" w:bidi="ar-SA"/>
        </w:rPr>
        <w:t xml:space="preserve"> 7th Edition, (1987), Fleming describes the tort of assault as follows at p. 24:</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...It is sufficient if the threat would have aroused an expectation of physical interference in the mind of a reasonable person not afflicted with exaggerated fears or peculiar and abnormal timidity.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the present case, as construction progressed, differences began to arise that ultimately culminated in hostility. The Plaintiffs were unhappy with the placement of piping and unhappy with various changes they had requested. Invoices they believed the Defendants were supposed to pay went unpaid, liens were filed and small claims actions were commenced in the Provincial Court.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October 16, 2012, the parties attended the Provincial Court in Nanaimo with counsel for a hearing in respect to a related small claims matter. During a break, they were all in a hallway monitored by video camera, where Mrs. Malhotra alleges Mr. Manhas assaulted 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had the benefit of viewing this video and of course heard the several versions proffered by the witnesses.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Malhotra testified that as they left the hearing, his wife wanted to use the washroom, but was fearful of running into Mr. Manhas. When they turned the corner, he stated that Mr. Manhas stepped towards them with his fists raised in a threatening manner, swore at Mrs. Malhotra and called them both thieves. As a result, they attended the RCMP station to give a statement and Mrs. Malhotra saw her doctor. Mr. Malhotra stated he saw significant changes in his wife's behaviour following this incident, including paranoid thoughts that someone is trying to kill her, attending a psychologist and taking medication.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Mrs. Malhotra testified that she had several encounters with Mr. Manhas where she felt he was mocking her, causing her to feel stress and anxiety. She echoed her husband's testimony that Mr. Manhas charged at them with raised fists as they turned a corner while calling them thieves and uttering profanities. She stated she continues to suffer as a result of this incident, including being fearful while driving alone, being unable to sleep, not attending the Sikh temple out of fear of running into Mr. Manhas' extended family and experiencing worry over the safety of her family. She is also on medication to assist her with sleeping and anxiety. On cross-examination, she noted that she was between six and ten feet away from Mr. Manhas when he began shouting at 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Manhas accepts he was angry and did call Mrs. Malhotra a "bitch", but denied any assault or conduct that could be construed as an assault.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video recording of the incident shows an exchange between Mr. Manhas and Mr. Malhotra. At first, Mr. Manhas' hands are in his pockets as he spoke to Mr. Malhotra. He then raises his hands in order to "shrug off" his wife, who was grasping at him. This series of events was supported by the testimony of Mr. Manhas, Mrs. Manhas and Shavi Manhas. At no time is Mrs. Malhotra in the camera's view. I accept the series of events as stated by the Defendants and shown in the video footage.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Accordingly, I had no trouble concluding that there is no substance whatsoever to this allegation, and I dismiss the claims advanced in respect to this claim.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accept that Mrs. Malhotra genuinely believes she has reason to fear Mr. Manhas. However, these exaggerated fears emanate from her fragile emotional state caused by events other than contact with Mr. Manhas. I heard evidence of some marital discord in the Malhotra family which may be part of the problem. I simply do not know what causes her to feel the fears she expressed at trial. However, it is not reasonable to blame Mr. Manhas for the condition. Contractual disputes resulting in litigation invariably create anxiety, fear and anger, and this case is no exception.</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THE CONSTRUCTION PROCESS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absence of a contractual document has resulted in both sides proffering evidence of oral discussions and conduct said to support their respective views. As an example, Mr. Manhas says he offered to supervise construction of the home through his company, Waterfront, for a fixed fee of $26,000. Only $13,000 was paid, which Mr. Malhotra says was the agreed fee.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only document in support of this fee was a CIBC generated "agreement" (Exhibit 12) between the parties, which the bank clearly stated in an email (Exhibit 31) was merely "to satisfy our construction lending debt..." That document sets out the total cost of construction at $420,504.00, including HST. It also referred to an additional cost of $13,600 for a "consulting fee". Counsel advised during final submissions that the Defendants were not pursuing any claim for additional consulting fees.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Plaintiffs testified that they gave Mr. Manhas $50,000 in cash, whereas he says it was only $13,000. There is no issue that the Plaintiffs, at various times, obtained cash from their accounts. The issue is: where did this money go? The Plaintiffs say it went to Mr. Manhas. Mr. Manhas says he only received $13,000, and that the rest must have been paid to trades. I accept the Plaintiff's evidence that the money went to the defendant, Mr. Manhas, although it is unclear what he did with those funds.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found Mrs. Manhas to be a very unreliable witness. I agree with Plaintiffs' counsel that she was "evasive, non-responsive and self-serving" in her testimony. Initially, she denied receipt of cash from the Plaintiffs, but then conceded that her husband had given her $13,000 in cash, which he apparently had been keeping for months before giving it to 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and Mrs. Manhas added to the financial confusion by paying some invoices with their personal credit cards and then had Waterfront reimburse them. Other invoices were paid by company cheque, and I accept that still others were paid by cash, which came from the Plaintiffs. They also occasionally made one payment for combined invoices, some of which had nothing to do with the Plaintiffs' home.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Plaintiffs claim payments to the Defendants totalling $369,560, while the Defendants admit to receiving $319,560. One of the many problems that arose in this dispute is the "fiddle" engaged by both parties to keep the cost of the HST as low as possible. Unrecorded cash payments were made for various goods and services, which also may be part of a "fiddle" to avoid taxes.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It is clear to me that even assuming a payment of $369,560 was received by the Defendants, this amount is far less than it cost to build this home. Tom Crosbie testified that the cost of construction was $562,300. That leaves an unaccounted sum between $192,740 and $242,740. It seems to me that the Plaintiffs must have paid in cash for various up grades and services additional to those initially contemplated.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Plaintiffs filed extensive financial documentation in an effort to persuade this court to provide a forensic accounting of all the transactions they were able to record. I decline the invitation to do so simply because it is impossible to ferret out what actually occurred by looking at the many payments, invoices and deliveries to the site coupled with the convoluted methods of payment and the many changes in material, location and quality requested by the Plaintiffs.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There are various outstanding accounts for suppliers that are the subject of lien claims and Provincial Court Small Claims actions. I do not know the status of these claims. It seems to me that given my conclusion that Mr. Manhas was given $50,000, for which he has not accounted, this would place the amount provided by the Plaintiffs at $369,560. In addition there is a $750 rebate from the City of Nanaimo that is owed to the Plaintiffs.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By my calculations, and accepting as I do, the figures submitted by the Plaintiffs in respect to this discrete area, I would give judgment to the Plaintiffs for $50,750, plus the amount calculated for duplicated invoices.</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 xml:space="preserve">THE CLAIM OF </w:t>
      </w:r>
      <w:r>
        <w:rPr>
          <w:rFonts w:ascii="arial" w:eastAsia="arial" w:hAnsi="arial" w:cs="arial"/>
          <w:b/>
          <w:i/>
          <w:color w:val="000000"/>
          <w:sz w:val="20"/>
          <w:u w:val="single"/>
          <w:lang w:val="en-US" w:eastAsia="en-US" w:bidi="ar-SA"/>
        </w:rPr>
        <w:t>NEGLIGENCE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Plaintiffs claim the Defendants were negligent in the construction of the home. They pointed to claims submitted to the Home Warranty insurer and to evidence in respect to relocating the HVAC system.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No expert evidence was led to establish any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many submissions to the Home Warranty people struck me as negligible. Indeed, all of the many complaints were either rectified, or not acknowledged as a deficiency. I do not accept the Plaintiffs' evidence that the relocation of the HVAC system was done without their consent. As I indicated earlier in this judgment, Mr. Malhotra was much more involved in the construction process than he claimed. It was only after the parties had their falling out that these claims arose. Accordingly, the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dismissed.</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THE COUNTER CLAIM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Defendants claim $16,005.03 by way of counter claim. This figure was determined after concluding that the defendant is owed $47,267.33 less $31,262.00 paid by the Plaintiffs. This exercise is a quantum leap in speculation. I can find no evidence to support that the defendant is "owed" $47,267.33. The counter claim is dismissed.</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There will be judgment for the Plaintiffs in the amount of $50,750 plus whatever amount is due in respect to duplicated invoices. The Plaintiffs' claims for damages for assault are dismissed.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do not know what effect this judgment has on the issue of costs. Clearly, the Plaintiffs have not succeeded to the extent they claimed and, equally, the Defendants have not been entirely successful. Unless the parties can agree, the matter of costs will have to be determined by a judge appointed by the Chief Justice, as I am no longer a member of the Court.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R.A. McKINNON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4" style="position:absolute;z-index:2517770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01"/>
          <w:headerReference w:type="default" r:id="rId402"/>
          <w:footerReference w:type="even" r:id="rId403"/>
          <w:footerReference w:type="default" r:id="rId404"/>
          <w:headerReference w:type="first" r:id="rId405"/>
          <w:footerReference w:type="first" r:id="rId40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07" w:history="1">
        <w:r>
          <w:rPr>
            <w:rFonts w:ascii="arial" w:eastAsia="arial" w:hAnsi="arial" w:cs="arial"/>
            <w:b/>
            <w:bCs/>
            <w:i/>
            <w:color w:val="0077CC"/>
            <w:kern w:val="32"/>
            <w:sz w:val="28"/>
            <w:szCs w:val="32"/>
            <w:u w:val="single"/>
            <w:shd w:val="clear" w:color="auto" w:fill="FFFFFF"/>
            <w:lang w:val="en-US" w:eastAsia="en-US" w:bidi="ar-SA"/>
          </w:rPr>
          <w:t>McPhail v. Ross, [2019] B.C.J. No. 20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E.J. Adair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24-27, 29, October 1, 4 and 5,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9,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S149600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20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21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Cory Michael McPhail, Plaintiff, and Kyle Ross,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(168 paras.)</w:t>
      </w:r>
    </w:p>
    <w:p>
      <w:pPr>
        <w:jc w:val="both"/>
        <w:rPr>
          <w:rFonts w:ascii="arial" w:eastAsia="arial" w:hAnsi="arial" w:cs="arial"/>
          <w:sz w:val="20"/>
          <w:lang w:val="en-US" w:eastAsia="en-US" w:bidi="ar-SA"/>
        </w:rPr>
      </w:pPr>
      <w:bookmarkStart w:id="60" w:name="Counsel_16"/>
      <w:bookmarkEnd w:id="6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5" style="position:absolute;z-index:251676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in person: Cory Michael McPhail.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Darren D. Stewart, Frederik Troen.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61" w:name="Judgment_16"/>
      <w:bookmarkEnd w:id="61"/>
      <w:r>
        <w:pict>
          <v:line id="_x0000_s1086" style="position:absolute;z-index:25172787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r>
        <w:rPr>
          <w:rFonts w:ascii="arial" w:eastAsia="arial" w:hAnsi="arial" w:cs="arial"/>
          <w:sz w:val="20"/>
          <w:lang w:val="en-US" w:eastAsia="en-US" w:bidi="ar-SA"/>
        </w:rPr>
        <w:cr/>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Introduction</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Background</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accident and life after the accident</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expert evidence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Edamura</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Stewart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Hummel</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Lari</w:t>
      </w:r>
    </w:p>
    <w:p>
      <w:pPr>
        <w:numPr>
          <w:numId w:val="3"/>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Credibility and causation</w:t>
      </w:r>
    </w:p>
    <w:p>
      <w:pPr>
        <w:numPr>
          <w:numId w:val="3"/>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Findings and conclusions about Mr. McPhail's injuries</w:t>
      </w:r>
    </w:p>
    <w:p>
      <w:pPr>
        <w:numPr>
          <w:numId w:val="3"/>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earning capacity</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Mitigation</w:t>
      </w:r>
    </w:p>
    <w:p>
      <w:pPr>
        <w:numPr>
          <w:numId w:val="5"/>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Summary and disposition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2" w:name="E.J. ADAIR J."/>
            <w:bookmarkEnd w:id="62"/>
            <w:r>
              <w:rPr>
                <w:rFonts w:ascii="arial" w:eastAsia="arial" w:hAnsi="arial" w:cs="arial"/>
                <w:b/>
                <w:color w:val="000000"/>
                <w:sz w:val="30"/>
                <w:lang w:val="en-US" w:eastAsia="en-US" w:bidi="ar-SA"/>
              </w:rPr>
              <w:t>E.J. ADAIR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1.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December 2012, the plaintiff, Cory McPhail, was involved in a motor vehicle accident while driving on West 4th Avenue in Vancouver. The defendant turned left onto West 4th from a side street, and Mr. McPhail's vehicle and the defendant's vehicle collided.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defendant admits that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McPhail, who was a graduate student at the University of British Columbia in December 2012, claims that, as a result of the accident, he sustained injuries to his neck and back (including bulging and herniated discs), chronic thoracic outlet syndrome and post-traumatic stress disorder. In addition to a very substantial award for non-pecuniary damages (over $300,000), Mr. McPhail seeks compensation for past and future loss of earning capacity, costs of future care and special damages. His total damage claim exceeds $6.4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 says that Mr. McPhail's accident-related injuries resolved fairly quickly, did not interfere with his academic, athletic or professional pursuits and have not impaired his past or future earning capacity. The defendant says further that Mr. McPhail has failed to prove any entitlement to compensation for costs of future care or for most of the special damages claimed. The defendant also says that Mr. McPhail failed to take reasonable steps to mitigate his damages, and any award must be reduced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Finally, the defendant says that Mr. McPhail is neither a credible nor reliable witness, and his lack of credibility affects every aspect of his case. The defendant says that, given the lack of objective evidence to support any injury caused by the accident and the issues with Mr. McPhail's credibility, the court would be justified in making no award of damages and dismissing his action. Alternatively, the defendant says that Mr. McPhail is, at most, entitled to only a modest award for non-pecuniary damages, subject to a deduction for failure to mitigate, and to special damages of about $2,500.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2.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McPhail was born in April 1980 in Winnipeg. His parents continue to live in Manitoba. He has two brothers.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McPhail graduated from high school in Winnipeg. He explained that he took a number of "advance placement" credits while in high school, and, according to Mr. McPhail, he received high grades. He was accepted into a Bachelor of Science program at McGill, and attended there from 1998 to 2001. Mr. McPhail explained that, because of his advance placement credits, he was able to complete four years of university in three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According to Mr. McPhail, while at McGill, he had a variety of academic interests. He studied child care and child psychology, and he specialized in child development. He worked in a daycare. Mr. McPhail was interested in pursuing further studies in graduate school, including, perhaps, a medical degree. However, according to Mr. McPhail, he needed a 4.0 average to get into medical school. Mr. McPhail explained that it was hard for him to maintain a 4.0 average at McGill. He explained further that, to have the career he wanted, he needed both good grades and publications.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Therefore, after graduation from McGill, Mr. McPhail decided to pursue further studies, with a view to possibly raising his average in order to apply to medical school. According to Mr. McPhail, after graduating from McGill, he succeeded in finding a job in Winnipeg, working with a clinical psychology professor and other health workers in the field of anxiety disorders. He explained that he did not earn much income from this job. However, he explained that he was able to take courses at the University of Manitoba while working, and he considered his job as a potential springboard to do a Master's or PhD. Indeed, according to Mr. McPhail, he thought that the combination of work and additional courses would allow him to "write my ticket." According to Mr. McPhail, he received A grades in many courses, while working full-time and playing sports. As Mr. McPhail recalled, he began his studies at the University of Manitoba in 2001 or 2002, and was enrolled as a continuing student in the Faculty of Science. He continued there until the 2005-2006 session. The term beginning September 2005 was the last term that he did course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 note that there is no independent corroboration of Mr. McPhail's evidence concerning his academic performance. He declined to have his transcripts admitted into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According to Mr. McPhail, armed with the additional work he had done at the University of Manitoba, together with the grades he felt he needed, he was then in a position to apply to graduate school and also for scholarships.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However, according to Mr. McPhail, after leaving the University of Manitoba, he then went to work as a survey analyst for the Alberta government. According to Mr. McPhail, while there, he heard about the benefits of getting a Master's degree, and received encouragement to study with someone in Calgary. He applied for admission to graduate school at three universities: UBC, the University of Calgary and the University of Manitoba. According to Mr. McPhail, he was accepted at all three. He chose UBC, for the term beginning September 2008. The summer of 2008, he moved from Winnipeg to the Lower Mainland. Mr. McPhail explained that, as of September 2008, he was enrolled as a full-time student in the Master of Science program at the School of Population and Public Health at UBC.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According to Mr. McPhail, at the same time he was applying to graduate school, he was also applying for scholarships. Mr. McPhail explained that he was awarded two scholarships for his Master's program: a graduate entrance scholarship and the Western Regional Training Centre Award (the "WRTC Award"). The total value was $17,000 for each of two years. Then, according to Mr. McPhail, once he had started at UBC, he applied for and was awarded the Fredrick Banting and Charles Best Award (the "Banting Award"), which was $36,000 over two years. Acceptance of the Banting Award meant that he was unable to continue receiving the WRTC Award. The Banting Award was for the academic years beginning September 2009 and September 2010. Mr. McPhail explained that, in total, he had grants and scholarships for a total of three years of his Master's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my view, the reasonable inference is that the graduate student is expected to complete the work required for the degree within three years of admission as a full-time student. Based on Mr. McPhail being admitted in September 2008, the expectation would be that he would graduate in 2011 with his Master's.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However, Mr. McPhail explained that, when he started the program, he had no particular time in mind for completing it. As far as he was concerned, he was simply going to be working hard and acquiring skills. Mr. McPhail explained that, initially, he thought he would finish his degree in two or three years. But that was before he saw the benefit of activities such as taking additional courses, accepting internships and attending conferences.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According to Mr. McPhail, he took a full course load his first years at UBC. According to Mr. McPhail, the program was designed so that the student would take many courses up-front, and then be more involved in writing. According to Mr. McPhail, there were some required courses, together with two electives. He explained that he took many additional courses as well, since (according to Mr. McPhail) it was free for him to do so. While he was receiving funds from the WRTC Award, he also had responsibilities related to that Award, for example, meetings during the week and conferences on weekends.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By September 2011, Mr. McPhail was no longer in receipt of scholarship money. However, he had not yet completed his degree. He explained that he was successful in obtaining a paid internship at Vancouver General Hospital, assisting one of the health economists there. Mr. McPhail explained that, by taking this position, he was trying to fill out his expertise, although his Master's thesis was about child development. According to Mr. McPhail, he took on considerable extra responsibilities, including a teaching assistant position, to distinguish himself after he completed his degree. He explained that he was encouraged by his professors.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McPhail was the only witness who testified about his time at UBC. There is no independent evidence concerning the courses he took, the work he did in those courses or the grades he received. There is no independent evidence concerning his performance as a teaching assistant or as an intern, and no evidence from any of the professors that Mr. McPhail said encouraged him while he was a graduate student.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According to Mr. McPhail, in 2011, towards the end of the Banting Award, he applied to do a PhD at UBC. (I infer the application was made in the spring of 2011.) However, he was not accepted into a PhD program. Mr. McPhail explained that he was not surprised that he was not accepted. According to Mr. McPhail, he then decided to concentrate on his Master's thesis, "hit a home run with it" and get it published.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application in 2011 was the only application Mr. McPhail made for admission to a PhD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McPhail had significant interests outside university. According to Mr. McPhail, from a young age, he had always been very physically active and participated in a variety of sports and athletic activities. While at university, his activities included cycling and swimming. From time to time, Mr. McPhail would train to participate in triathlons. He was also an avid skier. According to Mr. McPhail, during the ski season, he had a ski pass and did almost 30 days of skiing, six to eight hours a day, on double black-diamond runs. Mr. McPhail explained that his training and athletic activities made him more productive in reading and writing.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May 2012, Mr. McPhail had a medical issue that required attention. He had a cyst in his groin, and it interfered with his cycling. He was referred to a surgeon, Dr. Cheifetz, for assessment. However, Mr. McPhail then encountered a long wait, which he found very frustrating. Among other things, he was unable to bike as he was accustomed to (including to and from UBC) and had to cut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As of the academic year beginning September 2012, Mr. McPhail had not yet completed his thesis, the final requirement for his degree, although it was in progress. According to Mr. McPhail, his plan at that time was to graduate in May or June 2013, and then "pursue many options." He explained that, as he was winding down his writing, he was thinking about jobs after graduation and possibly a PhD. However, he had not applied for anything. He explained that he was talking with his supervisors, and he thought that his research had gained considerable interest. He explained that, if he was able to get his thesis published, then it would "open a lot of doors" to him, both inside and outside his field.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heard no evidence from any of Mr. McPhail's supervisors to support Mr. McPhail's evidence concerning his prospects after completing the work for his Master's degree.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McPhail described how he was typically spending his week around this time. He explained that he had a very regular training schedule, and also a schedule at UBC. According to Mr. McPhail, he was training - that is, cycling, running, swimming and doing other athletic activities - about 15 to 18 hours a week. He estimated he was spending about 20 hours a week in school, and then about 40 hours a week reading and writing. Mr. McPhail explained that this did not leave very much time for socializing.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Sometime in the fall of 2012, and before the accident, Mr. McPhail finally saw Dr. Cheifetz concerning his cyst, and she recommended surgery to remove it. Mr. McPhail wrote a letter to Dr. Cheifetz, expressing his unhappiness about the situation and the long wait he had experienced. His letter read in part [with original spelling]: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understand that this health problem has completely changed my life. I am in a stressful MSc program and I exercise to relax. It is hard to work hard when you can't play hard. I also can no longer bike to school while this cyst is around.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missed a triathlon this summer and the good health that goes along with it while waiting.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to focus on what I can control, and that is half-measure and alternate exercise in the meantime. . . . It is unacceptable that someone in the prime of their life would wait eight months or longer for day surgery that inhibits their ability to commute or exercise. .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this point I need to wait for an appt date and write a letter to someone explaining my situation. I realize lots of people are unhappy with waittimes, but I have to say something directly to decision makers.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letter, which is in Mr. McPhail's handwriting, was put to him on cross-examination. At first, Mr. McPhail said that he could not recall leaving a note for Dr. Cheifetz. When he was asked to identify a copy of the letter, his response was that it appeared to be his letter. When the statement in the letter that the "health problem has completely changed my life" was put to him, he said that the problem did not completely change his life. Rather, according to Mr. McPhail, he wrote the letter (and made the statement) to get his appointment moved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McPhail's surgery was eventually scheduled for December 21,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3. The accident and life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accident happened on December 12, 2012. According to Mr. McPhail, he was driving on West 4th Avenue, on his way to UBC to use the pool. As he recalled, the defendant ran a Stop sign making a left turn from a side street onto West 4th, in front of Mr. McPhail and to his right. As Mr. McPhail recalled, he was unable to stop in time, although he swerved to try to avoid the defendant's vehicle. According to Mr. McPhail, the front and right side of his car hit the defendant's car. As Mr. McPhail recalled, almost immediately, he burst into tears and he described himself crying for what felt like 20 minutes. He recalled holding his head in his hands, trying to deal with the level of pain he was having. He recalled that someone opened the door to his car and asked him how he was. He said that he believed he was "in shock," although he remembered exchanging information with the defendant. No emergency vehicles were called to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According to Mr. McPhail, his car was "totalled." However, since he was only a few blocks away from where he lived, he drove the car home. According to Mr. McPhail, he was injured, and in shock, and needed to go to sleep. He remembered being "in a lot of pain," and that his "body was trying to come to grips with trauma."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According to Mr. McPhail, over the next few days, he felt "injured and sore." He did not think that he had sustained any broken bones, so he concluded there was nothing a health care provider could or would do for him. He decided to just rest. As he recalled, his neck, back and shoulders were "extremely stiff and sore," and that sitting in a chair was "extremely painful." According to Mr. McPhail, he would "burst out crying," and have "flashbacks, like a light switch," as well as "intrusive thoughts." As Mr. McPhail recalled, he was unable to function because of pain. Moreover, according to Mr. McPhail, immediately after the accident, he also had "severe" numbness in his hands and feet, in addition to being in "severe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McPhail saw his family doctor, Dr. Edamura, on December 14, 2012. At that time, and according to Dr. Edamura's clinical records, Mr. McPhail reported (among other things) that his neck and back were sore, that he had headaches and "intrusive thoughts." Dr. Edamura did not note any report of numbness in Mr. McPhail's hands or feet. On examination, Dr. Edamura found that the range of motion in Mr. McPhail's neck was restricted and his posterior neck muscles felt tender. Dr. Edamura also found that the range of motion in Mr. McPhail's back was restricted. He diagnosed Mr. McPhail as having neck and back strain, and headaches. According to Dr. Edamura, the symptoms Mr. McPhail described also fit the DSM-V criteria for post-traumatic stress disorder, and he made a provisional diagnosis in that respect. In terms of treatment, he recommended that Mr. McPhail take over-the-counter analgesics (acetaminophen and ibuprophen) and have some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Dr. Edamura did not see Mr. McPhail again until June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 December 21, 2012, Mr. McPhail had day surgery for his cyst.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According to Mr. McPhail, he spent time over the Christmas holidays with his family, apparently in San Francisco. According to Mr. McPhail, he had indicated to his family that he was concerned about seeing and spending time with them because he was so irritable and in pain as a result of the accident. Despite that, he acceded to encouragement from one of his brothers to visit. According to Mr. McPhail, the trip was stressful. As he recalled, he was irritable and argued with family members. In his evidence, Mr. McPhail completely downplayed the possibility that discomfort and the need to heal from his surgery may have had any effect on his mood or his willingness or ability to participate in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McPhail has not seen either of his brothers since December 2012. As he recalled, he saw his parents only once for Christmas after December 2012. As of trial, he said his parents were living in Winnipeg, "as far as I know."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According to Mr. McPhail, after the accident, he was unable to keep up the level of activities he had done before the accident, and things took more effort. As he recalled, the first month, walking was painful, and he had to rent a car to get around. According to Mr. McPhail, his posture was very affected. As Mr. McPhail also recalled, his digestive system was also affected and he became "incredibly constipated" for two or three days, which was "incredibly painful." He was sleeping 12 hours a day, but his sleep was interrupted by dreams, flashbacks and pain. He felt much less productive with his school work, compared with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McPhail rejected altogether the suggestion that the wound from his surgery interfered with his ability to bike and 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January 2013, Mr. McPhail began physiotherapy, which he attended regularly (about three times a week) until May 2013. Jessie Wu, Mr. McPhail's physiotherapist, was called by the defendant as a witness at trial. Mr. McPhail and Ms. Wu have different perspectives on Mr. McPhail's progress during the months he was receiving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According to Mr. McPhail, as his level of pain lessened, and he worked on strengthening areas, he was able to do more to try to reduce his pain. However, he had pain most of the time. Mr. McPhail saw his physiotherapy as targeted at the treatment of his injuries, and the exercises were not activities he would have chosen to do but for the accident. He explained that, because of the demands on his time to complete his thesis, he was not able to fully engage in the exercises prescribed by Ms. Wu. As Mr. McPhail recalled, in addition to his therapy with Ms. Wu, he did slow running and non-contact sports. He found skiing too painful.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Ms. Wu made progress notes of her sessions with Mr. McPhail, including Mr. McPhail's reports to her about how he was doing and his activities. She explained that in the "Subjective" section of her notes, she records what the patient told her in response to her query about how the patient was doing, and her practice is to make her notes the same day as the treatment sessions. She followed that practice in her progress notes for Mr. McPhail. Mr. McPhail confirmed that Ms. Wu would ask him about his symptoms and physical activities at his sessions.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At a session on January 15, 2013, Ms. Wu noted Mr. McPhail's report to her that he was improving, "able to swim 30 mins Sun/Mon - no increase in symptoms during or after." Mr. McPhail was unable to recall making this report to Ms. Wu. He explained that he slowly resumed activities that he felt would be the types of exercise that would address his symptoms. According to Mr. McPhail, he resumed "getting in the water" sometime in 2013, but he was unable to identify a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At a session on January 19, 2013, Ms. Wu noted Mr. McPhail's report that he was "Improving - able to swim 30 mins and play vball [volleyball] for 2 hrs yesterday." Mr. McPhail was unable to recall making this report to Ms. Wu. However, according to Mr. McPhail, he had a great deal of pain playing volleyball, was unable to jump because of pain, and mostly stood around and talked to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At a session on January 22, 2013, Ms. Wu noted Mr. McPhail's report that he was "Improving - able to run 8 km. go for 1 hr bike ride without any sharp pain." Mr. McPhail was again unable to recall making this report. He could not recall when he resumed cycling after the accident. According to Mr. McPhail, now, when he cycles, he has pain and weakness in his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At a session on January 24, 2013, Ms. Wu noted Mr. McPhail's report that he was "Improving - able to go skiing for 4.5 hrs yesterday - had a few falls but not too bad. Feels a bit stiff today in midback." According to Mr. McPhail, the 4.5 hours was to travel to Whistler and come back, and he did not believe he said that he had been skiing for 4.5 hours. He testified that he went up to Whistler thinking exercise and fresh air might help him, and would have been skiing for maybe a couple of hours. According to Mr. McPhail, he left because he was not able to ski properly and was in "a lot of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At a session on January 29, 2013, Ms. Wu noted Mr. McPhail's report of "Less back pain but more 'tingling' feelings through back. Upper body is doing well. Went for a 8 km run and an 1hr swim over weekend. Felt ok 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At a session on April 16, 2013, Ms. Wu noted Mr. McPhail's report that he was "Doing well - feeling 90%. still some days when he feels 'nervy' sensations. Still hasn't done ex's much but had submitted thesis so will try more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Ms. Wu noted a number of times that Mr. McPhail was not doing the home exercises she prescribed. Mr. McPhail disagreed with this. According to Mr. McPhail, from January to May, he spent much time and effort on exercise, the 36 physiotherapy treatments were a significant indication of his efforts to mitigate the effects of his injuries, and what he did was reasonable given the other demands on 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According to Mr. McPhail, he did not seek any treatment for his PTSD symptoms, at least in part because of all the other demands on his time and the "severe time pressure" he felt he was under because of how he felt he was functioning. According to Mr. McPhail, he did not feel he was able to think in the same way as before the accident. Mr. McPhail explained that Dr. Edamura had not recommended any counselling for his PTSD symptoms. He explained further that he did his own research concerning how to reduce what he considered his PTSD symptoms and also had discussions with others in his department at UBC about what he should do. According to Mr. McPhail, he felt that self-management of his symptoms was sufficient, especially because he was also managing his physical symptoms and the damage to his career.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McPhail successfully defended his thesis in May 2013. However, according to Mr. McPhail, his pre-accident plans to engage in teaching assistant positions, volunteering, optional activities, attending conferences and networking to enhance his resumé had all been severely curtailed because of the accident. Mr. McPhail indicated that, without the accident, he would have attended 15 conferences and done two more internships, among other things, all while he was finishing writing his thesis and physically training 20 hours a week. Instead, according to Mr. McPhail, after the accident, he was focussing on just what needed to be done, and getting that done with what he described as his reduced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 note that, according to Mr. McPhail, in the year December 2011 to December 2012, he attended about four conferences. However, he explained that the year before the accident was not a good indicator of what he would have done but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According to Mr. McPhail, his reduced capacity after the accident also affected his ability to apply for jobs, and, but for the accident, he would have made many more job applications. Indeed, according to Mr. McPhail, if he had not been injured in the accident, he would have submitted 500 job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According to Mr. McPhail, in May 2013, he had a telephone interview in connection with a position at Vancouver Coastal Health Authority. Then in August 2013, he applied for a position with the Legal Services Society. He was not hired for either position. The reason or reasons why are unknown.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his evidence in chief, Mr. McPhail said that, in September 2013, he entered himself in a "bike event." He did not identify the event. He explained that he chose the bike event because, given the nature of his back injury, it was easier to sit on a bike than run. He explained that he trained for the event, but he had neck and shoulder pain, and could not train as much after the accident as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On cross-examination, Mr. McPhail identified the "bike event" as the RBC "GranFondo," a 122 kilometre bicycle race between Vancouver and Whistler. Mr. McPhail confirmed that he completed the ride in about four and a half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McPhail's Master's degree was conferred at the Fall 2013 convocation.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How Mr. McPhail was spending his time over the next 12 months is unclear. He continued to live in the apartment in Vancouver, where he had lived while a graduate student. He had no employment income in 2014. According to Mr. McPhail, he knew that he had to be working, and, sometime in late 2014 and continuing into 2015, he began submitting job applications through a UBC Careers web portal. According to Mr. McPhail, there were many jobs in the Vancouver area for someone with a Master's degree, and he had other training and experience that he believed would have made him "an extremely strong hire." However, he received no positive responses. According to Mr. McPhail, he felt the number and quality of jobs he could apply for and perform were "irreparably" affected by the accident, his pain and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June 2014, Mr. McPhail saw Dr. Edamura for the first time since December 2012. According to Dr. Edamura, Mr. McPhail reported that his back and neck were still sore. Mr. McPhail also reported on his PTSD symptoms. On physical examination, Dr. Edamura observed that range of motion in Mr. McPhail's neck and back were about 90% of normal, with a decrease in lateral flexion. Dr. Edamura diagnosed a neck and back strain and advised Mr. McPhail to continue massage therapy and exercise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Dr. Edamura again saw Mr. McPhail in February and then in early March 2015. On examination at the February visit, Dr. Edamura observed restricted range of motion of Mr. McPhail's back. According to Dr. Edamura, Mr. McPhail "told me that the post traumatic stress disorder following the motor vehicle accident was still affecting his life." On examination at the visit in March, range of motion in Mr. McPhail's neck and back were restricted. Dr. Edamura ordered an MRI of Mr. McPhail's thoracic and lumbar spine to rule out disc disease.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Dr. Edamura last examined Mr. McPhail on April 24, 2015. There was still some restriction in the range of motion in Mr. McPhail's neck and back. According to Dr. Edamura, the MRI scan report showed no significant nerve or spinal cord damage, and mild spondylosis and osteoarthritis. Dr. Edamura observed that "most of Mr. McPhail's injuries would be due to a muscle strain." Dr. Edamura advised Mr. McPhail to continue his exercises.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last time Dr. Edamura saw Mr. McPhail was on April 29, 2015, when Mr. McPhail asked Dr. Edamura to prepare a medical/legal report, which Dr. Edamura did. I will discuss his report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By the summer of 2015, Mr. McPhail concluded that he could no longer afford to pay rent and gave up his apartment. According to Mr. McPhail, as of September 2015, he began a period of homelessness, which was continuing as of trial. This situation was very distressing for him. He looked for work through temp agencies, and was able to find temporary, minimum wage jobs. However, according to Mr. McPhail, even though he was working and in great pain, he was not able to earn enough money to pay his expenses. According to Mr. McPhail, because of the accident, he was unable to enjoy his accomplishments, unable to pursue the career he wanted and unable to earn what his education and experience should have permitted him to earn. Instead, he was forced to take any available work just to earn a little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As of trial, Mr. McPhail was working primarily as a labourer with a moving company. His total reported income for 2016, according to his notice of assessment from the Canada Revenue Agency, was $11,671. In contrast, according to Mr. McPhail and but for the accident, he expected to earn an annual starting salary of about $75,000, which was about the mid-range of the jobs he read about that he considered he was qualified for. One of his goals prior to the accident had been to find a job with a good pension, and he said that he planned to work to age 70. According to Mr. McPhail, based on his pre-accident capacity, he has the qualifications for positions being posted on the current "Careers at UBC" website, for example, the position of Graduate Student Development Officer. However, despite his attempts to apply for such positions, he has not been hired. Mr. McPhail believes his continuing physical and mental symptoms from the accident have contributed to this result. In Mr. McPhail's view, as a result of the accident, he has lost five or six productive years from his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McPhail described himself as socially isolated. He attributes this in large part to his poverty and homelessness, which, in turn, he believes have come about as a result of the accident and the injuries he sustained in the accident. He is estranged from his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According to Mr. McPhail, he continues to experience symptoms, including psychological symptoms, which he believes are the result of injuries he sustained in the accident. These include what he described as a "toxic" level of stress resulting from his living conditions. He has pain in his neck, shoulders and back, and feels swelling in those areas. He also described feeling soreness, tightness, stiffness and spasms. He described having "severe" numbness in his hands and feet, and problems with his posture. He is no longer as physically fit and able, compared with before the accident. According to Mr. McPhail, he feels very frustrated with his current situation, because, when the accident happened, he had put himself in the position where he had many options for success on the 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4. The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Opinion evidence from four medical doctors was tendered at this trial. Mr. McPhail tendered opinion evidence from Dr. Edamura. The defendant tendered opinion evidence from Dr. John Stewart (a neurologist), Dr. Jonathan Hummel (an orthopedic surgeon) and Dr. Harris Lari (a psychiatrist). All of the doctors testified at trial.</w:t>
      </w:r>
      <w:r>
        <w:rPr>
          <w:rFonts w:ascii="arial" w:eastAsia="arial" w:hAnsi="arial" w:cs="arial"/>
          <w:sz w:val="20"/>
          <w:lang w:val="en-US" w:eastAsia="en-US" w:bidi="ar-SA"/>
        </w:rPr>
        <w:cr/>
      </w:r>
    </w:p>
    <w:p>
      <w:pPr>
        <w:numPr>
          <w:numId w:val="6"/>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Edamura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Dr. Edamura was qualified as a medical doctor with expertise in family medicine, qualified to give opinion evidence relating to the diagnosis, treatment and prognosis with respect to the injuries Mr. McPhail claimed to have sustained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Much of Dr. Edamura's report is a summary of his clinical records. A lengthy paragraph on p. 4 is essentially the history Mr. McPhail provided to Dr. Edamura on April 29,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Dr. Edamura's opinion is contained in a single paragraph, which begins at the bottom of p. 4 of his report. He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this previously fit and active Triathlete and graduate student was injured in an MVA on December 12, 2012, from which he has not recovered and is not or only slowly improving. He has ongoing neck, thoracic, and lower back pain since the MVA and still requires analgesics. He is still partially disabled (unable to fully work as a professional consultant and fully exercise as a triathlete, which he did prior to the MVA, because of pain). He has undergone different therapies: PT, RMT, and exercise. He has not improved significantly since stopping the physical therapies. They helped his back pain but he still needs pain killer for his back pain and therapy to maintain his range of motion. I predict that he will recover but it may take many more months or years at the rate that he has been recovering so far. It is possible he may have some permanent disability or a prolonged recovery. Although he has been very self motivated and proactive, his back and neck pain are still bothersome. Possibly some other rehabilitation or exercise program may be beneficial. He will be prone to further neck pain, thoracic, and back pain if he were to be involved in another MVA or accident. He still has some anxiety when driving and the post traumatic stress disorder still affects his sleep and his mood at times. This should improve with time but may require some psychological therapy.</w:t>
      </w:r>
    </w:p>
    <w:p>
      <w:pPr>
        <w:numPr>
          <w:numId w:val="7"/>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Stewart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Dr. Stewart is a medical doctor and a specialist in neurology. He has specific expertise with disorders and damage of the peripheral nervous system. Dr. Stewart was tendered by the defendant and qualified as a neurologist, qualified and able to diagnose and provide opinion evidence concerning neurological symptoms, and, in particular, the diagnosis and treatment of neck, back and spinal cord injuries and issues arising from them, relevant to the issues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Dr. Stewart carried out an independent medical examination of Mr. McPhail on April 18,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As part of the examination, Dr. Stewart asked Mr. McPhail to identify his current symptoms in order of severity. Mr. McPhail provided the following list [</w:t>
      </w:r>
      <w:r>
        <w:rPr>
          <w:rFonts w:ascii="arial" w:eastAsia="arial" w:hAnsi="arial" w:cs="arial"/>
          <w:i/>
          <w:color w:val="000000"/>
          <w:sz w:val="20"/>
          <w:lang w:val="en-US" w:eastAsia="en-US" w:bidi="ar-SA"/>
        </w:rPr>
        <w:t>italics</w:t>
      </w:r>
      <w:r>
        <w:rPr>
          <w:rFonts w:ascii="arial" w:eastAsia="arial" w:hAnsi="arial" w:cs="arial"/>
          <w:color w:val="000000"/>
          <w:sz w:val="20"/>
          <w:lang w:val="en-US" w:eastAsia="en-US" w:bidi="ar-SA"/>
        </w:rPr>
        <w:t xml:space="preserve"> in Dr. Stewart's report]:</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"Pain and weakness in my spinal cord when I do certain activities". . .</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"Pinched nerve(s)" in the left lower lumbar area greater than the right, and in the left mid thoracic spinal area. . . .</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ribbon of numbness". . . . Sometimes it seems to involve the right leg or occasionally the left, and sometime he feels the whole right leg is abnormally "numb".</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balls of his feet and to a lesser extent in the tips of his toes, sometimes there will be a mild numbness. . . .</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his upper limbs, he says that sometimes there is numbness in the tips of the fingers and sometimes involving the whole hands. Sometimes this is exacerbated by cold. He is not sure if certain fingers are preferentially involved. . . . Occasionally he wakes at night with these symptoms in his hands though the symptoms themselves do not wake him. . . . He certainly does not describe any permanent sensory symptoms in the hands, and he says that the strength there is very good as is the strength in the upper limbs.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Neck stiffness, pain and some mild residual decrease range of motion. . . .</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Driving behaviour: In certain situations he is quite fearful and remains somewhat so now . . . .</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Cognition: He says that he is concerned that his "</w:t>
      </w:r>
      <w:r>
        <w:rPr>
          <w:rFonts w:ascii="arial" w:eastAsia="arial" w:hAnsi="arial" w:cs="arial"/>
          <w:i/>
          <w:color w:val="000000"/>
          <w:sz w:val="20"/>
          <w:lang w:val="en-US" w:eastAsia="en-US" w:bidi="ar-SA"/>
        </w:rPr>
        <w:t>academic</w:t>
      </w:r>
      <w:r>
        <w:rPr>
          <w:rFonts w:ascii="arial" w:eastAsia="arial" w:hAnsi="arial" w:cs="arial"/>
          <w:color w:val="000000"/>
          <w:sz w:val="20"/>
          <w:lang w:val="en-US" w:eastAsia="en-US" w:bidi="ar-SA"/>
        </w:rPr>
        <w:t>" cognition is impaired but says that he is not doing anything to "</w:t>
      </w:r>
      <w:r>
        <w:rPr>
          <w:rFonts w:ascii="arial" w:eastAsia="arial" w:hAnsi="arial" w:cs="arial"/>
          <w:i/>
          <w:color w:val="000000"/>
          <w:sz w:val="20"/>
          <w:lang w:val="en-US" w:eastAsia="en-US" w:bidi="ar-SA"/>
        </w:rPr>
        <w:t>challenge my brain</w:t>
      </w:r>
      <w:r>
        <w:rPr>
          <w:rFonts w:ascii="arial" w:eastAsia="arial" w:hAnsi="arial" w:cs="arial"/>
          <w:color w:val="000000"/>
          <w:sz w:val="20"/>
          <w:lang w:val="en-US" w:eastAsia="en-US" w:bidi="ar-SA"/>
        </w:rPr>
        <w:t>" . . ..</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is very concerned about the long-term sequelae of the injuries he alleges to have sustained in this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On examination, Dr. Stewart concluded that there were no significant neurological abnormalities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Dr. Stewart then provided his diagnoses and opinions: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 Whiplash injury to neck and spine: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Judging from the records that I have reviewed and my interview and examination, I am basing this diagnosis and opinion on assumed facts as related above. In my opinion, Mr. McPhail experienced a whiplash injury in his MVA and this gave rise to his spinal symptoms. For reason[s] explained below, it is impossible for me to judge the severity and duration of these symptoms. However, I am impressed with the physiotherapy reports of 2013 (see above) that it is unlikely that his symptoms were severe in view of his abilities to participate in a variety of significant athletic pursuits.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 With respect to his complaints of "pain and weakness in my spinal cord" i.e. the mid-thoracic spinal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think this is a minor manifestation of the whiplash injury and is myofascial pain and has nothing to do with his spinal cord or the nerves exiting therefrom. Of note, there were no significant abnormalities seen in this area on MRI.</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 Regarding the "pinched nerve" in lower back: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symptoms are quite trivial and are non-anatomic. There is nothing to convince me about there being a significant pinched nerve, and his MRI of the lumbar spine supports this view.</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 The foot and leg numbness: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is intermittent and mild and I could find no significant sensory abnormalities to corroborate a neurological problem except for the minor numbness on the medial aspects of the plantar surfaces of the great toes. Sometimes this is simply caused by minor pressure from footwear on a nerve to that area and would not relate to his MVA.</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5. Hand numbness: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is mild and intermittent and right more than left and could represent very mild carpal tunnel syndrome (CTS) (pinching of the median nerve at the wrist). Although this has been attributed by a few authors to trauma to the wrists during an MVA secondary to acute pressure on the wrists from the impact of the wrists on the steering wheel, CTS is extremely common in the general population, especially in persons who do heavy physical work. I cannot attribute these symptoms to his MVA.</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6. Posttraumatic stress disorder (PTSD):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diagnosis of PTSD has been raised in some of the notes that I have reviewed. I think the diagnosis originated with Mr. McPhail himself although I cannot be certain of that. I do not think that he has this disorder but I would defer to a psychiatric evaluation.</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believe that Mr. McPhail is suffering from a complex mixture of whiplash-induced pain (now lessening), hypochondriasis, heightened somatic vigilance (increased awareness and undue concern over minor symptoms), anxiety, anger, frustration and possibly depression. I suspect that these have led to him to be consciously or subconsciously exaggerating and unfortunately becoming obsessed by his symptoms. I cannot say whether these issues were directly caused by the MVA. I would defer to a psychiatrist for his or her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only treatment recommendation was psychiatric evaluation and treatment, which Dr. Stewart said was "essential."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terms of prognosis, Dr. Stewart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depends on the diagnosis and management suggested by a psychiatrist. The whiplash symptoms, in my view, are now trivial and he is working heavy manual jobs, which would support that view, and I would therefore expect these mild residual symptoms to continue to improve.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On cross-examination, Mr. McPhail put to Dr. Stewart that the findings on the MRI scan (disc space narrowing and desiccation, slight annular bulging) were consistent with the conclusion that these resulted from the accident, and were consistent with the accident having caused a bulging disc. Dr. Stewart explained that many people have these same findings on an MRI scan and have no symptoms, and it would not be right to conclude a cause and effect from the results of the MRI scan, or ascribe symptoms to the MRI findings. Mr. McPhail also put to Dr. Stewart that Mr. McPhail had sustained a herniated disc as a result of the accident. Although Dr. Stewart acknowledged that it was possible, in his opinion, the likelihood that Mr. McPhail had sustained a herniated disc was very low and it was highly unlikely.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With respect to his prognosis that Mr. McPhail's whiplash symptoms would continue to improve, Dr. Stewart acknowledged, that it was impossible to predict accurately, and it was possible that Mr. McPhail would have symptoms indefinitely.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Mr. McPhail put to Dr. Stewart that a timeline of sudden and extreme hand numbness continuing from the accident to trial would support the accident as the cause (in contrast to the diagnosis stated by Dr. Stewart in his report). Dr. Stewart responded that it was possible, but he did not have enough information about Mr. McPhail's early symptoms and therefore anything he could say would be speculative.</w:t>
      </w:r>
      <w:r>
        <w:rPr>
          <w:rFonts w:ascii="arial" w:eastAsia="arial" w:hAnsi="arial" w:cs="arial"/>
          <w:sz w:val="20"/>
          <w:lang w:val="en-US" w:eastAsia="en-US" w:bidi="ar-SA"/>
        </w:rPr>
        <w:cr/>
      </w:r>
    </w:p>
    <w:p>
      <w:pPr>
        <w:numPr>
          <w:numId w:val="18"/>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Hummel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Dr. Hummel is a medical doctor with a speciality in orthopaedic surgery. He was tendered by the defendant and qualified as an expert in the field of orthopaedics, qualified to give opinion evidence regarding the diagnoses, prognoses and treatment of matters in that field, relevant to the issues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Dr. Hummel carried out an independent medical examination of Mr. McPhail on April 19,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Dr. Hummel recorded Mr. McPhail's complaints as of April 19 as: pain, weakness and stiffness in his neck on occasion; pain in his chest, posteriorly to the right of midline in the mid-thoracic region; pain at the base of his skull and spine, which occasionally goes into his right buttock; and occasionally intermittent numbness and tingling in his hands and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On examination, Dr. Hummel reported that Mr. McPhail had a "full normal range of motion." Dr. Hummel noted that Mr. McPhail: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kept stressing that the range of motion was for normal people, not high-class athletes, and he was concerned that in fact his range of motion would be interpreted as normal for him; however, he felt that his range of motion was diminished.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Dr. Hummel described the rest of the examination as "unremarkable." He could find no evidence of any neurologic deficits. Mr. McPhail had full range of motion of both shoulders, elbows and wrists, and full range of motion of his lower back. He reported some tenderness at the midline of his lower lumbar spine, but otherwise, all other findings were negative. His feet were normal. Dr. Hummel was unable to find any other pathology.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In Dr. Hummel's opinion, Mr. McPhail's complaints as of April 19, 2018 were "possibly related to the accident. However, there were no objective clinical findings on examination." In accordance with his instruction letter, he drew a distinction between "possibly" (meaning less than 50% likely) and "probably" (meaning more than 50% likely) and could say only that Mr. McPhail's complaints were possibly related to the accident, based on his examination and the documents (including Dr. Edamura's clinical records and Ms. Wu's progress notes) he reviewed. With respect to a prognosis, Dr. Hummel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are no supportive objective clinical findings. Mr. McPhail states however since he is a superior athlete, he has not recovered to the elite level he was prior to the accident. I believe he has settled and the prognosis is good from the orthopedic perspective.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Dr. Hummel's opinion, there was no evidence of objective limitations in relation to Mr. McPhail's functional capacity, and he found no evidence that would prevent Mr. McPhail from returning to his pre-accident level of activity. Dr. Hummel had no treatment recommendations, and there were no therapies or treatments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Mr. McPhail began his cross-examination of Dr. Hummel with a question about thoracic outlet syndrome. That was the first time in the trial that this condition had been mentioned. It was not mentioned in the notice of civil claim. It was not mentioned in Mr. McPhail's trial brief. Thereafter, Mr. McPhail put a number of questions to Dr. Hummel with a view to having Dr. Hummel accept thoracic outlet syndrome as a diagnosis for Mr. McPhail. Dr. Hummel rejected it. Dr. Hummel stated that he did not think that Mr. McPhail had thoracic outlet syndrome, based on Dr. Hummel's clinical examination of Mr. McPhail. Mr. McPhail focussed on a reported symptom of numbness in the patient's hands. Dr. Hummel explained that this was a possible indicator of thoracic outlet syndrome, but it was only one of numerous clinical findings. Dr. Hummel agreed that if someone had objective findings of whiplash together with pain and numbness in the person's hands, thoracic outlet syndrome was a possible diagnosis, but, he cautioned, not in every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Mr. McPhail put a series of questions to Dr. Hummel based on hypotheticals concerning the speed of the vehicles involved in the accident. However, there was no evidence of the speed of either Mr. McPhail's vehicle or the defendant's vehicle, and therefore there was no factual foundation for this series of questions. There was a similar problem with a series of questions Mr. McPhail put to Dr. Hummel that assumed that, before the accident, Mr. McPhail's range of motion was greater than what would be considered "normal," and (therefore) if Mr. McPhail's range of motion was normal after the accident, that represented a loss to him. Questions put to Dr. Hummel that assumed Mr. McPhail had problems with certain swim strokes after the accident, and that these problems were the result of injuries he sustained in the accident, also had no foundation in Mr. McPhail's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Mr. McPhail attempted to secure Dr. Hummel's agreement that his complaints of tenderness at the midline of C5, which Dr. Hummel mentioned in the "Physical Examination" section of his report, was supported by the MRI scan. Dr. Hummel rejected this proposition. He explained that there was no connection between the findings on the MRI scan and Mr. McPhail's report of tenderness around C5. Dr. Hummel repeated that he found no evidence of damage and observed that there could be numerous causes for tenderness five years after a motor vehicle accident. Moreover, the tenderness was not associated with any clinical findings or with any significant pathology. In response to a somewhat rhetorical question put to him by Mr. McPhail, implying that there was no other cause for this symptom apart from the accident, Dr. Hummel identified Mr. McPhail's running twice a week as a possible cause for tenderness in his neck. In Dr. Hummel's opinion, the accident was not the cause.</w:t>
      </w:r>
      <w:r>
        <w:rPr>
          <w:rFonts w:ascii="arial" w:eastAsia="arial" w:hAnsi="arial" w:cs="arial"/>
          <w:sz w:val="20"/>
          <w:lang w:val="en-US" w:eastAsia="en-US" w:bidi="ar-SA"/>
        </w:rPr>
        <w:cr/>
      </w:r>
    </w:p>
    <w:p>
      <w:pPr>
        <w:numPr>
          <w:numId w:val="19"/>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Lari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Dr. Lari is a medical doctor with a specialty in psychiatry. He was tendered by the defendant and qualified as an expert in psychiatry, qualified to give opinion evidence regarding psychiatric diagnoses, prognoses and treatment in relation to the matters at issue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Dr. Lari carried out an independent medical examination of Mr. McPhail on April 30, 2018. This included a clinical interview with Mr. McPhail lasting approximately two hours and 30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Dr. Lari also had Mr. McPhail complete five commonly used psychiatric rating scales, including the Beck Depression Inventory (BDI-II), the Patient Health Questionnaire (PHQ-9) and the PTSD Checklist (PCL-5). In his oral evidence, Dr. Lari explained that these rating scales are not diagnostic. On the PTSD Checklist, for example, Mr. McPhail's total score was 12/80. On the PHQ-9, Mr. McPhail's total score was 2/27. Other than the score on the PCL-5, Dr. Lari did not comment in his report, and was not asked during his evidence at trial, about how Mr. McPhail's other scores should be interpreted. I decline to attempt to interpret them on my own, without the assistance of an expert.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With respect to psychiatric diagnoses, Dr. Lari's opinion was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McPhail reports some of the features of Posttraumatic Stress Disorder (PTSD) following the MVA of 2012. However, I am unable to tell if he met the full diagnostic criteria of PTSD after the index MVA. In my opinion, Mr. McPhail developed the symptoms as a direct consequence of the MVA of 2012.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His medical treatment notes indicate some of the features of PTSD and a diagnosis of PTSD was mentioned in Medical Legal Report of Dr. Arthur Edamura (dated May 7, 2015). But the information available to me is not comprehensive enough to support full diagnosis.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McPhail scored 12 on PCL-5 completed at time of my assessment. PCL-5 is a commonly used psychiatric rating scale for PTSD. A total score of 33 or higher suggests the patient needs further assessment to confirm a diagnosis of PTSD.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During my assessment he reported some of the features of PTSD as well as he denied any significant impact of the trauma symptoms on his current day to day life and thus I am diagnosing him with Unspecified Trauma-and Stressor Related Disorder and not PTSD.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unfortunately denies trying any treatment for PTSD. He would benefit from seeing a Psychologist trained in treating trauma related symptoms and chronic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McPhail had a significant suspicious stance towards myself, healthcare and legal systems at [the] time of my assessment. His chart review also indicates behavioral difficulties towards healthcare staff in the past. It will be most helpful to refer him for a Psychological assessment including personality assessment to rule out any underlying personality disorder / traits contributing towards his current difficulties. Collateral history from family members would also be invaluable.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is currently working full time and denies any current significant impairment / disability arising from mental health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With respect to a physical diagnosis, Dr. Lari deferred to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In a brief addendum report dated June 28, 2018, Dr. Lari wrote:</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My diagnosis of Unspecified Trauma-and Stressor Related Disorder remains the same.</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McPhail denied any treatment for his trauma related symptoms following the MVA of 2012. If he may have participated in appropriate treatment his symptoms may have further reduced if not resolved by now.</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McPhail would benefit from participating in Cognitive Behavior Therapy (CBT). CBT will help improve his psychosocial functioning and reduce his mental health symptoms. A standard CBT course includes 12 - 16 sessions, subject to re-evaluation.</w:t>
      </w:r>
    </w:p>
    <w:p>
      <w:pPr>
        <w:numPr>
          <w:numId w:val="2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Mr. McPhail reports ongoing pain since the MVA of 2012. He would benefit from seeing a Psychologist trained in CBT for both chronic pain and trauma. CBT will help him learn psychological skills to deal with his reported chronic pain. The psychologist could also help clarify psychological contribution towards his symptom of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On cross-examination, Mr. McPhail challenged Dr. Lari's diagnosis of Unspecified Trauma-and Stressor Related Disorder, suggesting instead that the appropriate diagnosis was PTSD, based on the description (or at least a summary of it) from the DSM-5. Dr. Lari did not agree, essentially for the reasons stated in his report. Dr. Lari explained that the criteria in the DSM-V were not a checklist, and there is also a clinical assessment that must be done before a diagnosis is made. He acknowledged, however, that if the criteria are met, then the diagnosis of PTSD is usually made. Dr. Lari pointed out that what he observed in Mr. McPhail at the time of the assessment was anxiety, rather than a negative affect. Mr. McPhail put to Dr. Lari that his homelessness was an example of distress for purposes of satisfying Criterion G for the diagnosis of PTSD. Dr. Lari responded that, while homelessness could be an example of distress it was not in his view because of PTSD. Rather, the distress was a result of Mr. McPhail's homelessness and financial difficulties, and Dr. Lari was unable to say why it was that Mr. McPhail could not get a job in his chosen field. Dr. Lari also mentioned that it would be helpful to have collateral information in order to make a final decision on the diagnosis of PTSD.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With respect to treatment for PTSD symptoms, Dr. Lari did not agree with Mr. McPhail that talking to a colleague was the same as seeking treatment. It was not treatment, in Dr. Lari's opinion. He repeated on cross-examination that cognitive behavioural therapy is recommended for PTSD, and also a trial of antidepressant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5. Credibility and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As context for my findings and conclusions about Mr. McPhail's injuries, and for my discussion concerning the various heads of damages, I will first make some observations concerning two important issues in this case: credibility and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Mr. McPhail's credibility is a crucial issue in this case. He called no independent or collateral witnesses to help fill in details about important aspects of his life, relationships and functioning before and after the accident. I have no evidence about Mr. McPhail's pre-accident skills, work history, quality of work and work habits from anyone except Mr. McPhail. I did not hear from anyone who worked with him, or who was involved with him academically, or who might have provided a reference when he was looking for a job. I did not hear from any of his friends or family members. I have no independent evidence of Mr. McPhail's pre- and post-accident vocational potential. On all those points, his evidence stands alone. Mr. McPhail's view that the accident devastated his prospects and has ruined his life was a consistent theme when he gave 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The only medical expert evidence tendered by Mr. McPhail came from his treating physician, Dr. Edamura. However, Dr. Edamura's opinions and diagnoses were based almost exclusively on Mr. McPhail's subjective reports of symptoms, and on Mr. McPhail's reports to Dr. Edamura about how his life was being affected. I do not criticise Dr. Edamura in that respect. The doctor's job is to take the patient's complaints at face value and offer an opinion based on them. It is for the court to assess credibility: see </w:t>
      </w:r>
      <w:r>
        <w:rPr>
          <w:rFonts w:ascii="arial" w:eastAsia="arial" w:hAnsi="arial" w:cs="arial"/>
          <w:b/>
          <w:i/>
          <w:color w:val="000000"/>
          <w:sz w:val="20"/>
          <w:lang w:val="en-US" w:eastAsia="en-US" w:bidi="ar-SA"/>
        </w:rPr>
        <w:t>Edmondson v. Payer</w:t>
      </w:r>
      <w:r>
        <w:rPr>
          <w:rFonts w:ascii="arial" w:eastAsia="arial" w:hAnsi="arial" w:cs="arial"/>
          <w:color w:val="000000"/>
          <w:sz w:val="20"/>
          <w:lang w:val="en-US" w:eastAsia="en-US" w:bidi="ar-SA"/>
        </w:rPr>
        <w:t xml:space="preserve">, </w:t>
      </w:r>
      <w:hyperlink r:id="rId157" w:history="1">
        <w:r>
          <w:rPr>
            <w:rFonts w:ascii="arial" w:eastAsia="arial" w:hAnsi="arial" w:cs="arial"/>
            <w:i/>
            <w:color w:val="0077CC"/>
            <w:sz w:val="20"/>
            <w:u w:val="single"/>
            <w:shd w:val="clear" w:color="auto" w:fill="FFFFFF"/>
            <w:lang w:val="en-US" w:eastAsia="en-US" w:bidi="ar-SA"/>
          </w:rPr>
          <w:t>2011 BCSC 118</w:t>
        </w:r>
      </w:hyperlink>
      <w:r>
        <w:rPr>
          <w:rFonts w:ascii="arial" w:eastAsia="arial" w:hAnsi="arial" w:cs="arial"/>
          <w:color w:val="000000"/>
          <w:sz w:val="20"/>
          <w:lang w:val="en-US" w:eastAsia="en-US" w:bidi="ar-SA"/>
        </w:rPr>
        <w:t xml:space="preserve">, at para. 77; aff'd </w:t>
      </w:r>
      <w:hyperlink r:id="rId158" w:history="1">
        <w:r>
          <w:rPr>
            <w:rFonts w:ascii="arial" w:eastAsia="arial" w:hAnsi="arial" w:cs="arial"/>
            <w:i/>
            <w:color w:val="0077CC"/>
            <w:sz w:val="20"/>
            <w:u w:val="single"/>
            <w:shd w:val="clear" w:color="auto" w:fill="FFFFFF"/>
            <w:lang w:val="en-US" w:eastAsia="en-US" w:bidi="ar-SA"/>
          </w:rPr>
          <w:t>2012 BCCA 114</w:t>
        </w:r>
      </w:hyperlink>
      <w:r>
        <w:rPr>
          <w:rFonts w:ascii="arial" w:eastAsia="arial" w:hAnsi="arial" w:cs="arial"/>
          <w:color w:val="000000"/>
          <w:sz w:val="20"/>
          <w:lang w:val="en-US" w:eastAsia="en-US" w:bidi="ar-SA"/>
        </w:rPr>
        <w:t>. However, if I conclude that Mr. McPhail is not a credible or reliable witness, I can give little or no weight to Dr. Edamura's opinion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I am not obliged to reject all of a witness's evidence simply because I have concluded the witness is not credible or reliable. The assessment of credibility involves examination of various factors such as: the witness's ability and opportunity to observe events; the firmness of the witness's memory; the witness's ability to resist the influence of interest to modify his or her recollection; whether the witness's evidence harmonizes with independent evidence that has been accepted; whether the witness changes his or her testimony during direct and cross-examination; whether the witness's testimony seems unreasonable, impossible, or unlikely; whether a witness has a motive to lie; and the demeanour of a witness generally. Moreover, the assessment of a witness's credibility must reasonably subject the witness's story to an examination of its consistency with the probabilities of the surrounding conditions or circumstances. The real test of the truth of the story of a witness in such a case must be its harmony with the preponderance of the probabilities which a practical and informed person would readily recognize as reasonable in that place and in those circumstances. See generally </w:t>
      </w:r>
      <w:r>
        <w:rPr>
          <w:rFonts w:ascii="arial" w:eastAsia="arial" w:hAnsi="arial" w:cs="arial"/>
          <w:b/>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63"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at para. 186, aff'd </w:t>
      </w:r>
      <w:hyperlink r:id="rId408" w:history="1">
        <w:r>
          <w:rPr>
            <w:rFonts w:ascii="arial" w:eastAsia="arial" w:hAnsi="arial" w:cs="arial"/>
            <w:i/>
            <w:color w:val="0077CC"/>
            <w:sz w:val="20"/>
            <w:u w:val="single"/>
            <w:shd w:val="clear" w:color="auto" w:fill="FFFFFF"/>
            <w:lang w:val="en-US" w:eastAsia="en-US" w:bidi="ar-SA"/>
          </w:rPr>
          <w:t>2012 BCCA 296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Where, as here, a plaintiff's case relies on subjective symptoms with little or no objective evidence of continuing injury, the court must be exceedingly careful in examining the evidence and assessing credibility: </w:t>
      </w:r>
      <w:r>
        <w:rPr>
          <w:rFonts w:ascii="arial" w:eastAsia="arial" w:hAnsi="arial" w:cs="arial"/>
          <w:b/>
          <w:i/>
          <w:color w:val="000000"/>
          <w:sz w:val="20"/>
          <w:lang w:val="en-US" w:eastAsia="en-US" w:bidi="ar-SA"/>
        </w:rPr>
        <w:t>Price v. Kostryba</w:t>
      </w:r>
      <w:r>
        <w:rPr>
          <w:rFonts w:ascii="arial" w:eastAsia="arial" w:hAnsi="arial" w:cs="arial"/>
          <w:color w:val="000000"/>
          <w:sz w:val="20"/>
          <w:lang w:val="en-US" w:eastAsia="en-US" w:bidi="ar-SA"/>
        </w:rPr>
        <w:t xml:space="preserve"> </w:t>
      </w:r>
      <w:hyperlink r:id="rId156" w:history="1">
        <w:r>
          <w:rPr>
            <w:rFonts w:ascii="arial" w:eastAsia="arial" w:hAnsi="arial" w:cs="arial"/>
            <w:i/>
            <w:color w:val="0077CC"/>
            <w:sz w:val="20"/>
            <w:u w:val="single"/>
            <w:shd w:val="clear" w:color="auto" w:fill="FFFFFF"/>
            <w:lang w:val="en-US" w:eastAsia="en-US" w:bidi="ar-SA"/>
          </w:rPr>
          <w:t>(1982), 70 B.C.L.R. 397</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 do not doubt Mr. McPhail's intelligence. However, I have concluded that I must approach most of Mr. McPhail's evidence, especially where it relates to his pre- and post-accident prospects, with a great deal of caution.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Mr. McPhail was in the difficult and challenging position of presenting his own case. However, he was very strongly committed to the perspective that, in a life that was full of promise before the accident, the accident devastated all of his hopes and plans. In my view, that perspective permeated the whole of his evidence. To put it another way, in giving his evidence, Mr. McPhail was unable to resist arguing his case. He was incapable of resisting the influence of interest in building his case, and incapable of presenting facts and events in anything close to an objective way. His description of events, including his use of language (which was often conclusory rather than factual), was, in my view, being tailored specifically to argue his case. All of this damaged both his credibility and his reliability.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A few examples will illustrate my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first relates to events in December 2012, after the accident. Based on Mr. McPhail's evidence in chief, the accident, and the accident alone, was responsible for his very considerable discomfort for the rest of the month of December 2012. The accident, and the accident alone, was responsible for his bad mood and irritability during the very unsuccessful visit with his family members over Christmas 2012, and the resulting damage to family relationships. It was not until Mr. McPhail's cross-examination that I heard about another important event in his life, namely the surgery on December 21. This was the surgery for the condition that had been plaguing Mr. McPhail for months, a health problem he described as one that had "completely changed" his life. When he was asked about the surgery and his recovery, Mr. McPhail completely dismissed it as a factor affecting him in any significant way. His evidence in that respect was not credible. He demonstrated a very strong tendency to attribute all of his life's problems to the accident, and ignore other aspects of his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second relates to the letter that Mr. McPhail wrote to Dr. Cheifetz, which was put to him on cross-examination. He was, at least at first, reluctant even to acknowledge the letter as his own. He then attempted to distance himself from the words that he used, explaining that his real reason for writing the letter was to get surgery more quickly, and implying that the reason was not because (as he stated) "this health problem has completely changed my life." His evidence at trial was another indication that Mr. McPhail wished to minimize the effects of other problems in his life, and maximize what he claimed were the effects of the accident. On the other hand, the letter itself suggests that Mr. McPhail was willing to exaggerate his symptoms to achieve a particular end (surgery sooner rather than later). This also damages Mr. McPhail's credibility and reliability.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A third example comes from Mr. McPhail's physiotherapy with Ms. Wu. Mr. McPhail was extremely reluctant to accept as accurate any positive statement Ms. Wu recorded him making during treatments concerning his progress. He was evasive and argumentative when asked about what he told Ms. Wu. To the extent that he was able to recall anything of his sessions, his recollections were negative and his description of his level of activity (despite what Ms. Wu recorded he reported to her) was heavily qualified. In his evidence in chief, Mr. McPhail recalled that there were many occasions when he was tearful and crying while getting therapy. Ms. Wu had no notes of this, although her evidence was that she would have noted such things, had they happened, in her progress notes. Indeed, Ms. Wu's evidence describes what would be expected in the usual course of things, in the circumstances of a therapist providing treatment to a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Although during his evidence in chief Mr. McPhail testified about entering himself in a bike event in September 2013, it was not until cross-examination that I learned the nature of that particular event (the GranFondo), and how well Mr. McPhail performed in completing it. I conclude that I did not hear about these things during Mr. McPhail's evidence in chief because they were not compatible with the picture Mr. McPhail wished to present, namely, that he continued as of September 2013 to suffer very significant disability and impairment as a result of injuries sustained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In describing how he was affected emotionally after the accident, he used terms such as "flashbacks" and "intrusive thoughts," ready-made for a diagnosis of PTSD. Indeed, Mr. McPhail testified that he thought his symptoms were a "textbook case" of PTSD, although he also justified not seeking any formal treatment for PTSD on the basis that Dr. Edamura did not prescribe any counselling and he spoke to a colleague (unidentified) about his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 have only Mr. McPhail's evidence - essentially, his opinions - about his employment prospects after completing his Master's degree. Independent evidence and collateral information, which might provide some objective basis for his opinions, are altogether lacking. Given the need to establish a causal link between the accident and the injuries he sustained, and what Mr. McPhail claimed were his post-accident losses, the lack of credible and reliable evidence in this area is a major weakness for Mr. McPhail's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Dr. Edamura's opinion evidence is largely based on Mr. McPhail's subjective reports, with little in the way of objective findings that can be related in any meaningful way to the accident. Mr. McPhail was the only source of information concerning his circumstances when Dr. Edamura saw Mr. McPhail for the last time. Because of the problems with Mr. McPhail's credibility and reliability, I can give Dr. Edamura's opinion evidence, to the extent it differs from the other opinion evidence, very little weight. His opinion concerning the extent of Mr. McPhail's disability is not consistent with other evidence, for example, Ms. Wu's evidence concerning Mr. McPhail's reports of increased activity and progress at physiotherapy, that I accept. Dr. Edamura appeared to be unaware that Mr. McPhail had </w:t>
      </w:r>
      <w:r>
        <w:rPr>
          <w:rFonts w:ascii="arial" w:eastAsia="arial" w:hAnsi="arial" w:cs="arial"/>
          <w:color w:val="000000"/>
          <w:sz w:val="20"/>
          <w:u w:val="single"/>
          <w:lang w:val="en-US" w:eastAsia="en-US" w:bidi="ar-SA"/>
        </w:rPr>
        <w:t>never</w:t>
      </w:r>
      <w:r>
        <w:rPr>
          <w:rFonts w:ascii="arial" w:eastAsia="arial" w:hAnsi="arial" w:cs="arial"/>
          <w:color w:val="000000"/>
          <w:sz w:val="20"/>
          <w:lang w:val="en-US" w:eastAsia="en-US" w:bidi="ar-SA"/>
        </w:rPr>
        <w:t xml:space="preserve"> followed Dr. Edamura's recommendation, given at the appointment on December 14, 2012, to take analgesics for pain. In addition, since the facts underlying Dr. Edamura's opinion that Mr. McPhail is "still partially disabled" have not been set out in his report, I cannot give that opinion any weight. The same is true with respect to his diagnosis of PTSD, which is stated as a conclusion based on Mr. McPhail's self-report and without any reasoning to justify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 turn then to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basic principle of tort law is that the defendant must put the plaintiff back in the position the plaintiff would have been in had the defendant's tortious act not occurred. The test for causation is the "but for" test. To assess whether a defendant caused an injury, the trial judge asks if, without the defendant's tortious act, the injury would have resulted. If the answer is "yes," the defendant is not liable for the injury or the losses flowing from it. If the answer is "no," the defendant is liable to the plaintiff for the whole of the losses flowing from the injury. The losses "flowing" from an injury are those losses that the plaintiff proves, on a balance of probabilities, would not have occurred "but for" the defendant's negligent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It is important to remember that, on its own, proof by an injured plaintiff that a defendant was negligent does not make that defendant liable for a loss. Rather, the burden is on the plaintiff to prove causation for </w:t>
      </w:r>
      <w:r>
        <w:rPr>
          <w:rFonts w:ascii="arial" w:eastAsia="arial" w:hAnsi="arial" w:cs="arial"/>
          <w:color w:val="000000"/>
          <w:sz w:val="20"/>
          <w:u w:val="single"/>
          <w:lang w:val="en-US" w:eastAsia="en-US" w:bidi="ar-SA"/>
        </w:rPr>
        <w:t>both</w:t>
      </w:r>
      <w:r>
        <w:rPr>
          <w:rFonts w:ascii="arial" w:eastAsia="arial" w:hAnsi="arial" w:cs="arial"/>
          <w:color w:val="000000"/>
          <w:sz w:val="20"/>
          <w:lang w:val="en-US" w:eastAsia="en-US" w:bidi="ar-SA"/>
        </w:rPr>
        <w:t xml:space="preserve"> injury (the initial physical or mental impairment sustained by the plaintiff as a result of the defendant's act) </w:t>
      </w:r>
      <w:r>
        <w:rPr>
          <w:rFonts w:ascii="arial" w:eastAsia="arial" w:hAnsi="arial" w:cs="arial"/>
          <w:color w:val="000000"/>
          <w:sz w:val="20"/>
          <w:u w:val="single"/>
          <w:lang w:val="en-US" w:eastAsia="en-US" w:bidi="ar-SA"/>
        </w:rPr>
        <w:t>and</w:t>
      </w:r>
      <w:r>
        <w:rPr>
          <w:rFonts w:ascii="arial" w:eastAsia="arial" w:hAnsi="arial" w:cs="arial"/>
          <w:color w:val="000000"/>
          <w:sz w:val="20"/>
          <w:lang w:val="en-US" w:eastAsia="en-US" w:bidi="ar-SA"/>
        </w:rPr>
        <w:t xml:space="preserve"> any resulting loss (for example, non-pecuniary loss or loss of earning capacity). The former is concerned with establishing the existence of liability, and the latter with the extent of that liability. If a defendant did not cause an injury, the defendant is not liable for the losses flowing from that injury. Even if a defendant did cause an injury, the defendant is not liable for any losses or damages that were not caused by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See, for example: </w:t>
      </w:r>
      <w:r>
        <w:rPr>
          <w:rFonts w:ascii="arial" w:eastAsia="arial" w:hAnsi="arial" w:cs="arial"/>
          <w:b/>
          <w:i/>
          <w:color w:val="000000"/>
          <w:sz w:val="20"/>
          <w:lang w:val="en-US" w:eastAsia="en-US" w:bidi="ar-SA"/>
        </w:rPr>
        <w:t>Pololos v. Cinnamon-Lopez</w:t>
      </w:r>
      <w:r>
        <w:rPr>
          <w:rFonts w:ascii="arial" w:eastAsia="arial" w:hAnsi="arial" w:cs="arial"/>
          <w:color w:val="000000"/>
          <w:sz w:val="20"/>
          <w:lang w:val="en-US" w:eastAsia="en-US" w:bidi="ar-SA"/>
        </w:rPr>
        <w:t xml:space="preserve">, </w:t>
      </w:r>
      <w:hyperlink r:id="rId409" w:history="1">
        <w:r>
          <w:rPr>
            <w:rFonts w:ascii="arial" w:eastAsia="arial" w:hAnsi="arial" w:cs="arial"/>
            <w:i/>
            <w:color w:val="0077CC"/>
            <w:sz w:val="20"/>
            <w:u w:val="single"/>
            <w:shd w:val="clear" w:color="auto" w:fill="FFFFFF"/>
            <w:lang w:val="en-US" w:eastAsia="en-US" w:bidi="ar-SA"/>
          </w:rPr>
          <w:t>2016 BCSC 81</w:t>
        </w:r>
      </w:hyperlink>
      <w:r>
        <w:rPr>
          <w:rFonts w:ascii="arial" w:eastAsia="arial" w:hAnsi="arial" w:cs="arial"/>
          <w:color w:val="000000"/>
          <w:sz w:val="20"/>
          <w:lang w:val="en-US" w:eastAsia="en-US" w:bidi="ar-SA"/>
        </w:rPr>
        <w:t xml:space="preserve">, at para. 55; and </w:t>
      </w:r>
      <w:r>
        <w:rPr>
          <w:rFonts w:ascii="arial" w:eastAsia="arial" w:hAnsi="arial" w:cs="arial"/>
          <w:b/>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165"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at para.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Mr. McPhail asserts he is entitled to very substantial awards for both non-pecuniary damages and loss of earning capacity. Indeed, he asserts a claim in the millions of dollars for the latter. However, as part of his evidentiary burden, he must prove, on a balance of probabilities, a causal connection between the injuries sustained and what he claims are his losses. In my opinion, the absence of any independent evidence based on which I might infer some causal connection between the injuries Mr. McPhail claims to have sustained in the accident and the substantial damages he claims he has suffered, combined with my very significant concerns about Mr. McPhail's credibility and reliability, mean that Mr. McPhail has failed to prove that he is entitled to such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However, it does not follow that his action must be dismissed, because, as I set out below, I find that Mr. McPhail sustained some injuries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6. Findings and conclusions about Mr. McPhail's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 find that, as a result of the accident, Mr. McPhail sustained whiplash type, or soft tissue, injuries to his neck and back, as well as some psychological symptoms. This conclusion is generally consistent with what Mr. McPhail reported to Dr. Edamura on December 14, 2012, and with the diagnoses made by Dr. Edamura at that time. It is also consistent with the opinion evidence of Dr. Stewart and Dr. Hummel (with respect to the physical diagnosis), and Dr. Lari (with respect to the psychiatric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 do not accept Mr. McPhail's evidence that, following the accident, he experienced numbness (whether severe or otherwise) in his hands and feet. Dr. Edamura had no note of such a complaint, and I conclude that, had Mr. McPhail in fact experienced such symptoms when he saw Dr. Edamura on December 14, 2012, he would have reported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Mr. McPhail accepted Dr. Edamura's advice to undergo physiotherapy. However, he ignored the advice to take analgesics. In my view, Mr. McPhail's explanation for his rejection of this advice, related to an apparent aversion to unidentified painkillers, was not credible. I conclude that Mr. McPhail considered he did not require any analgesics as a result of injuries sustained in the accident, in the days and weeks following the accident. This casts further doubt on Mr. McPhail's claims of being in extreme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 find that Mr. McPhail's regular attendance at physiotherapy with Ms. Wu, from January to May 2013, is also consistent with Mr. McPhail sustaining soft-tissue injuries to his neck and back in the accident. I find further, as Ms. Wu recorded in her progress notes, and as she testified Mr. McPhail reported to her, he continued to improve physically, his level of activities gradually increased, and, by mid-April 2013, the symptoms from his soft-tissue injuries had substantially resolved to the point where he was feeling 90%. I find that, by the time Mr. McPhail did his successful thesis defence in May 2013, he had essentially recovered, physically and psychologically, from the effects of the injuries he sustained in the accident. Mr. McPhail's participation and level of performance in the GranFondo in September 2013 confirm this. At worst, he has been left with some relatively minor occasional pain symptoms, and not left with any permanent disability. Whatever lack of success or difficulties Mr. McPhail experienced in his life after September 2013 was not a result of any of the injuries he sustained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In my view, the more restricted range of motion found by Dr. Edamura when he next saw Mr. McPhail in June 2014, and the diagnosis of neck and back strain, cannot be attributed to the accident. In his evidence, Mr. McPhail provided little in the way of details about his activities from September 2013 to June 2014, and I am not prepared to conclude that he continued to experience in any significant way any effects from the injuries he sustained in the accident. Mr. McPhail essentially asks me to infer, on the basis of virtually no evidence apart from his own statements, that his life and activities continued during this time to be affected to a material extent by injuries sustained in the accident. I am not prepared to draw that inference.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medical opinion evidence from Dr. Stewart and Dr. Hummel indicates that Mr. McPhail currently has no objectively verifiable symptoms or limitations. Dr. Stewart found no significant neurological abnormalities and, in his opinion, Mr. McPhail's whiplash symptoms were now trivial. In Dr. Stewart's opinion, for the reasons he explained, Mr. McPhail's complaints of symptoms of tingling in his hands and feet are not attributable to the accident. In Dr. Hummel's opinion, at best, Mr. McPhail's complaints were "possibly" related to the accident, and there were no objective clinical findings and no evidence of objective limitations. I accept Dr. Stewart's and Dr. Hummel's opinion evidence on these points. The MRI finding of a bulging disc cannot be attributed to the accident. I accept Dr. Stewart's evidence on this point. Even Dr. Edamura did not draw the conclusion, or make the medical diagnosis, that Mr. McPhail urges on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On cross-examination, Mr. McPhail attempted, unsuccessfully, to secure Dr. Stewart's agreement to a diagnosis of a herniated disc. Mr. McPhail also attempted, again unsuccessfully, to secure Dr. Hummel's agreement to a diagnosis of thoracic outlet syndrome. There is no admissible evidence that either such diagnosis could or should be made in relation to Mr. McPhail arising out of the accident, and no admissible evidence that Mr. McPhail sustained either a herniated disc or developed thoracic outlet syndrome as a result of the accident. I find that he did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With respect to psychiatric diagnoses, I prefer the opinion evidence of Dr. Lari over Dr. Edamura's opinion evidence. I have described above my concerns about Dr. Edamura's opinion evidence, and explained why I give it little weight. Moreover, Dr. Lari has speciality training, which Dr. Edamura does not, and he carried out a focussed psychiatric examination, which Dr. Edamura did not. I note that Dr. Lari did not draw a causal link between his psychiatric diagnosis of Unspecified Trauma- and Stressor Related Disorder and the accident. Thus, while I accept Dr. Lari's opinion evidence concerning the psychiatric diagnosis for Mr. McPhail as of April 2018, I am unable to find that the condition was caused by or resulted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7. Damages</w:t>
      </w:r>
      <w:r>
        <w:rPr>
          <w:rFonts w:ascii="arial" w:eastAsia="arial" w:hAnsi="arial" w:cs="arial"/>
          <w:sz w:val="20"/>
          <w:lang w:val="en-US" w:eastAsia="en-US" w:bidi="ar-SA"/>
        </w:rPr>
        <w:cr/>
      </w:r>
    </w:p>
    <w:p>
      <w:pPr>
        <w:numPr>
          <w:numId w:val="2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It is well-established that the purpose of non-pecuniary damages is to compensate the plaintiff for pain, suffering, loss of enjoyment of life and loss of amenities. The factors to be taken into account include: the plaintiff's age; the nature of the injury; the severity and duration of pain; disability; emotional suffering; impairment of family, marital and social relationships; impairment of physical abilities; loss of lifestyle; and the plaintiff's stoicism (a factor that should not, generally speaking, penalize the plaintiff). See </w:t>
      </w:r>
      <w:r>
        <w:rPr>
          <w:rFonts w:ascii="arial" w:eastAsia="arial" w:hAnsi="arial" w:cs="arial"/>
          <w:b/>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102"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at paras. 45-46. An award of non-pecuniary damages must be fair and reasonable to both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Of course, each case must be decided on its own facts, and prior cases are useful as a guide - but only a guide - in the assessment of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One of the major problems with virtually all of the cases cited by Mr. McPhail is that they are readily distinguishable on the facts. For example, Mr. McPhail cited cases where the awards were based on a finding that (among other things) the plaintiff suffered from thoracic outlet syndrome (</w:t>
      </w:r>
      <w:r>
        <w:rPr>
          <w:rFonts w:ascii="arial" w:eastAsia="arial" w:hAnsi="arial" w:cs="arial"/>
          <w:b/>
          <w:i/>
          <w:color w:val="000000"/>
          <w:sz w:val="20"/>
          <w:lang w:val="en-US" w:eastAsia="en-US" w:bidi="ar-SA"/>
        </w:rPr>
        <w:t>Sharma v. MacDonald</w:t>
      </w:r>
      <w:r>
        <w:rPr>
          <w:rFonts w:ascii="arial" w:eastAsia="arial" w:hAnsi="arial" w:cs="arial"/>
          <w:color w:val="000000"/>
          <w:sz w:val="20"/>
          <w:lang w:val="en-US" w:eastAsia="en-US" w:bidi="ar-SA"/>
        </w:rPr>
        <w:t xml:space="preserve">, </w:t>
      </w:r>
      <w:hyperlink r:id="rId410" w:history="1">
        <w:r>
          <w:rPr>
            <w:rFonts w:ascii="arial" w:eastAsia="arial" w:hAnsi="arial" w:cs="arial"/>
            <w:i/>
            <w:color w:val="0077CC"/>
            <w:sz w:val="20"/>
            <w:u w:val="single"/>
            <w:shd w:val="clear" w:color="auto" w:fill="FFFFFF"/>
            <w:lang w:val="en-US" w:eastAsia="en-US" w:bidi="ar-SA"/>
          </w:rPr>
          <w:t>2017 BCSC 2121</w:t>
        </w:r>
      </w:hyperlink>
      <w:r>
        <w:rPr>
          <w:rFonts w:ascii="arial" w:eastAsia="arial" w:hAnsi="arial" w:cs="arial"/>
          <w:color w:val="000000"/>
          <w:sz w:val="20"/>
          <w:lang w:val="en-US" w:eastAsia="en-US" w:bidi="ar-SA"/>
        </w:rPr>
        <w:t>), or had sustained a herniated disc (</w:t>
      </w:r>
      <w:r>
        <w:rPr>
          <w:rFonts w:ascii="arial" w:eastAsia="arial" w:hAnsi="arial" w:cs="arial"/>
          <w:b/>
          <w:i/>
          <w:color w:val="000000"/>
          <w:sz w:val="20"/>
          <w:lang w:val="en-US" w:eastAsia="en-US" w:bidi="ar-SA"/>
        </w:rPr>
        <w:t>Bellaisac v. Mara</w:t>
      </w:r>
      <w:r>
        <w:rPr>
          <w:rFonts w:ascii="arial" w:eastAsia="arial" w:hAnsi="arial" w:cs="arial"/>
          <w:color w:val="000000"/>
          <w:sz w:val="20"/>
          <w:lang w:val="en-US" w:eastAsia="en-US" w:bidi="ar-SA"/>
        </w:rPr>
        <w:t xml:space="preserve">, </w:t>
      </w:r>
      <w:hyperlink r:id="rId170" w:history="1">
        <w:r>
          <w:rPr>
            <w:rFonts w:ascii="arial" w:eastAsia="arial" w:hAnsi="arial" w:cs="arial"/>
            <w:i/>
            <w:color w:val="0077CC"/>
            <w:sz w:val="20"/>
            <w:u w:val="single"/>
            <w:shd w:val="clear" w:color="auto" w:fill="FFFFFF"/>
            <w:lang w:val="en-US" w:eastAsia="en-US" w:bidi="ar-SA"/>
          </w:rPr>
          <w:t>2015 BCSC 1247</w:t>
        </w:r>
      </w:hyperlink>
      <w:r>
        <w:rPr>
          <w:rFonts w:ascii="arial" w:eastAsia="arial" w:hAnsi="arial" w:cs="arial"/>
          <w:color w:val="000000"/>
          <w:sz w:val="20"/>
          <w:lang w:val="en-US" w:eastAsia="en-US" w:bidi="ar-SA"/>
        </w:rPr>
        <w:t xml:space="preserve">). However, as I explained above, the evidence does not support those findings in Mr. McPhail's case. He also cited cases where the court found the plaintiff suffered from PTSD (for example, </w:t>
      </w:r>
      <w:r>
        <w:rPr>
          <w:rFonts w:ascii="arial" w:eastAsia="arial" w:hAnsi="arial" w:cs="arial"/>
          <w:b/>
          <w:i/>
          <w:color w:val="000000"/>
          <w:sz w:val="20"/>
          <w:lang w:val="en-US" w:eastAsia="en-US" w:bidi="ar-SA"/>
        </w:rPr>
        <w:t>Sebaa v. Ricci</w:t>
      </w:r>
      <w:r>
        <w:rPr>
          <w:rFonts w:ascii="arial" w:eastAsia="arial" w:hAnsi="arial" w:cs="arial"/>
          <w:color w:val="000000"/>
          <w:sz w:val="20"/>
          <w:lang w:val="en-US" w:eastAsia="en-US" w:bidi="ar-SA"/>
        </w:rPr>
        <w:t xml:space="preserve">, </w:t>
      </w:r>
      <w:hyperlink r:id="rId411" w:history="1">
        <w:r>
          <w:rPr>
            <w:rFonts w:ascii="arial" w:eastAsia="arial" w:hAnsi="arial" w:cs="arial"/>
            <w:i/>
            <w:color w:val="0077CC"/>
            <w:sz w:val="20"/>
            <w:u w:val="single"/>
            <w:shd w:val="clear" w:color="auto" w:fill="FFFFFF"/>
            <w:lang w:val="en-US" w:eastAsia="en-US" w:bidi="ar-SA"/>
          </w:rPr>
          <w:t>2015 BCSC 1492</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Godbout v. Notter</w:t>
      </w:r>
      <w:r>
        <w:rPr>
          <w:rFonts w:ascii="arial" w:eastAsia="arial" w:hAnsi="arial" w:cs="arial"/>
          <w:color w:val="000000"/>
          <w:sz w:val="20"/>
          <w:lang w:val="en-US" w:eastAsia="en-US" w:bidi="ar-SA"/>
        </w:rPr>
        <w:t xml:space="preserve">, </w:t>
      </w:r>
      <w:hyperlink r:id="rId412" w:history="1">
        <w:r>
          <w:rPr>
            <w:rFonts w:ascii="arial" w:eastAsia="arial" w:hAnsi="arial" w:cs="arial"/>
            <w:i/>
            <w:color w:val="0077CC"/>
            <w:sz w:val="20"/>
            <w:u w:val="single"/>
            <w:shd w:val="clear" w:color="auto" w:fill="FFFFFF"/>
            <w:lang w:val="en-US" w:eastAsia="en-US" w:bidi="ar-SA"/>
          </w:rPr>
          <w:t>2018 BCSC 1043</w:t>
        </w:r>
      </w:hyperlink>
      <w:r>
        <w:rPr>
          <w:rFonts w:ascii="arial" w:eastAsia="arial" w:hAnsi="arial" w:cs="arial"/>
          <w:color w:val="000000"/>
          <w:sz w:val="20"/>
          <w:lang w:val="en-US" w:eastAsia="en-US" w:bidi="ar-SA"/>
        </w:rPr>
        <w:t>). However, I have not accepted that as a diagnosis in Mr. McPhail's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Mr. McPhail argues that his relationship with family members was damaged as a result of the accident. However, I have only Mr. McPhail's perspective on the situation, and given my concerns about his credibility, I am not prepared to accept his perspective as either reliable or accurate. The relationship between Mr. McPhail and his brothers did not appear to be a close one before the accident. For example, Mr. McPhail was unsure whether one of his brothers was living in B.C. in December 2012. The reasons for the distant relationship were never explained. Even taking Mr. McPhail's evidence at face value, the relationship between him and his parents did not appear to be a close one either, although it appears that, while he was a graduate student and for some time thereafter, they were providing him with financial support. The reason or reasons for the estrangement between Mr. McPhail and his family are largely a mystery. Mr. McPhail had the burden to show that the relationships were damaged as a result of the accident. He did not meet his burden.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Mr. McPhail also says that his personal relationships were damaged as a result of the accident. However, and for the reasons I have given, his personal perspective on his situation is not reliable. I did not hear from any other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Mr. McPhail also attributes his homelessness to the accident, and argues that this should be a significant factor in an award of non-pecuniary damages. Because Mr. McPhail blamed all of his misfortunes on the accident, the reasons remain unexplained. However, in my view, the reasons for Mr. McPhail becoming homeless in September 2015 are complex, are hinted at by both Dr. Stewart and Dr. Lari, and are unrelated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The defendant says that I would be justified in awarding Mr. McPhail nothing for non-pecuniary damages, given the lack of objective evidence of injury and the issues with Mr. McPhail's credibility. However, I have concluded above that, as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Mr. McPhail sustained injury and damage in the accident. He is therefore entitled to an award of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The defendant says, in that light, that an appropriate award for non-pecuniary damages is between $25,000 and $45,000, subject to a deduction for mitigation. In support of his position, the defendant cites: </w:t>
      </w:r>
      <w:r>
        <w:rPr>
          <w:rFonts w:ascii="arial" w:eastAsia="arial" w:hAnsi="arial" w:cs="arial"/>
          <w:b/>
          <w:i/>
          <w:color w:val="000000"/>
          <w:sz w:val="20"/>
          <w:lang w:val="en-US" w:eastAsia="en-US" w:bidi="ar-SA"/>
        </w:rPr>
        <w:t>Golam v. Fortier</w:t>
      </w:r>
      <w:r>
        <w:rPr>
          <w:rFonts w:ascii="arial" w:eastAsia="arial" w:hAnsi="arial" w:cs="arial"/>
          <w:color w:val="000000"/>
          <w:sz w:val="20"/>
          <w:lang w:val="en-US" w:eastAsia="en-US" w:bidi="ar-SA"/>
        </w:rPr>
        <w:t xml:space="preserve">, </w:t>
      </w:r>
      <w:hyperlink r:id="rId413" w:history="1">
        <w:r>
          <w:rPr>
            <w:rFonts w:ascii="arial" w:eastAsia="arial" w:hAnsi="arial" w:cs="arial"/>
            <w:i/>
            <w:color w:val="0077CC"/>
            <w:sz w:val="20"/>
            <w:u w:val="single"/>
            <w:shd w:val="clear" w:color="auto" w:fill="FFFFFF"/>
            <w:lang w:val="en-US" w:eastAsia="en-US" w:bidi="ar-SA"/>
          </w:rPr>
          <w:t>2005 BCSC 598</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Chan v. Lee</w:t>
      </w:r>
      <w:r>
        <w:rPr>
          <w:rFonts w:ascii="arial" w:eastAsia="arial" w:hAnsi="arial" w:cs="arial"/>
          <w:color w:val="000000"/>
          <w:sz w:val="20"/>
          <w:lang w:val="en-US" w:eastAsia="en-US" w:bidi="ar-SA"/>
        </w:rPr>
        <w:t xml:space="preserve">, </w:t>
      </w:r>
      <w:hyperlink r:id="rId414" w:history="1">
        <w:r>
          <w:rPr>
            <w:rFonts w:ascii="arial" w:eastAsia="arial" w:hAnsi="arial" w:cs="arial"/>
            <w:i/>
            <w:color w:val="0077CC"/>
            <w:sz w:val="20"/>
            <w:u w:val="single"/>
            <w:shd w:val="clear" w:color="auto" w:fill="FFFFFF"/>
            <w:lang w:val="en-US" w:eastAsia="en-US" w:bidi="ar-SA"/>
          </w:rPr>
          <w:t>2008 BCSC 594</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Brousseau v. John Doe</w:t>
      </w:r>
      <w:r>
        <w:rPr>
          <w:rFonts w:ascii="arial" w:eastAsia="arial" w:hAnsi="arial" w:cs="arial"/>
          <w:color w:val="000000"/>
          <w:sz w:val="20"/>
          <w:lang w:val="en-US" w:eastAsia="en-US" w:bidi="ar-SA"/>
        </w:rPr>
        <w:t xml:space="preserve">, </w:t>
      </w:r>
      <w:hyperlink r:id="rId415" w:history="1">
        <w:r>
          <w:rPr>
            <w:rFonts w:ascii="arial" w:eastAsia="arial" w:hAnsi="arial" w:cs="arial"/>
            <w:i/>
            <w:color w:val="0077CC"/>
            <w:sz w:val="20"/>
            <w:u w:val="single"/>
            <w:shd w:val="clear" w:color="auto" w:fill="FFFFFF"/>
            <w:lang w:val="en-US" w:eastAsia="en-US" w:bidi="ar-SA"/>
          </w:rPr>
          <w:t>2012 BCSC 1676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In my view, the cases cited by the defendant are much closer in terms of the facts to the facts I have found here. Having regard to my findings, and the factors mentioned in </w:t>
      </w:r>
      <w:r>
        <w:rPr>
          <w:rFonts w:ascii="arial" w:eastAsia="arial" w:hAnsi="arial" w:cs="arial"/>
          <w:b/>
          <w:i/>
          <w:color w:val="000000"/>
          <w:sz w:val="20"/>
          <w:lang w:val="en-US" w:eastAsia="en-US" w:bidi="ar-SA"/>
        </w:rPr>
        <w:t>Stapley</w:t>
      </w:r>
      <w:r>
        <w:rPr>
          <w:rFonts w:ascii="arial" w:eastAsia="arial" w:hAnsi="arial" w:cs="arial"/>
          <w:color w:val="000000"/>
          <w:sz w:val="20"/>
          <w:lang w:val="en-US" w:eastAsia="en-US" w:bidi="ar-SA"/>
        </w:rPr>
        <w:t>, I conclude that a fair and reasonable award of non-pecuniary damages is $35,000.</w:t>
      </w:r>
      <w:r>
        <w:rPr>
          <w:rFonts w:ascii="arial" w:eastAsia="arial" w:hAnsi="arial" w:cs="arial"/>
          <w:sz w:val="20"/>
          <w:lang w:val="en-US" w:eastAsia="en-US" w:bidi="ar-SA"/>
        </w:rPr>
        <w:cr/>
      </w:r>
    </w:p>
    <w:p>
      <w:pPr>
        <w:numPr>
          <w:numId w:val="2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Mr. McPhail seeks compensation for loss of earning capacity to trial in the sum of approximately $285,000 (at a minimum), and compensation for loss of future earning capacity (including what he asserts is loss of pension income) in the sum of approximately $5,300,000. This is after taking into account what Mr. McPhail says is his residual earning capacity of about (on average) $15,000 annually (gross). He bases his calculations of loss of earning capacity primarily on advertised salaries for jobs that he says he was qualified for and could have done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Mr. McPhail also relied on evidence presented in other cases (for example, </w:t>
      </w:r>
      <w:r>
        <w:rPr>
          <w:rFonts w:ascii="arial" w:eastAsia="arial" w:hAnsi="arial" w:cs="arial"/>
          <w:b/>
          <w:i/>
          <w:color w:val="000000"/>
          <w:sz w:val="20"/>
          <w:lang w:val="en-US" w:eastAsia="en-US" w:bidi="ar-SA"/>
        </w:rPr>
        <w:t>Howell v. Machi</w:t>
      </w:r>
      <w:r>
        <w:rPr>
          <w:rFonts w:ascii="arial" w:eastAsia="arial" w:hAnsi="arial" w:cs="arial"/>
          <w:color w:val="000000"/>
          <w:sz w:val="20"/>
          <w:lang w:val="en-US" w:eastAsia="en-US" w:bidi="ar-SA"/>
        </w:rPr>
        <w:t xml:space="preserve">, </w:t>
      </w:r>
      <w:hyperlink r:id="rId416" w:history="1">
        <w:r>
          <w:rPr>
            <w:rFonts w:ascii="arial" w:eastAsia="arial" w:hAnsi="arial" w:cs="arial"/>
            <w:i/>
            <w:color w:val="0077CC"/>
            <w:sz w:val="20"/>
            <w:u w:val="single"/>
            <w:shd w:val="clear" w:color="auto" w:fill="FFFFFF"/>
            <w:lang w:val="en-US" w:eastAsia="en-US" w:bidi="ar-SA"/>
          </w:rPr>
          <w:t>2017 BCSC 1806</w:t>
        </w:r>
      </w:hyperlink>
      <w:r>
        <w:rPr>
          <w:rFonts w:ascii="arial" w:eastAsia="arial" w:hAnsi="arial" w:cs="arial"/>
          <w:color w:val="000000"/>
          <w:sz w:val="20"/>
          <w:lang w:val="en-US" w:eastAsia="en-US" w:bidi="ar-SA"/>
        </w:rPr>
        <w:t>) to justify his assessment of loss of earning capacity. However, Mr. McPhail cannot rely on evidence presented in another case to justify an award under this head of damage in his case. Rather, he was required to present evidence at his trial to support the claims he was making.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 defendant says nothing should be awarded for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legal principles are well-settled.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There are two stages in assessing a claim for damages for loss of earning capacity. First, a plaintiff must prove that the injuries suffered in the accident and the resulting symptoms impaired his ability to earn income and that there is a real and substantial possibility that his diminished earning capacity has resulted or will result in a pecuniary loss. A causal connection must be established between the accident and the pecuniary loss claimed. If the plaintiff satisfies that burden, and therefore establishes an entitlement to compensation, then the second stage requires an assessment of the loss. A plaintiff may prove the quantification of that loss either on an earnings approach or a capital asset approach. See generally: </w:t>
      </w:r>
      <w:r>
        <w:rPr>
          <w:rFonts w:ascii="arial" w:eastAsia="arial" w:hAnsi="arial" w:cs="arial"/>
          <w:b/>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116"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paras. 21 and 32; and </w:t>
      </w:r>
      <w:r>
        <w:rPr>
          <w:rFonts w:ascii="arial" w:eastAsia="arial" w:hAnsi="arial" w:cs="arial"/>
          <w:b/>
          <w:i/>
          <w:color w:val="000000"/>
          <w:sz w:val="20"/>
          <w:lang w:val="en-US" w:eastAsia="en-US" w:bidi="ar-SA"/>
        </w:rPr>
        <w:t>Smith v. Knudsen</w:t>
      </w:r>
      <w:r>
        <w:rPr>
          <w:rFonts w:ascii="arial" w:eastAsia="arial" w:hAnsi="arial" w:cs="arial"/>
          <w:color w:val="000000"/>
          <w:sz w:val="20"/>
          <w:lang w:val="en-US" w:eastAsia="en-US" w:bidi="ar-SA"/>
        </w:rPr>
        <w:t>, at paras. 26 and 26. Either way, the court must endeavour to quantify the financial harm accruing to the plaintiff over the course of his working career, taking into account relevant and realistic negative and positive contingencies.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xml:space="preserve">  The plaintiff's loss is assessed on the basis of the difference between the plaintiff's original position just before occurrence of the negligent act or omission, and the injured position after and as a result of such act or omission: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30"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paras. 34-35. The assessment is based on what the plaintiff </w:t>
      </w:r>
      <w:r>
        <w:rPr>
          <w:rFonts w:ascii="arial" w:eastAsia="arial" w:hAnsi="arial" w:cs="arial"/>
          <w:color w:val="000000"/>
          <w:sz w:val="20"/>
          <w:u w:val="single"/>
          <w:lang w:val="en-US" w:eastAsia="en-US" w:bidi="ar-SA"/>
        </w:rPr>
        <w:t>would have</w:t>
      </w:r>
      <w:r>
        <w:rPr>
          <w:rFonts w:ascii="arial" w:eastAsia="arial" w:hAnsi="arial" w:cs="arial"/>
          <w:color w:val="000000"/>
          <w:sz w:val="20"/>
          <w:lang w:val="en-US" w:eastAsia="en-US" w:bidi="ar-SA"/>
        </w:rPr>
        <w:t xml:space="preserve"> earned (not could have earned)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B. (M.) v. British Columbia</w:t>
      </w:r>
      <w:r>
        <w:rPr>
          <w:rFonts w:ascii="arial" w:eastAsia="arial" w:hAnsi="arial" w:cs="arial"/>
          <w:color w:val="000000"/>
          <w:sz w:val="20"/>
          <w:lang w:val="en-US" w:eastAsia="en-US" w:bidi="ar-SA"/>
        </w:rPr>
        <w:t xml:space="preserve">, </w:t>
      </w:r>
      <w:hyperlink r:id="rId112" w:history="1">
        <w:r>
          <w:rPr>
            <w:rFonts w:ascii="arial" w:eastAsia="arial" w:hAnsi="arial" w:cs="arial"/>
            <w:i/>
            <w:color w:val="0077CC"/>
            <w:sz w:val="20"/>
            <w:u w:val="single"/>
            <w:shd w:val="clear" w:color="auto" w:fill="FFFFFF"/>
            <w:lang w:val="en-US" w:eastAsia="en-US" w:bidi="ar-SA"/>
          </w:rPr>
          <w:t>2003 SCC 53</w:t>
        </w:r>
      </w:hyperlink>
      <w:r>
        <w:rPr>
          <w:rFonts w:ascii="arial" w:eastAsia="arial" w:hAnsi="arial" w:cs="arial"/>
          <w:color w:val="000000"/>
          <w:sz w:val="20"/>
          <w:lang w:val="en-US" w:eastAsia="en-US" w:bidi="ar-SA"/>
        </w:rPr>
        <w:t>, at para. 49. The assessment is an exercise of judgment, not a mathematical calculation. Ultimately, the court must base its decision on what is reasonable in all of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Unfortunately for Mr. McPhail, he has not led any credible or reliable evidence of how any accident-related symptoms interfered with his ability either to seek or obtain employment in his field, or to earn income. He has not led any credible or reliable evidence of a real and substantial possibility of any diminished earning capacity that has resulted or will result in a pecuniary loss. He has not established any causal connection between the accident, the injuries he sustained (based on my findings) and the losses he claims. Accordingly, in my view, Mr. McPhail has not established any entitlement to an award for loss of earning capacity, either in the period up to trial or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As I have noted above, Mr. McPhail tendered no independent evidence concerning his employment prospects before the accident. Having the advertised qualifications for a position does not mean that an individual will be hired for that position, as many people who have applied for jobs know very well. Whether Mr. McPhail had any real and substantial possibility of being hired for any of the positions for which he felt qualified is unknown. What Mr. McPhail would have earned, but for the accident, is also unknown, as Mr. McPhail submitted no admissible evidence on this point. The reasons why he was not hired in 2013 by Vancouver Coastal Health or the Legal Services Society are unknown. Mr. McPhail's belief that he was not hired because of the accident and his injuries is speculation, not evidence. There is no reliable evidence based on which I could conclude that any accident-related injuries have caused Mr. McPhail not to be hired for any job that he applied 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Mr. McPhail also tendered no independent evidence concerning his prospects of being accepted into a doctoral program and completing a PhD. Rather, the only evidence is that, the one time he applied, he was not accepted. As of the fall of 2012, and prior to the accident, he had done nothing to advance toward this end, although he was expecting to graduate with his Master's degree in May or June of 2013. Whether even that goal could have been achieved in the absence of the accident is speculative, since, as of December 12, 2012, Mr. McPhail had not yet finished his thesis. That Mr. McPhail would have, but for the accident, completed a PhD is speculation, not a real and substantial possibility.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Moreover, Mr. McPhail's position with respect to his loss of earning capacity is premised on findings concerning his capacity that I have not accepted. Mr. McPhail has not proved that the reasons he is not working in a field related to his education are the result of any injuries he sustained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Accordingly, I award nothing for loss of earning capacity.</w:t>
      </w:r>
      <w:r>
        <w:rPr>
          <w:rFonts w:ascii="arial" w:eastAsia="arial" w:hAnsi="arial" w:cs="arial"/>
          <w:sz w:val="20"/>
          <w:lang w:val="en-US" w:eastAsia="en-US" w:bidi="ar-SA"/>
        </w:rPr>
        <w:cr/>
      </w:r>
    </w:p>
    <w:p>
      <w:pPr>
        <w:numPr>
          <w:numId w:val="3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Mr. McPhail seeks an award for costs of future care as follows (none of the amounts are present values):</w:t>
      </w:r>
      <w:r>
        <w:rPr>
          <w:rFonts w:ascii="arial" w:eastAsia="arial" w:hAnsi="arial" w:cs="arial"/>
          <w:sz w:val="20"/>
          <w:lang w:val="en-US" w:eastAsia="en-US" w:bidi="ar-SA"/>
        </w:rPr>
        <w:cr/>
      </w:r>
    </w:p>
    <w:p>
      <w:pPr>
        <w:numPr>
          <w:numId w:val="3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annual gym membership ($350 per year for 50 years totalling $17,500);</w:t>
      </w:r>
    </w:p>
    <w:p>
      <w:pPr>
        <w:numPr>
          <w:numId w:val="3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massage and physiotherapy (two visits a year for 50 years, plus 10 additional visits, totalling $12,000); and</w:t>
      </w:r>
    </w:p>
    <w:p>
      <w:pPr>
        <w:numPr>
          <w:numId w:val="3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counselling (12 sessions, with the potential for six more sessions, at $200, totalling $3,600).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The defendant says nothing should be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The test for assessing future care costs is well-settled. The court must consider whether the costs are reasonable and whether the items are medically necessary: </w:t>
      </w:r>
      <w:r>
        <w:rPr>
          <w:rFonts w:ascii="arial" w:eastAsia="arial" w:hAnsi="arial" w:cs="arial"/>
          <w:b/>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123"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pp. 78 and 84; aff'd </w:t>
      </w:r>
      <w:hyperlink r:id="rId344"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 The test is an objective one based on medical evidence. However, while there must be some evidentiary link between a medical expert's assessment of disability and the care recommended, it is not necessary that a medical expert testify to the medical necessity of each and every item of care that is claimed: </w:t>
      </w:r>
      <w:r>
        <w:rPr>
          <w:rFonts w:ascii="arial" w:eastAsia="arial" w:hAnsi="arial" w:cs="arial"/>
          <w:b/>
          <w:i/>
          <w:color w:val="000000"/>
          <w:sz w:val="20"/>
          <w:lang w:val="en-US" w:eastAsia="en-US" w:bidi="ar-SA"/>
        </w:rPr>
        <w:t>Gignac v. Insurance Corporation of British Columbia</w:t>
      </w:r>
      <w:r>
        <w:rPr>
          <w:rFonts w:ascii="arial" w:eastAsia="arial" w:hAnsi="arial" w:cs="arial"/>
          <w:color w:val="000000"/>
          <w:sz w:val="20"/>
          <w:lang w:val="en-US" w:eastAsia="en-US" w:bidi="ar-SA"/>
        </w:rPr>
        <w:t xml:space="preserve">, </w:t>
      </w:r>
      <w:hyperlink r:id="rId129" w:history="1">
        <w:r>
          <w:rPr>
            <w:rFonts w:ascii="arial" w:eastAsia="arial" w:hAnsi="arial" w:cs="arial"/>
            <w:i/>
            <w:color w:val="0077CC"/>
            <w:sz w:val="20"/>
            <w:u w:val="single"/>
            <w:shd w:val="clear" w:color="auto" w:fill="FFFFFF"/>
            <w:lang w:val="en-US" w:eastAsia="en-US" w:bidi="ar-SA"/>
          </w:rPr>
          <w:t>2012 BCCA 351</w:t>
        </w:r>
      </w:hyperlink>
      <w:r>
        <w:rPr>
          <w:rFonts w:ascii="arial" w:eastAsia="arial" w:hAnsi="arial" w:cs="arial"/>
          <w:color w:val="000000"/>
          <w:sz w:val="20"/>
          <w:lang w:val="en-US" w:eastAsia="en-US" w:bidi="ar-SA"/>
        </w:rPr>
        <w:t>, at para. 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xml:space="preserve">  No award is appropriate for costs that a plaintiff would have incurred in any event: </w:t>
      </w:r>
      <w:r>
        <w:rPr>
          <w:rFonts w:ascii="arial" w:eastAsia="arial" w:hAnsi="arial" w:cs="arial"/>
          <w:b/>
          <w:i/>
          <w:color w:val="000000"/>
          <w:sz w:val="20"/>
          <w:lang w:val="en-US" w:eastAsia="en-US" w:bidi="ar-SA"/>
        </w:rPr>
        <w:t>Shapiro v. Dailey</w:t>
      </w:r>
      <w:r>
        <w:rPr>
          <w:rFonts w:ascii="arial" w:eastAsia="arial" w:hAnsi="arial" w:cs="arial"/>
          <w:color w:val="000000"/>
          <w:sz w:val="20"/>
          <w:lang w:val="en-US" w:eastAsia="en-US" w:bidi="ar-SA"/>
        </w:rPr>
        <w:t xml:space="preserve">, </w:t>
      </w:r>
      <w:hyperlink r:id="rId417" w:history="1">
        <w:r>
          <w:rPr>
            <w:rFonts w:ascii="arial" w:eastAsia="arial" w:hAnsi="arial" w:cs="arial"/>
            <w:i/>
            <w:color w:val="0077CC"/>
            <w:sz w:val="20"/>
            <w:u w:val="single"/>
            <w:shd w:val="clear" w:color="auto" w:fill="FFFFFF"/>
            <w:lang w:val="en-US" w:eastAsia="en-US" w:bidi="ar-SA"/>
          </w:rPr>
          <w:t>2012 BCCA 128</w:t>
        </w:r>
      </w:hyperlink>
      <w:r>
        <w:rPr>
          <w:rFonts w:ascii="arial" w:eastAsia="arial" w:hAnsi="arial" w:cs="arial"/>
          <w:color w:val="000000"/>
          <w:sz w:val="20"/>
          <w:lang w:val="en-US" w:eastAsia="en-US" w:bidi="ar-SA"/>
        </w:rPr>
        <w:t xml:space="preserve">, at paras. 51-55. Moreover, future care costs must be likely to be incurred by the plaintiff. The onus is on the plaintiff to show that there is a reasonable likelihood that he or she will use the suggested services: </w:t>
      </w:r>
      <w:r>
        <w:rPr>
          <w:rFonts w:ascii="arial" w:eastAsia="arial" w:hAnsi="arial" w:cs="arial"/>
          <w:b/>
          <w:i/>
          <w:color w:val="000000"/>
          <w:sz w:val="20"/>
          <w:lang w:val="en-US" w:eastAsia="en-US" w:bidi="ar-SA"/>
        </w:rPr>
        <w:t>O'Connell v. Yung</w:t>
      </w:r>
      <w:r>
        <w:rPr>
          <w:rFonts w:ascii="arial" w:eastAsia="arial" w:hAnsi="arial" w:cs="arial"/>
          <w:color w:val="000000"/>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2012 BCCA 57</w:t>
        </w:r>
      </w:hyperlink>
      <w:r>
        <w:rPr>
          <w:rFonts w:ascii="arial" w:eastAsia="arial" w:hAnsi="arial" w:cs="arial"/>
          <w:color w:val="000000"/>
          <w:sz w:val="20"/>
          <w:lang w:val="en-US" w:eastAsia="en-US" w:bidi="ar-SA"/>
        </w:rPr>
        <w:t>, at para. 68.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Based on my findings above, and in the light of the applicable legal principles, I agree with the defendant that no award is justified.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I note in addition that a gym membership is an expense that Mr. McPhail almost certainly would have incurred in any event, without the accident. Dr. Lari mentioned cognitive behavioural therapy in his addendum report, but there is nothing in the evidence that persuades me that there is any reasonable likelihood Mr. McPhail would use such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I award nothing for costs of future care.</w:t>
      </w:r>
      <w:r>
        <w:rPr>
          <w:rFonts w:ascii="arial" w:eastAsia="arial" w:hAnsi="arial" w:cs="arial"/>
          <w:sz w:val="20"/>
          <w:lang w:val="en-US" w:eastAsia="en-US" w:bidi="ar-SA"/>
        </w:rPr>
        <w:cr/>
      </w:r>
    </w:p>
    <w:p>
      <w:pPr>
        <w:numPr>
          <w:numId w:val="3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xml:space="preserve">  Special damages are the actual expenses of a plaintiff, up to the date of trial, incurred as a result of the plaintiff's injuries or loss. For each item claimed, the plaintiff must prove on a balance of probabilities both the amount and the fact that the expenditure arose as a consequence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If the plaintiff fails to do so, nothing can be awarded for the particular item.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Mr. McPhail's claim for special damages included: $2,550 for physiotherapy treatments; $33,010 for his "living expenses," that is, his rent and utilities from the date of the accident until he gave up his apartment in September 2015; $2,313.26 for a car rental; $3,707.47 for credit card interest that Mr. McPhail claimed he paid when he put expenses on his credit card; and $10,000 for "vocational rehabilitation." Apart from the physiotherapy expenses, Mr. McPhail submitted no evidence to support the claimed expenses as recoverable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I note that "vocational rehabilitation," in the sense it was being used by Mr. McPhail in his submissions, would generally be an item of cost of future care, not special damages. For recovery as an item of cost of future care, evidence would be required to justify any award, based on the principles set out above. Mr. McPhail did not present such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Mr. McPhail's living expenses are clearly not recoverable as special damages, as these are expenses he would have to incur even without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More generally, I agree with the defendant that the only amount recoverable, based on the evidence presented and the burden on Mr. McPhail, is the amount for expenses related to physiotherapy. The invoice in evidence shows that amount is $2,475.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I award $2,475 as special damages.</w:t>
      </w:r>
      <w:r>
        <w:rPr>
          <w:rFonts w:ascii="arial" w:eastAsia="arial" w:hAnsi="arial" w:cs="arial"/>
          <w:sz w:val="20"/>
          <w:lang w:val="en-US" w:eastAsia="en-US" w:bidi="ar-SA"/>
        </w:rPr>
        <w:cr/>
      </w:r>
    </w:p>
    <w:p>
      <w:pPr>
        <w:numPr>
          <w:numId w:val="3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The defendant says that Mr. McPhail has a positive duty to mitigate his loss, and failed to do so. The defendant says that, for example, Mr. McPhail failed to take analgesics recommended by Dr. Edamura and failed to follow the exercise program recommended for him by Ms. Wu. The defendant says that Mr. McPhail also failed to seek appropriate treatment for his PTSD symptoms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The defendant says that any damages should be reduced by one-third to one-half on account of a 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I note that the defendant also argued there should be a reduction in any award for loss of earning capacity. As I have concluded that no such award is justified in this case, I do not need to address this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With respect to the balance of the defendant's submissions on mitigation, I am not persuaded that a reduction based on a failure to mitigate is appropriate in this case. Even if Mr. McPhail did not act reasonably in (for example) not taking over-the-counter analgesics for pain, I am not persuaded that the defendant has established the extent to which Mr. McPhail's damages would have been reduced.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Accordingly, I find that the defendant has not met the burden on him to prove that Mr. McPhail failed to mitigate his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8. Summary and 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In summary, I award damages to Mr. McPhail as follows:</w:t>
      </w:r>
      <w:r>
        <w:rPr>
          <w:rFonts w:ascii="arial" w:eastAsia="arial" w:hAnsi="arial" w:cs="arial"/>
          <w:sz w:val="20"/>
          <w:lang w:val="en-US" w:eastAsia="en-US" w:bidi="ar-SA"/>
        </w:rPr>
        <w:cr/>
      </w:r>
    </w:p>
    <w:p>
      <w:pPr>
        <w:numPr>
          <w:numId w:val="3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 in the sum of $35,000; and</w:t>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 in the sum of $2,475.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I award nothing under the other heads of damages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xml:space="preserve">  There will be pre-judgment interest in accordance with the </w:t>
      </w:r>
      <w:r>
        <w:rPr>
          <w:rFonts w:ascii="arial" w:eastAsia="arial" w:hAnsi="arial" w:cs="arial"/>
          <w:b/>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Subject to any submissions the parties may wish to make concerning costs, Mr. McPhail is entitled to his costs on Scale B. If the parties wish to make further submissions concerning costs, I direct that appropriate steps be taken within 30 days of the date of these Reasons to obtain a convenient hearing date from Scheduling.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E.J. ADAIR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7" style="position:absolute;z-index:25177804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18"/>
          <w:headerReference w:type="default" r:id="rId419"/>
          <w:footerReference w:type="even" r:id="rId420"/>
          <w:footerReference w:type="default" r:id="rId421"/>
          <w:headerReference w:type="first" r:id="rId422"/>
          <w:footerReference w:type="first" r:id="rId42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24" w:history="1">
        <w:r>
          <w:rPr>
            <w:rFonts w:ascii="arial" w:eastAsia="arial" w:hAnsi="arial" w:cs="arial"/>
            <w:b/>
            <w:bCs/>
            <w:i/>
            <w:color w:val="0077CC"/>
            <w:kern w:val="32"/>
            <w:sz w:val="28"/>
            <w:szCs w:val="32"/>
            <w:u w:val="single"/>
            <w:shd w:val="clear" w:color="auto" w:fill="FFFFFF"/>
            <w:lang w:val="en-US" w:eastAsia="en-US" w:bidi="ar-SA"/>
          </w:rPr>
          <w:t>M.D.A. Marine Design Associates Ltd. v. British Columbia Ferry Services Inc., [2009] B.C.J. No. 1946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 Fenlon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29,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30,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S066937 and S063106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1946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1342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CarswellBC 2632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181 A.C.W.S. (3d) 877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M.D.A. Marine Design Associates Ltd. Ralph Marwood and David Smiley doing business as Marine Design Associates, Plaintiffs, and British Columbia Ferry Services Inc. Mark Collins, Al Winning, David Carroll, John Constable Amarjit Dhariwal, Keok Ng, Mark Nichol, Bruce Paterson, Greg Peterson, Paul Radford, Wayne Ralph, Cindy Richardson, Jeff Smith, Greg Stewart, Geoff Vickery, and David Sharpe, Defendants And between Robert Armour and P D Sales Ltd., doing business as Polar Design Sales Ltd., Plaintiffs, and British Columbia Ferry Services Inc., Mark Collins, Al Winning, David Carroll, John Constable, Amarjit Dhariwal, Keok Ng, Mark Nichol, Bruce Paterson, Greg Peterson, Paul Radford, Wayne Ralph, Cindy Richardson, Jeff Smith, Greg Stewart, Geoff Vickery, and David Sharpe,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(34 paras.)</w:t>
      </w:r>
    </w:p>
    <w:p>
      <w:pPr>
        <w:jc w:val="both"/>
        <w:rPr>
          <w:rFonts w:ascii="arial" w:eastAsia="arial" w:hAnsi="arial" w:cs="arial"/>
          <w:sz w:val="20"/>
          <w:lang w:val="en-US" w:eastAsia="en-US" w:bidi="ar-SA"/>
        </w:rPr>
      </w:pPr>
      <w:bookmarkStart w:id="63" w:name="Counsel_17"/>
      <w:bookmarkEnd w:id="6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8" style="position:absolute;z-index:2516776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B.G. Baynham,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J.C. MacInnis.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64" w:name="Judgment_17"/>
      <w:bookmarkEnd w:id="64"/>
      <w:r>
        <w:pict>
          <v:line id="_x0000_s1089" style="position:absolute;z-index:251728896"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October 2, 2009; the corrections have been made to the text and the corrigendum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5" w:name="L. FENLON J."/>
            <w:bookmarkEnd w:id="65"/>
            <w:r>
              <w:rPr>
                <w:rFonts w:ascii="arial" w:eastAsia="arial" w:hAnsi="arial" w:cs="arial"/>
                <w:b/>
                <w:color w:val="000000"/>
                <w:sz w:val="30"/>
                <w:lang w:val="en-US" w:eastAsia="en-US" w:bidi="ar-SA"/>
              </w:rPr>
              <w:t>L. FENLON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plaintiffs sued for defamation and injurious falsehood arising out of an email sent by an executive to other employees of the defendant corporation, British Columbia Ferry Services Inc. ("BC Ferries"). I found that the email in question was defamatory, but was made on an occasion of qualified privilege. In the result, the plaintiffs' action was dismissed: reasons indexed at </w:t>
      </w:r>
      <w:r>
        <w:rPr>
          <w:rFonts w:ascii="arial" w:eastAsia="arial" w:hAnsi="arial" w:cs="arial"/>
          <w:i/>
          <w:color w:val="000000"/>
          <w:sz w:val="20"/>
          <w:lang w:val="en-US" w:eastAsia="en-US" w:bidi="ar-SA"/>
        </w:rPr>
        <w:t>M.D.A. Marine Design Associates Ltd. v. British Columbia Ferry Services Inc.,</w:t>
      </w:r>
      <w:r>
        <w:rPr>
          <w:rFonts w:ascii="arial" w:eastAsia="arial" w:hAnsi="arial" w:cs="arial"/>
          <w:color w:val="000000"/>
          <w:sz w:val="20"/>
          <w:lang w:val="en-US" w:eastAsia="en-US" w:bidi="ar-SA"/>
        </w:rPr>
        <w:t xml:space="preserve"> </w:t>
      </w:r>
      <w:hyperlink r:id="rId425" w:history="1">
        <w:r>
          <w:rPr>
            <w:rFonts w:ascii="arial" w:eastAsia="arial" w:hAnsi="arial" w:cs="arial"/>
            <w:i/>
            <w:color w:val="0077CC"/>
            <w:sz w:val="20"/>
            <w:u w:val="single"/>
            <w:shd w:val="clear" w:color="auto" w:fill="FFFFFF"/>
            <w:lang w:val="en-US" w:eastAsia="en-US" w:bidi="ar-SA"/>
          </w:rPr>
          <w:t>2008 BCSC 1432</w:t>
        </w:r>
      </w:hyperlink>
      <w:r>
        <w:rPr>
          <w:rFonts w:ascii="arial" w:eastAsia="arial" w:hAnsi="arial" w:cs="arial"/>
          <w:color w:val="000000"/>
          <w:sz w:val="20"/>
          <w:lang w:val="en-US" w:eastAsia="en-US" w:bidi="ar-SA"/>
        </w:rPr>
        <w:t xml:space="preserve">, </w:t>
      </w:r>
      <w:hyperlink r:id="rId425" w:history="1">
        <w:r>
          <w:rPr>
            <w:rFonts w:ascii="arial" w:eastAsia="arial" w:hAnsi="arial" w:cs="arial"/>
            <w:i/>
            <w:color w:val="0077CC"/>
            <w:sz w:val="20"/>
            <w:u w:val="single"/>
            <w:shd w:val="clear" w:color="auto" w:fill="FFFFFF"/>
            <w:lang w:val="en-US" w:eastAsia="en-US" w:bidi="ar-SA"/>
          </w:rPr>
          <w:t>[2008] B.C.J. No. 2017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M.D.A. Marine Design</w:t>
      </w:r>
      <w:r>
        <w:rPr>
          <w:rFonts w:ascii="arial" w:eastAsia="arial" w:hAnsi="arial" w:cs="arial"/>
          <w:color w:val="000000"/>
          <w:sz w:val="20"/>
          <w:lang w:val="en-US" w:eastAsia="en-US" w:bidi="ar-SA"/>
        </w:rPr>
        <w:t>]. At the request of the parties, I made no order as to costs, reserving the right to do so should the parties be unable to agree on that issue. They were unable to agree. The issue of costs is now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defendants seek costs in full on Scale B. The plaintiffs argue that each side should bear its own costs. In the alternative, they ask that the Court fix costs as a lump sum. In the further alternative, the plaintiffs ask the Court to order costs payable by the corporate plaintiffs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general issue is whether the Court should exercise its discretion to depart from the general rule that costs follow the event. The plaintiffs raise three particular issues in support of their position that costs should not be awarded to the successful party. First, the plaintiffs say that success was divided because, although ultimately unsuccessful in proving defamation, they did succeed in demonstrating key elements of their claim. Second, they say that defamation is a unique cause of action in that the plaintiffs had no option but to sue to clear their reputations. Third, the plaintiffs say that it is the defendants' fault that an action had to be commenced -- the lawsuit could have been avoided if BC Ferries had met with the plaintiffs, properly investigated the false allegations made in the email, and apologized for their error.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the event that the Court awards the defendants costs, the plaintiffs ask the Court to set costs at a lump sum and/or order that only the corporate plaintiffs are liable for costs. They seek these orders on the basis of the enormous disparity between the financial resources of BC Ferries and the plaintiffs, whose means were significantly and adversely affected by BC Ferries' decision to unapprove them for BC Ferries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defendants submit that there is no basis for the orders the plaintiffs seek. The defendants say that they are most deserving of costs at Scale B, having behaved responsibly by not pleading justification and focussing their case on the defence of qualified privilege, the ground upon which they succeeded at trial. The defendants say that because they have faced up to their exposure and have been substantially successful, they are entitled to costs. They further argue that financial hardship is not a factor to be considered by the Court in exercising its discretion in relation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general rule is that costs follow the event. Rule 57(9)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provide: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57(9) Subject to subrule (12), costs of and incidental to a proceeding shall follow the event unless the court otherwise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discretion to depart from the general rule must be exercised judicially. Sympathy for the unsuccessful party or concern about the unsuccessful party's financial situation cannot be the basis for an exercise of this discretion: </w:t>
      </w:r>
      <w:r>
        <w:rPr>
          <w:rFonts w:ascii="arial" w:eastAsia="arial" w:hAnsi="arial" w:cs="arial"/>
          <w:i/>
          <w:color w:val="000000"/>
          <w:sz w:val="20"/>
          <w:lang w:val="en-US" w:eastAsia="en-US" w:bidi="ar-SA"/>
        </w:rPr>
        <w:t>Grealy v. Kuntz</w:t>
      </w:r>
      <w:r>
        <w:rPr>
          <w:rFonts w:ascii="arial" w:eastAsia="arial" w:hAnsi="arial" w:cs="arial"/>
          <w:color w:val="000000"/>
          <w:sz w:val="20"/>
          <w:lang w:val="en-US" w:eastAsia="en-US" w:bidi="ar-SA"/>
        </w:rPr>
        <w:t xml:space="preserve"> (1994), 27 C.P.C. (3d) 76, </w:t>
      </w:r>
      <w:hyperlink r:id="rId426" w:history="1">
        <w:r>
          <w:rPr>
            <w:rFonts w:ascii="arial" w:eastAsia="arial" w:hAnsi="arial" w:cs="arial"/>
            <w:i/>
            <w:color w:val="0077CC"/>
            <w:sz w:val="20"/>
            <w:u w:val="single"/>
            <w:shd w:val="clear" w:color="auto" w:fill="FFFFFF"/>
            <w:lang w:val="en-US" w:eastAsia="en-US" w:bidi="ar-SA"/>
          </w:rPr>
          <w:t>48 A.C.W.S. (3d) 510</w:t>
        </w:r>
      </w:hyperlink>
      <w:r>
        <w:rPr>
          <w:rFonts w:ascii="arial" w:eastAsia="arial" w:hAnsi="arial" w:cs="arial"/>
          <w:color w:val="000000"/>
          <w:sz w:val="20"/>
          <w:lang w:val="en-US" w:eastAsia="en-US" w:bidi="ar-SA"/>
        </w:rPr>
        <w:t xml:space="preserve"> (B.C.S.C.); </w:t>
      </w:r>
      <w:r>
        <w:rPr>
          <w:rFonts w:ascii="arial" w:eastAsia="arial" w:hAnsi="arial" w:cs="arial"/>
          <w:i/>
          <w:color w:val="000000"/>
          <w:sz w:val="20"/>
          <w:lang w:val="en-US" w:eastAsia="en-US" w:bidi="ar-SA"/>
        </w:rPr>
        <w:t>Plumb (Guardian ad litem of) v. Cowichan School District No. 65</w:t>
      </w:r>
      <w:r>
        <w:rPr>
          <w:rFonts w:ascii="arial" w:eastAsia="arial" w:hAnsi="arial" w:cs="arial"/>
          <w:color w:val="000000"/>
          <w:sz w:val="20"/>
          <w:lang w:val="en-US" w:eastAsia="en-US" w:bidi="ar-SA"/>
        </w:rPr>
        <w:t xml:space="preserve"> </w:t>
      </w:r>
      <w:hyperlink r:id="rId427" w:history="1">
        <w:r>
          <w:rPr>
            <w:rFonts w:ascii="arial" w:eastAsia="arial" w:hAnsi="arial" w:cs="arial"/>
            <w:i/>
            <w:color w:val="0077CC"/>
            <w:sz w:val="20"/>
            <w:u w:val="single"/>
            <w:shd w:val="clear" w:color="auto" w:fill="FFFFFF"/>
            <w:lang w:val="en-US" w:eastAsia="en-US" w:bidi="ar-SA"/>
          </w:rPr>
          <w:t>(1992), 76 B.C.L.R. (2d) 118</w:t>
        </w:r>
      </w:hyperlink>
      <w:r>
        <w:rPr>
          <w:rFonts w:ascii="arial" w:eastAsia="arial" w:hAnsi="arial" w:cs="arial"/>
          <w:color w:val="000000"/>
          <w:sz w:val="20"/>
          <w:lang w:val="en-US" w:eastAsia="en-US" w:bidi="ar-SA"/>
        </w:rPr>
        <w:t>, 12 C.P.C. (3d) 354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With these general principles in mind, I turn to each of the plaintiffs' arguments.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1. Was success divided?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plaintiffs argue that the defendants should not be awarded costs because, in their view, success was divided relatively equally between the parties. The plaintiffs rely on R. (15)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which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57(15) The court may award costs that relate to some particular issue or part of the proceeding or may award costs except so far as they relate to some particular issue or part of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Sutherland v. The Attorney General of Canada</w:t>
      </w:r>
      <w:r>
        <w:rPr>
          <w:rFonts w:ascii="arial" w:eastAsia="arial" w:hAnsi="arial" w:cs="arial"/>
          <w:color w:val="000000"/>
          <w:sz w:val="20"/>
          <w:lang w:val="en-US" w:eastAsia="en-US" w:bidi="ar-SA"/>
        </w:rPr>
        <w:t xml:space="preserve">, </w:t>
      </w:r>
      <w:hyperlink r:id="rId428" w:history="1">
        <w:r>
          <w:rPr>
            <w:rFonts w:ascii="arial" w:eastAsia="arial" w:hAnsi="arial" w:cs="arial"/>
            <w:i/>
            <w:color w:val="0077CC"/>
            <w:sz w:val="20"/>
            <w:u w:val="single"/>
            <w:shd w:val="clear" w:color="auto" w:fill="FFFFFF"/>
            <w:lang w:val="en-US" w:eastAsia="en-US" w:bidi="ar-SA"/>
          </w:rPr>
          <w:t>2008 BCCA 27</w:t>
        </w:r>
      </w:hyperlink>
      <w:r>
        <w:rPr>
          <w:rFonts w:ascii="arial" w:eastAsia="arial" w:hAnsi="arial" w:cs="arial"/>
          <w:color w:val="000000"/>
          <w:sz w:val="20"/>
          <w:lang w:val="en-US" w:eastAsia="en-US" w:bidi="ar-SA"/>
        </w:rPr>
        <w:t xml:space="preserve">, </w:t>
      </w:r>
      <w:hyperlink r:id="rId428" w:history="1">
        <w:r>
          <w:rPr>
            <w:rFonts w:ascii="arial" w:eastAsia="arial" w:hAnsi="arial" w:cs="arial"/>
            <w:i/>
            <w:color w:val="0077CC"/>
            <w:sz w:val="20"/>
            <w:u w:val="single"/>
            <w:shd w:val="clear" w:color="auto" w:fill="FFFFFF"/>
            <w:lang w:val="en-US" w:eastAsia="en-US" w:bidi="ar-SA"/>
          </w:rPr>
          <w:t>77 B.C.L.R. (4th) 142</w:t>
        </w:r>
      </w:hyperlink>
      <w:r>
        <w:rPr>
          <w:rFonts w:ascii="arial" w:eastAsia="arial" w:hAnsi="arial" w:cs="arial"/>
          <w:color w:val="000000"/>
          <w:sz w:val="20"/>
          <w:lang w:val="en-US" w:eastAsia="en-US" w:bidi="ar-SA"/>
        </w:rPr>
        <w:t xml:space="preserve"> at paras. 29-31 [</w:t>
      </w:r>
      <w:r>
        <w:rPr>
          <w:rFonts w:ascii="arial" w:eastAsia="arial" w:hAnsi="arial" w:cs="arial"/>
          <w:i/>
          <w:color w:val="000000"/>
          <w:sz w:val="20"/>
          <w:lang w:val="en-US" w:eastAsia="en-US" w:bidi="ar-SA"/>
        </w:rPr>
        <w:t>Sutherland</w:t>
      </w:r>
      <w:r>
        <w:rPr>
          <w:rFonts w:ascii="arial" w:eastAsia="arial" w:hAnsi="arial" w:cs="arial"/>
          <w:color w:val="000000"/>
          <w:sz w:val="20"/>
          <w:lang w:val="en-US" w:eastAsia="en-US" w:bidi="ar-SA"/>
        </w:rPr>
        <w:t>], Finch C.J.B.C. for the Court of Appeal addressed apportionment of costs under this provision: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[29] A plain reading of the rule appears to give the judge a broad discretion to award costs to an unsuccessful party, or to deny costs to a successful party, with respect to an identifiable issue or part of the proceeding. As with every discretionary power, it must be exercised on a principled basis.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The test for the apportionment of costs under Rule 57(15) can be set out as follows:</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party seeking apportionment must establish that there are separate and discrete issues upon which the ultimately unsuccessful party succeeded at trial;</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a basis on which the trial judge can identify the time attributable to the trial of these separate issues;</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must be shown that apportionment would effect a just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plaintiffs in this case argue that they were substantially successful in demonstrating key elements of their defamation claim. They say that they were entirely successful in proving three elements of defamation, in particular that:</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words in the email were defamatory;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words concerned the plaintiffs; and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words were published.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plaintiffs also argue that they demonstrated that they suffered damages as a result of the defamatory words, but that is incorrect. While I found that the plaintiffs had experienced loss, I specifically did not address the issue of whether those losses were due to the defamatory email or to the business decision BC Ferries made to "unapprove" the plaintiffs as a service provider, a decision I expressly found BC Ferries was entitled to make.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plaintiffs say further that they succeeded in proving that the plaintiffs' work was not deficient in the manner described in the email. However, it is important when assessing divided success to bear in mind that the defendants did not plead justification. They did not defend the email on the basis that what it said was true, but rather on the basis that the email was sent on an occasion of qualified privilege. Whether the work was deficient was not in issue in the proceedings. My comments with respect to the adequacy of the work arose only in relation to the issue of whether the defence of qualified privilege was defeated by malice. The nature of the work done by the plaintiffs was relevant to my assessment of whether the author had an honest belief, when he wrote the email, that the work was deficient. I said at para. 68 of </w:t>
      </w:r>
      <w:r>
        <w:rPr>
          <w:rFonts w:ascii="arial" w:eastAsia="arial" w:hAnsi="arial" w:cs="arial"/>
          <w:i/>
          <w:color w:val="000000"/>
          <w:sz w:val="20"/>
          <w:lang w:val="en-US" w:eastAsia="en-US" w:bidi="ar-SA"/>
        </w:rPr>
        <w:t>M.D.A. Marine Design</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[68] Much evidence was led at trial concerning the work done by the plaintiffs on the four vessels in issue that led Mr. Collins to unapprove the plaintiffs for BC Ferries engineering work. Based on that evidence, I am of the view that the plaintiffs' work was not deficient. What is essential to this analysis, however, is not whether the work was actually deficient, but whether Mr. Collins held an honest belief that it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the result, the plaintiffs did not succeed in proving malice and, conversely, the defendants succeeded in proving the email was sent on an occasion of qualified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plaintiffs' argument that success in the case was divided must therefore rest on their proof of some of the elements of defamation, in particular that the words in the email were defamatory, referred to the plaintiffs, and were published. In my view, costs cannot be awarded to an unsuccessful litigant on the basis that it was able to make out </w:t>
      </w:r>
      <w:r>
        <w:rPr>
          <w:rFonts w:ascii="arial" w:eastAsia="arial" w:hAnsi="arial" w:cs="arial"/>
          <w:color w:val="000000"/>
          <w:sz w:val="20"/>
          <w:u w:val="single"/>
          <w:lang w:val="en-US" w:eastAsia="en-US" w:bidi="ar-SA"/>
        </w:rPr>
        <w:t>some</w:t>
      </w:r>
      <w:r>
        <w:rPr>
          <w:rFonts w:ascii="arial" w:eastAsia="arial" w:hAnsi="arial" w:cs="arial"/>
          <w:color w:val="000000"/>
          <w:sz w:val="20"/>
          <w:lang w:val="en-US" w:eastAsia="en-US" w:bidi="ar-SA"/>
        </w:rPr>
        <w:t xml:space="preserve"> of the elements of the cause of action sued upon. The plaintiffs sued the defendants in defamation. A claim in defamation is not made out if the publication in question occurs on an occasion of qualified privilege. Proving one or two elements of the cause of action but failing to prove other requisite elements does not amount to success on a separate and discrete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Brito (Guardian ad litem of) v. Woolley,</w:t>
      </w:r>
      <w:r>
        <w:rPr>
          <w:rFonts w:ascii="arial" w:eastAsia="arial" w:hAnsi="arial" w:cs="arial"/>
          <w:color w:val="000000"/>
          <w:sz w:val="20"/>
          <w:lang w:val="en-US" w:eastAsia="en-US" w:bidi="ar-SA"/>
        </w:rPr>
        <w:t xml:space="preserve"> </w:t>
      </w:r>
      <w:hyperlink r:id="rId429" w:history="1">
        <w:r>
          <w:rPr>
            <w:rFonts w:ascii="arial" w:eastAsia="arial" w:hAnsi="arial" w:cs="arial"/>
            <w:i/>
            <w:color w:val="0077CC"/>
            <w:sz w:val="20"/>
            <w:u w:val="single"/>
            <w:shd w:val="clear" w:color="auto" w:fill="FFFFFF"/>
            <w:lang w:val="en-US" w:eastAsia="en-US" w:bidi="ar-SA"/>
          </w:rPr>
          <w:t>2007 BCCA 1</w:t>
        </w:r>
      </w:hyperlink>
      <w:r>
        <w:rPr>
          <w:rFonts w:ascii="arial" w:eastAsia="arial" w:hAnsi="arial" w:cs="arial"/>
          <w:color w:val="000000"/>
          <w:sz w:val="20"/>
          <w:lang w:val="en-US" w:eastAsia="en-US" w:bidi="ar-SA"/>
        </w:rPr>
        <w:t xml:space="preserve">, </w:t>
      </w:r>
      <w:hyperlink r:id="rId429" w:history="1">
        <w:r>
          <w:rPr>
            <w:rFonts w:ascii="arial" w:eastAsia="arial" w:hAnsi="arial" w:cs="arial"/>
            <w:i/>
            <w:color w:val="0077CC"/>
            <w:sz w:val="20"/>
            <w:u w:val="single"/>
            <w:shd w:val="clear" w:color="auto" w:fill="FFFFFF"/>
            <w:lang w:val="en-US" w:eastAsia="en-US" w:bidi="ar-SA"/>
          </w:rPr>
          <w:t>63 B.C.L.R. (4th) 139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Woolley</w:t>
      </w:r>
      <w:r>
        <w:rPr>
          <w:rFonts w:ascii="arial" w:eastAsia="arial" w:hAnsi="arial" w:cs="arial"/>
          <w:color w:val="000000"/>
          <w:sz w:val="20"/>
          <w:lang w:val="en-US" w:eastAsia="en-US" w:bidi="ar-SA"/>
        </w:rPr>
        <w:t xml:space="preserve">] the Court of Appeal held that a trial judge had erred in principle in failing to award defendants their costs following dismissal of the plaintiffs' claim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at trial, </w:t>
      </w:r>
      <w:hyperlink r:id="rId430" w:history="1">
        <w:r>
          <w:rPr>
            <w:rFonts w:ascii="arial" w:eastAsia="arial" w:hAnsi="arial" w:cs="arial"/>
            <w:i/>
            <w:color w:val="0077CC"/>
            <w:sz w:val="20"/>
            <w:u w:val="single"/>
            <w:shd w:val="clear" w:color="auto" w:fill="FFFFFF"/>
            <w:lang w:val="en-US" w:eastAsia="en-US" w:bidi="ar-SA"/>
          </w:rPr>
          <w:t>[2005] B.C.J. No. 663</w:t>
        </w:r>
      </w:hyperlink>
      <w:r>
        <w:rPr>
          <w:rFonts w:ascii="arial" w:eastAsia="arial" w:hAnsi="arial" w:cs="arial"/>
          <w:color w:val="000000"/>
          <w:sz w:val="20"/>
          <w:lang w:val="en-US" w:eastAsia="en-US" w:bidi="ar-SA"/>
        </w:rPr>
        <w:t>. The trial judge had denied costs to the defendants and awarded costs to the unsuccessful plaintiffs in part because the plaintiffs had succeeded in proving that the defendants (save one nurse) had breached the duty of care they owed to the plaintiffs, although causation was not made out. In reversing the costs order and ordering that the defendants were entitled to costs on Scale 4, Saunders J.A. for the Court wrote at para. 33: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[33] ... [I]t was error, in my view, to base the costs order upon a finding that most of the defendants were found to have failed to comply with their duties to the plaintiffs (I observe that this does not include Nurse Omstead). More than this failure is required to establish an entitlement to costs. The case was defended not just on the issue of compliance with the standard, but also on the issue of causation. The plaintiffs were required to succeed on the causation issue in order to obtain an order in their favour. They did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Saunders J.A. went on to say at para. 41: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[41] The action was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 xml:space="preserve">Although the plaintiffs were successful in establishing some elements of the tort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u w:val="single"/>
          <w:lang w:val="en-US" w:eastAsia="en-US" w:bidi="ar-SA"/>
        </w:rPr>
        <w:t xml:space="preserve"> as against most of the defendants, they did not succeed in establishing all of the elements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u w:val="single"/>
          <w:lang w:val="en-US" w:eastAsia="en-US" w:bidi="ar-SA"/>
        </w:rPr>
        <w:t xml:space="preserve"> against any of the defendants, and thus were entirely unsuccessful in the litigation</w:t>
      </w:r>
      <w:r>
        <w:rPr>
          <w:rFonts w:ascii="arial" w:eastAsia="arial" w:hAnsi="arial" w:cs="arial"/>
          <w:color w:val="000000"/>
          <w:sz w:val="20"/>
          <w:lang w:val="en-US" w:eastAsia="en-US" w:bidi="ar-SA"/>
        </w:rPr>
        <w:t xml:space="preserve">. The trial judge did not decide whether there had been divided success and held that in any event divided costs would be unfair. I agree with that conclusion, although </w:t>
      </w:r>
      <w:r>
        <w:rPr>
          <w:rFonts w:ascii="arial" w:eastAsia="arial" w:hAnsi="arial" w:cs="arial"/>
          <w:color w:val="000000"/>
          <w:sz w:val="20"/>
          <w:u w:val="single"/>
          <w:lang w:val="en-US" w:eastAsia="en-US" w:bidi="ar-SA"/>
        </w:rPr>
        <w:t>I would also conclude that success was not divided</w:t>
      </w:r>
      <w:r>
        <w:rPr>
          <w:rFonts w:ascii="arial" w:eastAsia="arial" w:hAnsi="arial" w:cs="arial"/>
          <w:color w:val="000000"/>
          <w:sz w:val="20"/>
          <w:lang w:val="en-US" w:eastAsia="en-US" w:bidi="ar-SA"/>
        </w:rPr>
        <w:t>. The correct order, in my view, is that the defendants are entitled to their costs.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my view, the same principle applies to the tort of defamation.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plaintiffs submitted that the tort of defamation should be treated differently from other torts in which all of the elements of the tort must be made out. They argue that defamation is a unique tort in the sense that plaintiffs have no choice but to sue in order to salvage their reputations. I do not accept that defamation is unlike other torts with respect to which a number of elements must be proved. In this case, the email was sent within the offices of BC Ferries. The law clearly permits candid comments, even inaccurate and otherwise defamatory ones, in certain settings. In a case such as this, the plaintiffs are presumed to appreciate that communications sent on an occasion of qualified privilege are not defamatory. Commencing an action to disprove damaging remarks made upon an occasion of qualified privilege when there is no remedy ultimately available to the plaintiffs in defamation may be a strategic choice, but it is not a justification for denying the successful party its costs at the end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Even if I were to consider the proof of some elements of the tort to amount to "divided success", I would not reapportion costs on that basis because none of the elements the plaintiffs say they were successful in proving were significant issues. The first element, proof that the words were defamatory, was simply a matter for argument. Further, the defendants admitted two of the three imputations I found to be defamatory. There was very little time spent on proof that the words in the email referred to the individual plaintiffs, and the defendants admitted that the email was published by the author and ultimately received by the plaintiffs and 90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only significant issues in the defamation claim were whether the recipients of the email had an interest in receiving it from the author, and whether the author had a duty to send it. I found both to be the case, and therefore concluded that the internal BC Ferries email was sent on an occasion of qualified privilege. That issue consumed approximately 75%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With respect to the rest of the claims, the plaintiffs were successful in defeating BC Ferries' counterclaim to recover alleged overpayments under the contract for service. The plaintiff M.D.A.'s claims against BC Ferries for breach of contract were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summary on this issue, the defendants were substantially successful on all of the key issues raised in the trial except for the counterclaim. There is accordingly no basis under R. 57(15) to depart from the general rule that costs follow the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2. Should BC Ferries be denied its costs because it could have avoided being sued simply by meeting with the plaintiffs to clear up misunderstandings and offer an apology?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plaintiffs say that, once they learned of the email, they tried to deal with it in a business-like manner in keeping with their long history of working with BC Ferries. The plaintiff, Ralph Marwood, described his frustration in this regard in the following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were not provided with an opportunity to respond to Mr. Collins' allegations of poor performance, which he felt caused B.C. Ferries to incur hundreds of thousands of dollars of unanticipated costs, nor were we afforded the opportunity to respond to his assertion that MDA had refused to compensate B.C. Ferries for its costs.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Given that my relationship with B.C. Ferries, at that point, went back more than 30 years, I was shocked that no one at B.C. Ferries had the courtesy to raise these issues before we were summarily unapproved.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Given that the personal integrity of myself, Mr. Smiley and our company had been permanently and irreparably damaged by Mr. Collins' e-mail and given the fact that B.C. Ferries would not provide us with any explanation nor issue a retraction and apology, we felt we had no alternative but to commence an action for defamation. Had B.C. Ferries addressed our concerns and engaged in a dialogue with us, no action would have commended</w:t>
      </w:r>
      <w:r>
        <w:rPr>
          <w:rFonts w:ascii="arial" w:eastAsia="arial" w:hAnsi="arial" w:cs="arial"/>
          <w:color w:val="000000"/>
          <w:sz w:val="20"/>
          <w:lang w:val="en-US" w:eastAsia="en-US" w:bidi="ar-SA"/>
        </w:rPr>
        <w:t xml:space="preserve"> and we would have had no choice but to accept that B.C. Ferries had made a business decision not to use our services in the future.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plaintiffs rely on </w:t>
      </w:r>
      <w:r>
        <w:rPr>
          <w:rFonts w:ascii="arial" w:eastAsia="arial" w:hAnsi="arial" w:cs="arial"/>
          <w:i/>
          <w:color w:val="000000"/>
          <w:sz w:val="20"/>
          <w:lang w:val="en-US" w:eastAsia="en-US" w:bidi="ar-SA"/>
        </w:rPr>
        <w:t>Ogoki Frontier Inc. v. All A.I.R. Ltd.</w:t>
      </w:r>
      <w:r>
        <w:rPr>
          <w:rFonts w:ascii="arial" w:eastAsia="arial" w:hAnsi="arial" w:cs="arial"/>
          <w:color w:val="000000"/>
          <w:sz w:val="20"/>
          <w:lang w:val="en-US" w:eastAsia="en-US" w:bidi="ar-SA"/>
        </w:rPr>
        <w:t xml:space="preserve"> </w:t>
      </w:r>
      <w:hyperlink r:id="rId431" w:history="1">
        <w:r>
          <w:rPr>
            <w:rFonts w:ascii="arial" w:eastAsia="arial" w:hAnsi="arial" w:cs="arial"/>
            <w:i/>
            <w:color w:val="0077CC"/>
            <w:sz w:val="20"/>
            <w:u w:val="single"/>
            <w:shd w:val="clear" w:color="auto" w:fill="FFFFFF"/>
            <w:lang w:val="en-US" w:eastAsia="en-US" w:bidi="ar-SA"/>
          </w:rPr>
          <w:t>(2005), 136 A.C.W.S. (3d) 215</w:t>
        </w:r>
      </w:hyperlink>
      <w:r>
        <w:rPr>
          <w:rFonts w:ascii="arial" w:eastAsia="arial" w:hAnsi="arial" w:cs="arial"/>
          <w:color w:val="000000"/>
          <w:sz w:val="20"/>
          <w:lang w:val="en-US" w:eastAsia="en-US" w:bidi="ar-SA"/>
        </w:rPr>
        <w:t xml:space="preserve">, </w:t>
      </w:r>
      <w:hyperlink r:id="rId431" w:history="1">
        <w:r>
          <w:rPr>
            <w:rFonts w:ascii="arial" w:eastAsia="arial" w:hAnsi="arial" w:cs="arial"/>
            <w:i/>
            <w:color w:val="0077CC"/>
            <w:sz w:val="20"/>
            <w:u w:val="single"/>
            <w:shd w:val="clear" w:color="auto" w:fill="FFFFFF"/>
            <w:lang w:val="en-US" w:eastAsia="en-US" w:bidi="ar-SA"/>
          </w:rPr>
          <w:t>[2005] O.J. No. 99</w:t>
        </w:r>
      </w:hyperlink>
      <w:r>
        <w:rPr>
          <w:rFonts w:ascii="arial" w:eastAsia="arial" w:hAnsi="arial" w:cs="arial"/>
          <w:color w:val="000000"/>
          <w:sz w:val="20"/>
          <w:lang w:val="en-US" w:eastAsia="en-US" w:bidi="ar-SA"/>
        </w:rPr>
        <w:t xml:space="preserve"> (S.C.J.) [</w:t>
      </w:r>
      <w:r>
        <w:rPr>
          <w:rFonts w:ascii="arial" w:eastAsia="arial" w:hAnsi="arial" w:cs="arial"/>
          <w:i/>
          <w:color w:val="000000"/>
          <w:sz w:val="20"/>
          <w:lang w:val="en-US" w:eastAsia="en-US" w:bidi="ar-SA"/>
        </w:rPr>
        <w:t>Ogoki</w:t>
      </w:r>
      <w:r>
        <w:rPr>
          <w:rFonts w:ascii="arial" w:eastAsia="arial" w:hAnsi="arial" w:cs="arial"/>
          <w:color w:val="000000"/>
          <w:sz w:val="20"/>
          <w:lang w:val="en-US" w:eastAsia="en-US" w:bidi="ar-SA"/>
        </w:rPr>
        <w:t>], a case in which the plaintiffs' action for breach of contract to complete airplane repairs within a specified time was allowed in part, and the counterclaim of the defendants for unpaid repair bills was allowed in whole. In that case, the trial judge departed from the general rule that costs follow the event and awarded reduced costs to the defendant because he found that the defendant could have avoided the litigation if he had simply clearly communicated to the plaintiff what work had been completed on the plane and what was owed. Smith J. stated at para. 27: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 [The defendant's] failure to do so, compounded by the filing of a lien against the aircraft, left the Plaintiffs with no other alternative but to commence this legal action. For whatever reason, the Defendant became incensed after receiving [the plaintiff's] March 2002 memo and not only began to belittle [the plaintiff] by publicly posting the memo but also refused from that point on to engage in any reasonable discussion about the aircraft.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Ogoki</w:t>
      </w:r>
      <w:r>
        <w:rPr>
          <w:rFonts w:ascii="arial" w:eastAsia="arial" w:hAnsi="arial" w:cs="arial"/>
          <w:color w:val="000000"/>
          <w:sz w:val="20"/>
          <w:lang w:val="en-US" w:eastAsia="en-US" w:bidi="ar-SA"/>
        </w:rPr>
        <w:t>, the defendant company was found to have provoked a lawsuit because it filed a lien without issuing an invoice for the work done. There is no comparable behaviour in the case at bar. While the plaintiffs' expectation of more accommodating treatment by BC Ferries was a reasonable one, the tone of their demands was not without threat of legal action from the start. BC Ferries was not required in law to meet with or to apologize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Sutherland</w:t>
      </w:r>
      <w:r>
        <w:rPr>
          <w:rFonts w:ascii="arial" w:eastAsia="arial" w:hAnsi="arial" w:cs="arial"/>
          <w:color w:val="000000"/>
          <w:sz w:val="20"/>
          <w:lang w:val="en-US" w:eastAsia="en-US" w:bidi="ar-SA"/>
        </w:rPr>
        <w:t xml:space="preserve">, the plaintiffs sued in nuisance in relation to a second airport runway installed close to their homes. They succeeded in proving nuisance at trial, </w:t>
      </w:r>
      <w:hyperlink r:id="rId432" w:history="1">
        <w:r>
          <w:rPr>
            <w:rFonts w:ascii="arial" w:eastAsia="arial" w:hAnsi="arial" w:cs="arial"/>
            <w:i/>
            <w:color w:val="0077CC"/>
            <w:sz w:val="20"/>
            <w:u w:val="single"/>
            <w:shd w:val="clear" w:color="auto" w:fill="FFFFFF"/>
            <w:lang w:val="en-US" w:eastAsia="en-US" w:bidi="ar-SA"/>
          </w:rPr>
          <w:t>[2005] B.C.J. No. 710</w:t>
        </w:r>
      </w:hyperlink>
      <w:r>
        <w:rPr>
          <w:rFonts w:ascii="arial" w:eastAsia="arial" w:hAnsi="arial" w:cs="arial"/>
          <w:color w:val="000000"/>
          <w:sz w:val="20"/>
          <w:lang w:val="en-US" w:eastAsia="en-US" w:bidi="ar-SA"/>
        </w:rPr>
        <w:t>, but were ultimately defeated in their action by the defence of statutory authority. The trial judge exercised his discretion to reapportion costs under R. 57(15) on the basis that the defendants should not have thought they would succeed in relation to nuisance and also because the defendants had ignored "the studied recommendation" of the EARP Panel to the effect that compensation should be paid to the landowners. Finch C.J.B.C. for the majority wrote at paras. 39-42: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[39] The trial judge also erred by taking an irrelevant factor into consideration. At para. 18 of his reasons on costs, the learned trial judge, as part of his justification for apportioning costs, suggests that the defendants should not have thought they had much chance of success in defending against the allegation of nuisance. With respect, this consideration is irrelevant in determining whether it would be fair to apportion costs. As responsible public bodies, the defendants were entitled to defend, by all lawful means, against their alleged liability, including a denial of the alleged nuisance.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[42] The defendants chose not to adopt the recommendation of the EARP Panel which recommended compensation for those adversely affected by noise. To say, as the trial judge does at para. 19 of his reasons on costs, that the defendants "ignored" this recommendation suggests indifference or bad faith on their part. There is nothing in the reasons at trial to warrant such inferences. A more logical and coherent inference from the defendants' decision not to pay compensation is that they were advised, or were of the opinion, that they did not have a legal obligation to do so. The same may be said of the defendants' response to the evidence of the affected residents.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summary on this point, the defendants cannot be denied their costs on the basis that there would have been no need for a lawsuit if the defendants had simply agreed to the plaintiffs' demands at the outset. The defendants did not accede to those demands for an investigation and apology presumably because they were of the view that they had not defamed the plaintiffs. The defendants were found to be correct in that legal assessment. As I noted in my reasons, BC Ferries made a harsh business decision with disastrous consequences for the plaintiffs, but it was a decision it was entitled to make and to communicate to its staff.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3. Should the defendants' costs be fixed as a lump sum?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Rule 57(13) governs the Court's discretion to fix lump sum costs at the conclusion of a proceeding. It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57(13) </w:t>
      </w:r>
      <w:r>
        <w:rPr>
          <w:rFonts w:ascii="arial" w:eastAsia="arial" w:hAnsi="arial" w:cs="arial"/>
          <w:color w:val="000000"/>
          <w:sz w:val="20"/>
          <w:u w:val="single"/>
          <w:lang w:val="en-US" w:eastAsia="en-US" w:bidi="ar-SA"/>
        </w:rPr>
        <w:t>With the consent of the parties</w:t>
      </w:r>
      <w:r>
        <w:rPr>
          <w:rFonts w:ascii="arial" w:eastAsia="arial" w:hAnsi="arial" w:cs="arial"/>
          <w:color w:val="000000"/>
          <w:sz w:val="20"/>
          <w:lang w:val="en-US" w:eastAsia="en-US" w:bidi="ar-SA"/>
        </w:rPr>
        <w:t>, the court may fix a lump sum as the costs of the whole proceeding, either inclusive or exclusive of disbursements and expenses.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Rule 57(13) does not give the court authority to fix lump sum costs where the parties do not agree to that course of action: </w:t>
      </w:r>
      <w:r>
        <w:rPr>
          <w:rFonts w:ascii="arial" w:eastAsia="arial" w:hAnsi="arial" w:cs="arial"/>
          <w:i/>
          <w:color w:val="000000"/>
          <w:sz w:val="20"/>
          <w:lang w:val="en-US" w:eastAsia="en-US" w:bidi="ar-SA"/>
        </w:rPr>
        <w:t>Snarpen Contracting Ltd. v. Arbutus Bay Estates Ltd.,</w:t>
      </w:r>
      <w:r>
        <w:rPr>
          <w:rFonts w:ascii="arial" w:eastAsia="arial" w:hAnsi="arial" w:cs="arial"/>
          <w:color w:val="000000"/>
          <w:sz w:val="20"/>
          <w:lang w:val="en-US" w:eastAsia="en-US" w:bidi="ar-SA"/>
        </w:rPr>
        <w:t xml:space="preserve"> </w:t>
      </w:r>
      <w:hyperlink r:id="rId433" w:history="1">
        <w:r>
          <w:rPr>
            <w:rFonts w:ascii="arial" w:eastAsia="arial" w:hAnsi="arial" w:cs="arial"/>
            <w:i/>
            <w:color w:val="0077CC"/>
            <w:sz w:val="20"/>
            <w:u w:val="single"/>
            <w:shd w:val="clear" w:color="auto" w:fill="FFFFFF"/>
            <w:lang w:val="en-US" w:eastAsia="en-US" w:bidi="ar-SA"/>
          </w:rPr>
          <w:t>[1996] B.C.J. No. 2370</w:t>
        </w:r>
      </w:hyperlink>
      <w:r>
        <w:rPr>
          <w:rFonts w:ascii="arial" w:eastAsia="arial" w:hAnsi="arial" w:cs="arial"/>
          <w:color w:val="000000"/>
          <w:sz w:val="20"/>
          <w:lang w:val="en-US" w:eastAsia="en-US" w:bidi="ar-SA"/>
        </w:rPr>
        <w:t xml:space="preserve"> at para. 22 (C.A.). Further, the only basis for fixing lump sum costs in this case would be the financial hardship that the usual costs would impose on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Robinson v. Lakner</w:t>
      </w:r>
      <w:r>
        <w:rPr>
          <w:rFonts w:ascii="arial" w:eastAsia="arial" w:hAnsi="arial" w:cs="arial"/>
          <w:color w:val="000000"/>
          <w:sz w:val="20"/>
          <w:lang w:val="en-US" w:eastAsia="en-US" w:bidi="ar-SA"/>
        </w:rPr>
        <w:t xml:space="preserve"> </w:t>
      </w:r>
      <w:hyperlink r:id="rId206" w:history="1">
        <w:r>
          <w:rPr>
            <w:rFonts w:ascii="arial" w:eastAsia="arial" w:hAnsi="arial" w:cs="arial"/>
            <w:i/>
            <w:color w:val="0077CC"/>
            <w:sz w:val="20"/>
            <w:u w:val="single"/>
            <w:shd w:val="clear" w:color="auto" w:fill="FFFFFF"/>
            <w:lang w:val="en-US" w:eastAsia="en-US" w:bidi="ar-SA"/>
          </w:rPr>
          <w:t>(1998), 159 D.L.R. (4th) 191</w:t>
        </w:r>
      </w:hyperlink>
      <w:r>
        <w:rPr>
          <w:rFonts w:ascii="arial" w:eastAsia="arial" w:hAnsi="arial" w:cs="arial"/>
          <w:color w:val="000000"/>
          <w:sz w:val="20"/>
          <w:lang w:val="en-US" w:eastAsia="en-US" w:bidi="ar-SA"/>
        </w:rPr>
        <w:t xml:space="preserve">, </w:t>
      </w:r>
      <w:hyperlink r:id="rId206" w:history="1">
        <w:r>
          <w:rPr>
            <w:rFonts w:ascii="arial" w:eastAsia="arial" w:hAnsi="arial" w:cs="arial"/>
            <w:i/>
            <w:color w:val="0077CC"/>
            <w:sz w:val="20"/>
            <w:u w:val="single"/>
            <w:shd w:val="clear" w:color="auto" w:fill="FFFFFF"/>
            <w:lang w:val="en-US" w:eastAsia="en-US" w:bidi="ar-SA"/>
          </w:rPr>
          <w:t>107 B.C.A.C. 64</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Robinson</w:t>
      </w:r>
      <w:r>
        <w:rPr>
          <w:rFonts w:ascii="arial" w:eastAsia="arial" w:hAnsi="arial" w:cs="arial"/>
          <w:color w:val="000000"/>
          <w:sz w:val="20"/>
          <w:lang w:val="en-US" w:eastAsia="en-US" w:bidi="ar-SA"/>
        </w:rPr>
        <w:t xml:space="preserve">], the trial judge awarded fixed costs of $1,500 because he felt that letting the matter go to taxation would create financial hardship for the unsuccessful plaintiff, a "penniless student", (para. 4) for many years to come, </w:t>
      </w:r>
      <w:hyperlink r:id="rId434" w:history="1">
        <w:r>
          <w:rPr>
            <w:rFonts w:ascii="arial" w:eastAsia="arial" w:hAnsi="arial" w:cs="arial"/>
            <w:i/>
            <w:color w:val="0077CC"/>
            <w:sz w:val="20"/>
            <w:u w:val="single"/>
            <w:shd w:val="clear" w:color="auto" w:fill="FFFFFF"/>
            <w:lang w:val="en-US" w:eastAsia="en-US" w:bidi="ar-SA"/>
          </w:rPr>
          <w:t>[1996] B.C.J. No. 2429</w:t>
        </w:r>
      </w:hyperlink>
      <w:r>
        <w:rPr>
          <w:rFonts w:ascii="arial" w:eastAsia="arial" w:hAnsi="arial" w:cs="arial"/>
          <w:color w:val="000000"/>
          <w:sz w:val="20"/>
          <w:lang w:val="en-US" w:eastAsia="en-US" w:bidi="ar-SA"/>
        </w:rPr>
        <w:t>. In reversing the trial judge's decision, Prowse J.A. for the Court said at para. 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 Although the trial judge made reference earlier in his reasons to the fact that financial hardship in itself is not a sound basis for departing from the usual rule with respect to costs, he effectively ignored that principle in the award of costs he made. In my view, he erred in so doing.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summary on this point, I cannot award a lump sum of costs out of concern for the financial hardship that regular costs will pose for the plaintiffs, nor can I fix costs as a lump sum without the consent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4. Should costs be awarded against the corporate plaintiffs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Giles v. Westminster Savings Credit Union</w:t>
      </w:r>
      <w:r>
        <w:rPr>
          <w:rFonts w:ascii="arial" w:eastAsia="arial" w:hAnsi="arial" w:cs="arial"/>
          <w:color w:val="000000"/>
          <w:sz w:val="20"/>
          <w:lang w:val="en-US" w:eastAsia="en-US" w:bidi="ar-SA"/>
        </w:rPr>
        <w:t xml:space="preserve">, </w:t>
      </w:r>
      <w:hyperlink r:id="rId435" w:history="1">
        <w:r>
          <w:rPr>
            <w:rFonts w:ascii="arial" w:eastAsia="arial" w:hAnsi="arial" w:cs="arial"/>
            <w:i/>
            <w:color w:val="0077CC"/>
            <w:sz w:val="20"/>
            <w:u w:val="single"/>
            <w:shd w:val="clear" w:color="auto" w:fill="FFFFFF"/>
            <w:lang w:val="en-US" w:eastAsia="en-US" w:bidi="ar-SA"/>
          </w:rPr>
          <w:t>2009 BCSC 279</w:t>
        </w:r>
      </w:hyperlink>
      <w:r>
        <w:rPr>
          <w:rFonts w:ascii="arial" w:eastAsia="arial" w:hAnsi="arial" w:cs="arial"/>
          <w:color w:val="000000"/>
          <w:sz w:val="20"/>
          <w:lang w:val="en-US" w:eastAsia="en-US" w:bidi="ar-SA"/>
        </w:rPr>
        <w:t xml:space="preserve">, </w:t>
      </w:r>
      <w:hyperlink r:id="rId435" w:history="1">
        <w:r>
          <w:rPr>
            <w:rFonts w:ascii="arial" w:eastAsia="arial" w:hAnsi="arial" w:cs="arial"/>
            <w:i/>
            <w:color w:val="0077CC"/>
            <w:sz w:val="20"/>
            <w:u w:val="single"/>
            <w:shd w:val="clear" w:color="auto" w:fill="FFFFFF"/>
            <w:lang w:val="en-US" w:eastAsia="en-US" w:bidi="ar-SA"/>
          </w:rPr>
          <w:t>90 B.C.L.R. (4th) 107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Giles</w:t>
      </w:r>
      <w:r>
        <w:rPr>
          <w:rFonts w:ascii="arial" w:eastAsia="arial" w:hAnsi="arial" w:cs="arial"/>
          <w:color w:val="000000"/>
          <w:sz w:val="20"/>
          <w:lang w:val="en-US" w:eastAsia="en-US" w:bidi="ar-SA"/>
        </w:rPr>
        <w:t>], Sigurdson J. addressed the issue of how costs should be shared by unsuccessful plaintiffs. He concluded that the usual rule is that the liability of unsuccessful parties for costs is joint and several, unless the court exercises its discretion and orders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Sigurdson J. held in Giles that all of the plaintiffs were liable for costs because the object of the litigation was to benefit them all; he departed, however, from the general rule of awarding costs jointly and severally. He instead awarded costs on a several basis because he concluded that it would be inappropriate in the unique circumstances of that case to award costs on a joint and several basis given that the costs would be excessive. That case involved 490 plaintiffs who had brought an action against a financial institution for breach of fiduciary duty and breach of trust, but collectively chose ten plaintiffs to go to trial. The total costs were predicted to exceed $900,000. Mr. Justice Sigurdson said that he was inclined to make the 490 plaintiffs responsible for costs on a per capita basis, but gave the parties liberty to make further submissions to the Court if they disagreed (para.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the case before me, the plaintiffs in each action are a corporation and its principals. These are closely held companies which were, in effect, vehicles for their principals to earn a living and to conduct their business. The parties chose to sue both in their personal capacities and through their corporations. The case was presented on the basis that the corporations were, in effect, synonymous with the named principals, and that the reputations of both corporation and individuals had been damaged by the email. In these circumstances, there is no basis, other than a desire to protect the individual plaintiffs from financial hardship, for departing from the usual rule that costs are to be borne by the unsuccessful parties on a joint and several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summary on this point, my concern for the individual plaintiffs' financial circumstances cannot support a decision to restrict the defendants to recovery of costs from the corporate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the result, BC Ferries, Mark Collins, Al Winning, David Carroll, Keok Ng, Mark Nichol, Greg Peterson, Cindy Richardson, Greg Stewart, Geoff Vickery and David Sharpe have a right to their costs at Scale B. The plaintiffs are entitled to their costs on the counterclaim at Scale B, with the costs to be set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 FENLON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October 2,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L. FENLON J.:-- This is a corrigendum to reasons for judgment filed September 30,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 The first sentence of para. 34 of my reasons should be corrected to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 In the result, the defendants BC Ferries, Mark Collins, Al Winning, David Carroll, Keok Ng, Mark Nichol, Greg Peterson, Cindy Richardson, Greg Stewart, Geoff Vickery and David Sharpe have a right to their costs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 FENLON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0" style="position:absolute;z-index:2517790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36"/>
          <w:headerReference w:type="default" r:id="rId437"/>
          <w:footerReference w:type="even" r:id="rId438"/>
          <w:footerReference w:type="default" r:id="rId439"/>
          <w:headerReference w:type="first" r:id="rId440"/>
          <w:footerReference w:type="first" r:id="rId44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42" w:history="1">
        <w:r>
          <w:rPr>
            <w:rFonts w:ascii="arial" w:eastAsia="arial" w:hAnsi="arial" w:cs="arial"/>
            <w:b/>
            <w:bCs/>
            <w:i/>
            <w:color w:val="0077CC"/>
            <w:kern w:val="32"/>
            <w:sz w:val="28"/>
            <w:szCs w:val="32"/>
            <w:u w:val="single"/>
            <w:shd w:val="clear" w:color="auto" w:fill="FFFFFF"/>
            <w:lang w:val="en-US" w:eastAsia="en-US" w:bidi="ar-SA"/>
          </w:rPr>
          <w:t>Mular v. Lawrence, [2013] B.C.J. No. 1410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B.I. Cohen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27-29,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28,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E028106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1410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1158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James William Mular, Plaintiff by Counterclaim, and Rebecca Susan Lawrence a.k.a. Rebecca Susan Mular, Defendant by Counterclaim</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(43 paras.)</w:t>
      </w:r>
    </w:p>
    <w:p>
      <w:pPr>
        <w:jc w:val="both"/>
        <w:rPr>
          <w:rFonts w:ascii="arial" w:eastAsia="arial" w:hAnsi="arial" w:cs="arial"/>
          <w:sz w:val="20"/>
          <w:lang w:val="en-US" w:eastAsia="en-US" w:bidi="ar-SA"/>
        </w:rPr>
      </w:pPr>
      <w:bookmarkStart w:id="66" w:name="Counsel_18"/>
      <w:bookmarkEnd w:id="6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1" style="position:absolute;z-index:2516787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by counterclaim: David T. Paterson.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defendant by counterclaim: On her own behalf.</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67" w:name="Judgment_18"/>
      <w:bookmarkEnd w:id="67"/>
      <w:r>
        <w:pict>
          <v:line id="_x0000_s1092" style="position:absolute;z-index:25172992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8" w:name="B.I. COHEN J."/>
            <w:bookmarkEnd w:id="68"/>
            <w:r>
              <w:rPr>
                <w:rFonts w:ascii="arial" w:eastAsia="arial" w:hAnsi="arial" w:cs="arial"/>
                <w:b/>
                <w:color w:val="000000"/>
                <w:sz w:val="30"/>
                <w:lang w:val="en-US" w:eastAsia="en-US" w:bidi="ar-SA"/>
              </w:rPr>
              <w:t>B.I. COHEN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1.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action is brought by the plaintiff by counterclaim (the "plaintiff") for an unequal division of family property based on ss. 95(2)(a), (2)(f) and 2(i) of the </w:t>
      </w:r>
      <w:r>
        <w:rPr>
          <w:rFonts w:ascii="arial" w:eastAsia="arial" w:hAnsi="arial" w:cs="arial"/>
          <w:i/>
          <w:color w:val="000000"/>
          <w:sz w:val="20"/>
          <w:lang w:val="en-US" w:eastAsia="en-US" w:bidi="ar-SA"/>
        </w:rPr>
        <w:t>Family Law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2011, c. 25</w:t>
      </w:r>
      <w:r>
        <w:rPr>
          <w:rFonts w:ascii="arial" w:eastAsia="arial" w:hAnsi="arial" w:cs="arial"/>
          <w:color w:val="000000"/>
          <w:sz w:val="20"/>
          <w:lang w:val="en-US" w:eastAsia="en-US" w:bidi="ar-SA"/>
        </w:rPr>
        <w:t>. The main claim centers around the plaintiff's assertion that the defendant by counterclaim (the "defendant") caused a significant decrease in the value of the former matrimonial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2.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James William Mular, seeks an order for compensation against the defendant, Rebecca Susan Lawrence, in the amount of $67,225 as a result of the fact that the defendant deliberately aborted the sale of the former matrimonial home in June 2008, and caused the parties to suffer a market loss in excess of $120,000 by the time it eventually sold in March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There is a long history to this litigation commencing with the order of Master Tokarek dated November 26, 2007, in which he ordered,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that the "[family home] shall be forthwith listed for sale and sold, with the parties sharing the conduct of sale". He also ordered, "[w]hen the [family home] has been sold, the proceeds of sale shall be disbursed ... firstly, to the real estate commission ... secondly, to the usual vendor-purchaser adjustments, including property taxes ... to the payout ... of the TD Canada Trust Mortgage ... to the payout ... of the TD Canada Trust Line of Credit ... the balance then remaining shall be divided equally between the Plaintiff and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early March 2008, the parties signed a listing agreement to sell the former matrimonial home. A contract of purchase and sale was entered into between the parties and purchasers dated March 30, 2008 to sell the former matrimonial home for $729,000. The sale was to complete on June 26, 2008. However, on the eve of the completion of the transaction, the defendant balked and the transaction was aborted. In a letter dated June 25, 2008, from the defendant's representative on the transaction, Ms. Emilia Luca, a Notary Public, to the plaintiff's lawyer, Mr. David Paterson, Ms. Luca advised,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 David,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per our earlier phone conversation, my client, Rebecca Susan Lawrence AKA Rebecca Susan Mular came into my office to sign the Seller's documents. I have all documents prepared by Kane Shannon &amp; Weiler for the Seller and also the Order to Pay for the payment of the two mortgages registered on title. My intention was that after she signs the documents I fax them to you for your client's review and signature.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Mrs. Lawrence came in my office and she told me that she is not going to sign any documents because she is very upset with her ex-husband James. She said that James had already fallen behind with the mortgage payments and she mentioned the amount of $2,300. She said that it was not fair and that she did not care if the sale did not go through.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asked her if she would reconsider and she said that tomorrow, on Thursday when the closing is, she was at the office and on training and she would not be able to leave the office to come to my office and sign the documents pertaining to the sale.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insisted that James is aware of the fact that she would not sign the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a letter dated July 10, 2008, sent from the lawyer for the purchasers to Mr. Paterson and Ms. Luca, the lawyer wrote,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confirm that we act for the former Purchasers, Karen Percy and Drew Quakenbush. Mr. Paterson represents the Vendor, James Mular in respect of the above-noted and Rebecca Mular is represented by Ms. Luca. We confirm that the Vendors have failed to complete and are therefore in breach of the Contract.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are instructed to advise that our clients accept the Breach and elect to recover damages against the Vendors including return of deposit $25,000.00. We are instructed to vigorously pursue recovery of the same by all available means.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Damages are expected to be substantial in the circumstances. Without limitation, our clients have arranged the sale of their current home in reliance on completion, and are now faced with the prospect of having to arrange interim accommodation for themselves and their children. Further they had arranged 'bridge' refinancing of their home to allow for completion, involving additional financing charges. They also accepted a reduction of sale price on their current home in reliance on completion in accordance with the terms of the Contract. They had purchased appliances designed to fit the new home which they will now have to replace.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They have advised us that the full measure of damages, both pecuniary and non-pecuniary -- will not be capable of determination until they have arranged an acceptable substitute purchase and completion of that purchase occurs. Additional legal costs incurred by the breach are substantial and expected to increase significantly should litigation be necessary.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this time however, to avoid the necessity for litigation, our clients will agree to accept the following from the Vendors in full and final settlement of damages:</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return of the deposit $25,000.00; and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sum of $10,000.00 in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By way of an order dated September 17, 2008, Burnyeat J. ordered that the order of Master Tokarek dated November 26, 2007 be varied to give sole conduct of sale to the defendant on certain conditions, as follows:</w:t>
      </w:r>
      <w:r>
        <w:rPr>
          <w:rFonts w:ascii="arial" w:eastAsia="arial" w:hAnsi="arial" w:cs="arial"/>
          <w:sz w:val="20"/>
          <w:lang w:val="en-US" w:eastAsia="en-US" w:bidi="ar-SA"/>
        </w:rPr>
        <w:cr/>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each party shall forthwith provide the other with 2 realtor's opinions as to the suggested listing price and the probable sale price, assuming a sale within 120 days;</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listing price shall be the average of the 4 realtors' suggesting listing prices;</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listing agreement shall be for a maximum of 120 days;</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may choose the realtor and shall provide to the Plaintiff a copy of the Listing Agreement within 24 hours of it being signed;</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listing agent may erect a "For Sale" sign at the Property;</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listing agent shall provide the Plaintiff with 24 hours' notice of any showings of the Property;</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accepted offer shall be provided to the Plaintiff within 24 hours of the acceptance being signed;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accepted offer shall be subject to Court approval and the Plaintiff shall have 2 clear days' notice of the application for Court approval.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entered into a listing contract with the same realtor as in the initial listing with an effective date of October 3, 2008. A second contract of purchase and sale, dated March 7, 2009, was entered into by the plaintiff to sell the matrimonial home for $605,000.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By way of an order dated April 9, 2009, Williamson J. approved the sale of the former matrimonial home for a sale price of $604,250. He also ordered that the beneficial interest of the defendant shall vest in the purchaser, and made the following order with respect to the proceeds of sale:</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Firstly, to the real estate commission and associated GST;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Secondly, to the usual vendor-purchaser adjustments, including property taxes;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the payout, including penalties and interest, of the TD Canada Trust mortgage;</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the payout, including penalties and interest, of the TD Canada Trust Line of Credit,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and the balance, being the net proceeds of sale, shall be divided equally between the plaintiff and the defendant, </w:t>
      </w:r>
      <w:r>
        <w:rPr>
          <w:rFonts w:ascii="arial" w:eastAsia="arial" w:hAnsi="arial" w:cs="arial"/>
          <w:i/>
          <w:color w:val="000000"/>
          <w:sz w:val="20"/>
          <w:lang w:val="en-US" w:eastAsia="en-US" w:bidi="ar-SA"/>
        </w:rPr>
        <w:t>save and except that</w:t>
      </w:r>
      <w:r>
        <w:rPr>
          <w:rFonts w:ascii="arial" w:eastAsia="arial" w:hAnsi="arial" w:cs="arial"/>
          <w:color w:val="000000"/>
          <w:sz w:val="20"/>
          <w:lang w:val="en-US" w:eastAsia="en-US" w:bidi="ar-SA"/>
        </w:rPr>
        <w:t xml:space="preserve"> the sum of $180,000 off the top of the net proceeds shall be held back in trust by the solicitor for the defendant, David Paterson, of the law firm Humphry -- Paterson, in an interest bearing bank account and shall not be paid out to the parties without the consent of the parties or further order of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brought an application for a number of orders relating primarily to the payment of the sale proceeds from the sale of the former matrimonial home from his lawyer's trust account. The application was heard by Arnold-Bailey J. She delivered oral reasons for judgment dated May 4, 2010 (New Westminster E028106 (B.C.S.C.)). In her reasons, Her Ladyship said, at paras. 36-40,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[36] I have given careful consideration to the legal basis for the relief sought by the defendant in this motion. He seeks relief pursuant to s. 8(2)(a) and s. 15 of the </w:t>
      </w:r>
      <w:r>
        <w:rPr>
          <w:rFonts w:ascii="arial" w:eastAsia="arial" w:hAnsi="arial" w:cs="arial"/>
          <w:i/>
          <w:color w:val="000000"/>
          <w:sz w:val="20"/>
          <w:lang w:val="en-US" w:eastAsia="en-US" w:bidi="ar-SA"/>
        </w:rPr>
        <w:t>Divorce Act,</w:t>
      </w:r>
      <w:r>
        <w:rPr>
          <w:rFonts w:ascii="arial" w:eastAsia="arial" w:hAnsi="arial" w:cs="arial"/>
          <w:color w:val="000000"/>
          <w:sz w:val="20"/>
          <w:lang w:val="en-US" w:eastAsia="en-US" w:bidi="ar-SA"/>
        </w:rPr>
        <w:t xml:space="preserve"> R.S.C. 1985, c. 3 (2nd Supp.) which relate to grounds for divorce and spousal and child support respectively, the </w:t>
      </w:r>
      <w:r>
        <w:rPr>
          <w:rFonts w:ascii="arial" w:eastAsia="arial" w:hAnsi="arial" w:cs="arial"/>
          <w:i/>
          <w:color w:val="000000"/>
          <w:sz w:val="20"/>
          <w:lang w:val="en-US" w:eastAsia="en-US" w:bidi="ar-SA"/>
        </w:rPr>
        <w:t>Family Relations Act,</w:t>
      </w:r>
      <w:r>
        <w:rPr>
          <w:rFonts w:ascii="arial" w:eastAsia="arial" w:hAnsi="arial" w:cs="arial"/>
          <w:color w:val="000000"/>
          <w:sz w:val="20"/>
          <w:lang w:val="en-US" w:eastAsia="en-US" w:bidi="ar-SA"/>
        </w:rPr>
        <w:t xml:space="preserve"> </w:t>
      </w:r>
      <w:hyperlink r:id="rId443" w:history="1">
        <w:r>
          <w:rPr>
            <w:rFonts w:ascii="arial" w:eastAsia="arial" w:hAnsi="arial" w:cs="arial"/>
            <w:i/>
            <w:color w:val="0077CC"/>
            <w:sz w:val="20"/>
            <w:u w:val="single"/>
            <w:shd w:val="clear" w:color="auto" w:fill="FFFFFF"/>
            <w:lang w:val="en-US" w:eastAsia="en-US" w:bidi="ar-SA"/>
          </w:rPr>
          <w:t>R.S.B.C. 1996, c. 128</w:t>
        </w:r>
      </w:hyperlink>
      <w:r>
        <w:rPr>
          <w:rFonts w:ascii="arial" w:eastAsia="arial" w:hAnsi="arial" w:cs="arial"/>
          <w:color w:val="000000"/>
          <w:sz w:val="20"/>
          <w:lang w:val="en-US" w:eastAsia="en-US" w:bidi="ar-SA"/>
        </w:rPr>
        <w:t xml:space="preserve"> Part 5 which relates to family assets and their division, and Rules 18A and 57 of the </w:t>
      </w:r>
      <w:r>
        <w:rPr>
          <w:rFonts w:ascii="arial" w:eastAsia="arial" w:hAnsi="arial" w:cs="arial"/>
          <w:i/>
          <w:color w:val="000000"/>
          <w:sz w:val="20"/>
          <w:lang w:val="en-US" w:eastAsia="en-US" w:bidi="ar-SA"/>
        </w:rPr>
        <w:t>Rules of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[37] In effect, he seeks a summary judgment in this family law proceeding to the plaintiff's half-share of the funds remaining in trust as damages for losses he sustained associated with the collapsed first sale and the decline in real estate values thereafter.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[38] While the plaintiff admits that she did not sign the necessary documents to complete the first sale for a variety of reasons including that she had concerns about various sums of money that she claims the defendant owed her, I have concluded that the defendant will have to start a new action as none of the provisions referred to provide a legal basis for his claim to the plaintiff's remaining share of the proceeds from the sale of the home in this family law proceeding. In this regard, there is no cause of action pleaded. In effect, counsel for the defendant is asking the Court to go behind the order of Master Tokarek that the net sale proceeds be shared equally, to reapportion a larger share to the defendant because the plaintiff failed to complete the first sale. The defendant may be entitled to the damages he claims, but in my mind, they arise in the context of a different and yet to be commenced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[39] If the plaintiff was other than self-represented or conducted herself in a different way, negotiations might be possible, but a negotiated settlement of this matter seems very unlikely.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[40] However, with regards to the relief sought by the defendant, I decline to grant the relief sought in para. 4 of the notice of motion as pleaded, namely that the plaintiff pay to the defendant the sum of $83,253.75 regarding the aborted sale of the family home in 2008. However, I do order that the funds remaining to the credit of the plaintiff after the payment of the $7,000 in costs continue to be held in the defendant's counsel's trust account for a period not to exceed 90 days to permit him to commence an appeal of this ruling or an action, should he choose to, in which case he may seek a further order of the Court to endeavour to further secure these funds. Absent such an order, the funds are to be paid out to the plaintiff after 90 days from today's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commenced a civil action in July 2010, alleging that the defendant willfully and intentionally refused to execute conveyance documents necessary to enable the closing and transfer of title to the purchasers, and thereby knowingly caused a breach of the contract of purchase and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an order dated August 3, 2010, Crawford J. ordered that the funds held in trust pursuant to the order made by Arnold-Bailey J. on May 4, 2010 be held in trust to the credit of the civil action pending further order of the court, or agreement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late November 2011, the parties once again appeared before Arnold-Bailey J. Applications in both the family and civil actions were heard together. In his application in the civil action, the plaintiff sought an order for liquidated damages in an amount representing the remaining portion held in trust of the defendant's share of the proceeds from the sale of the former matrimonial home, claiming that it was solely her fault that the initial sale did not complete. In her reasons for judgment dated August 24, 2012 (indexed at 2012 BCSC 1267), Her Ladyship found, at paras. 59-65,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[59] I have again reviewed the affidavit evidence in the family law action. I find that any decision as to reapportionment requires a trial. This is because of the very different accounts of the circumstances leading up to the failed first sale by Ms. Lawrence and Mr. Mular as recounted in their various affidavits. If Mr. Mular is to advance a claim for reapportionment in relation to the net sale proceeds of the family home, Ms. Lawrence would likely seek to claim reapportionment in her favour based on her contributions to the family home. For very different reasons it is likely that both parties would seek to set aside the consent order from the November 26, 2007 judicial case conference. However, I find that I am able to make certain limited findings based on the affidavit evidence.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[60] I find that Ms. Lawrence decided not to complete the first sale of the home for variety of reasons, which included concerns about an equal division of the net proceeds and other financial matters as between the parties. The sale did not complete due to her refusal to sign the necessary documents. As it turned out her decision to not complete the first sale cost both parties a significant sum as the actual sale price of the home almost one year later decreased by $124,750.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[61] However, I find that although saving the first sale was not an option, Mr. Mular did not move promptly to obtain an order for sole conduct of the home, thus more time was lost in a falling real estate market. To the extent that the non-completion of the sale by Ms. Lawrence arose in part from her concerns about outstanding financial matters between the parties at the time, they were not entirely ill-founded. In this regard I note that Mr. Mular has in fact recently agreed to the payment of retroactive child support to Ms. Lawrence for 2008-2009, and in the reasons that follow I find he owes a further amount of retroactive child support for this period.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[62] I also find that throughout the family law proceedings Ms. Lawrence failed to appreciate the importance of matters she has agreed to, and then continued under the misapprehension that she could later retract her agreement and do as she wished. Both in regards to spousal support and division of the net proceeds of the family home she initially agreed to a particular result and then later sought to assert the contrary. She does not appear to be a mentally well person. Although she was urged to get legal counsel by several judges she did not do so until just prior to the hearing on November 17, 2011. Once she retained counsel matters improved. Her conduct in relation to the matters before me when she was self-represented served to delay matters considerably and waste the time of Mr. Mular, his counsel, and the Court. She also created a high level of confusion as to what her position was at any given time. To date, Ms. Lawrence has incurred $7,000 of costs payable to Mr. Mular from her funds held in trust primarily with regards to this issue.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[63] I find on the evidence that there is no doubt that in deciding to not complete the first sale she caused the parties to incur the additional costs of a $10,000 settlement to the prospective purchasers and the small claims judgment against the parties of $11,757.46. I find that it is entirely appropriate that she bear these costs alone, and that they are not to be shared with Mr. Mular. They total $21,757.46, and from her share of the proceeds remaining in trust she is to reimburse Mr. Mular for half that amount, namely $10,878.73.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[64] In the event that Mr. Mular still wishes to pursue the issue of reapportionment in relation to Ms. Lawrence's share of the sale proceeds remaining in Mr. Paterson's trust account I direct that the matter is to be placed on the trial list. It will be at least a three day trial (for what will be a possible claim to just over $60,000). Beyond the findings I have set out above there is too great a conflict in the affidavit evidence of the parties to order anything other than equal division of the net sale proceeds (in keeping with the terms of the consent order from the judicial case conference before Master Tokarak) minus the $10,878.73 that I have ordered Ms. Lawrence to pay to Mr. Mular arising from her decision not to complete the first sale.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[65] Therefore, pursuant to Rule 11-3(11) of the </w:t>
      </w:r>
      <w:r>
        <w:rPr>
          <w:rFonts w:ascii="arial" w:eastAsia="arial" w:hAnsi="arial" w:cs="arial"/>
          <w:i/>
          <w:color w:val="000000"/>
          <w:sz w:val="20"/>
          <w:lang w:val="en-US" w:eastAsia="en-US" w:bidi="ar-SA"/>
        </w:rPr>
        <w:t>Supreme Court Family Rules,</w:t>
      </w:r>
      <w:r>
        <w:rPr>
          <w:rFonts w:ascii="arial" w:eastAsia="arial" w:hAnsi="arial" w:cs="arial"/>
          <w:color w:val="000000"/>
          <w:sz w:val="20"/>
          <w:lang w:val="en-US" w:eastAsia="en-US" w:bidi="ar-SA"/>
        </w:rPr>
        <w:t xml:space="preserve"> I dismiss Mr. Mular's summary trial application for reapportionment of Ms. Lawrence's remaining portion of the net proceeds held in trust from the sale of their former matrimonial home because I have determined that this issue is not suitable for disposition without a trial. The remaining funds, less the $10,878.73, are to be paid out to Ms. Lawrence after 30 days from the date of the filing of these reasons unless Mr. Mular sets his claim for reapportionment of Ms. Lawrence's remaining net sale proceeds arising in the family law action on the trial list. I assume that the recent awards for costs payable to Mr. Mular that total $7,000 have already been paid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In her order dated August 24, 2012, Arnold-Bailey J. ordered,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"[t]he remaining funds being held in trust for the Claimant by Humphry-Paterson ... shall be paid out to the Claimant within 30 days unless the Respondent has by then set his claim for reapportionment of the house sale proceeds on the trial 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above background explains why this action is now before me for resolution on the issue of the disposition of the funds remaining in Mr. Paterson's trust account from the sale proceeds of the former matrimonial home. As of January 9, 2013, the amount being held in trust was approximately $64,000. The particulars of the amount now claimed by the plaintiff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James Mular's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4496"/>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w:t>
            </w:r>
          </w:p>
        </w:tc>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price differential sale #2 vs</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sale #1 $124,750 / 2</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$62,375</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4705"/>
        <w:gridCol w:w="334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w:t>
            </w:r>
          </w:p>
        </w:tc>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property taxes -- extra 10 mos</w:t>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June 08 - April 09</w:t>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Jim's 1/2</w:t>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$1,500</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4705"/>
        <w:gridCol w:w="334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w:t>
            </w:r>
          </w:p>
        </w:tc>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Mortgage payments made by</w:t>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James Mular between sales</w:t>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$3,350</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4496"/>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w:t>
            </w:r>
          </w:p>
        </w:tc>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$67,225</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is a systems engineer employed by First West Credit Union. His specialty is computers and he works in the data center. The defendant is a certified general accountant and has been employed by the Canada Revenue Agency ("CRA") for over 20 years. She works out of the CRA office in Surrey where she reviews audits and submissions from taxpayers and their representatives. If a taxpayer is not satisfied with the outcome of the review process, then the taxpayer can appeal to the Tax Court. The CRA employs litigation officers to manage the Tax Court appeals.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found both parties to be somewhat sophisticated and articulate persons, obviously not unfamiliar with the litigation process. Although it is regrettable that the defendant did not have the benefit of being represented by counsel at this trial, she nevertheless came to court well prepared and understood the roles she was playing both as litigant and as her own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explained that the former matrimonial home was listed for sale the first time for a price of $739,000. After the contract for the sale was entered into, the plaintiff learned that the defendant would be represented in the transaction by Ms. Luca. Before the transaction was to close, the plaintiff had some discussions with the defendant over financial issues between them. He recalled hearing from Mr. Paterson that the defendant was balking at signing the conveyance documents to complete the transaction. There were attempts by the plaintiff to deal with the demands of the defendant, and at one point he called her pleading that she sign the conveyance documents, but she told him that she did not care if they were sued and refused to 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After the closing date, the plaintiff spoke with his lawyer about finding out if the purchasers would hold off taking any action for a couple of weeks, during which time the transaction might be retrieved. The purchasers agreed, but they wanted to first view the former matrimonial home. According to the plaintiff, the purchasers attended at the former matrimonial home on a Sunday following the initial completion date, only to discover that for sale by owner signs had been placed on the property. When they saw the signs, they decided they wanted no part of the property and sought a return of their deposit. The purchasers' claims were ultimately settled and paid by the parties, and there is no further claim by the purchasers in regard to the aborted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realtors for the purchasers sued the parties. This claim has also been settled. As for the seller's realtor, after the first sale aborted the plaintiff advised the realtor he would use them as his realtor to list the house when he had sole conduct of sale and that they would be paid the same commission as if the house had sold for $729,000. This is in fact what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her testimony, the defendant said that the loss sustained by the aborted sale is in fact a paper or fictional loss, in that up until the former matrimonial home was sold the parties still held a good and valuable asset. She said that this was different than an actual loss, which would be when the amount paid for an asset is less than it cost to acquire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defendant insisted that she was still entitled to an equal share in the proceeds of sale pursuant to the order of Master Tokarek. She said that she wishes to purchase a home so that she can move from her cramped apartment where she lives with her 12-year-old son (the parties 16-year-old daughter now lives with the plaintiff). She would like to have a yard where her son and his friends can play, and a garden to grow healthy food. She also believes that the parties' daughter would move back to live with her if she had some privacy. She said that at this time she does not have the financial capacity to purchase suitable accommodation.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As for her balking at signing the conveyance documents for the initial sale of the former matrimonial home, the defendant said that she acted in good faith. She said that she was trying to avoid costly litigation between the parties over unresolved financial issues. She also said that she expected the sale to complete and thought the sale would only be delayed. She also claimed that the plaintiff could have used her power of attorney as she was sick at the time of the closing. She was also concerned how it would be perceived if she proceeded with the transaction in light of the deficiencies she was claiming on the part of the plaintiff and her difficulty in recovering what she felt was due to her at that time (which I understand from her evidence to be an amount of approximately $10,500 at the time of the aborted sale). She said that she was worried sick and developed a cough for which she had to get a prescription. She resented the plaintiff for making her worry about the circumstances she was in, and noted that at the time her son was also 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defendant testified that in an unprecedented downturn in the real estate market, the plaintiff decided to sell the former matrimonial home for less. She said that he failed to stay within the safeguards set out by Burnyeat J. in his order. She also said that the seller's realtor had no incentive to get the best price given that the plaintiff had agreed to pay them commission based upon the initial sale of $729,000.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cross-examination, plaintiff's counsel put it to the defendant that she consented to the terms of the Master Tokarek order; signed the listing agreement; retained Ms. Luca and then balked at signing the conveyance documents. She agreed, but said that she was sick and exhausted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defendant agreed that she held a Scotia Bank investment account valued at $45,000 in 2007, and that it was the same account as set out in Master Tokarek's order which provides, "[t]he plaintiff and the Defendant shall share equally the Scotia Bank Brokerage Investment Account with an approximate balance of $7,000 cash and 600 shares of Bank of Montreal." Plaintiff's counsel put it to the defendant that as she held that account at the time of the transaction, she could have used it to reimburse herself if she felt the plaintiff owed her money. She replied that it was not that simple.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Counsel for the plaintiff put it to the defendant that in a telephone conversation before the transaction was aborted, she told the plaintiff that she did not care if they were going to be sued, that she was going to put him back to where he was 10 years earlier and that she did not care if the former matrimonial home went into foreclosure. She replied to counsel in the affirmative, explaining that she was sick.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defendant admitted that she erected the "for sale by owner" signs following her refusal to sign the conveyance documents. She said that somebody removed the signs. With respect to her position that the former matrimonial home was sold for below its value, counsel for the plaintiff referred her to the letter from Mr. John Hewlett of Remax Realty, which states that prices had fallen since about March 2008, and that in his opinion, as of April 5, 2009, the former matrimonial home had a market value of between $585,000 and $605,000. She conceded that she did see the letter in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Counsel for the plaintiff suggested to the defendant that as she felt the Olympics were coming to Vancouver in 2010, by not signing the conveyance documents she took a gamble that the property would sell for a higher price. She responded that this was not the case and that she was worried about the children. He also put it to her that she took a gamble that the plaintiff was not part of, and she responded that he was part of why she did it. She testified that she was exhausted, not thinking clearly, sick and distracted by the fact that her son was also sick. She conceded that she has not produced a medical letter to the effect that she was so ill she was not in her right mind. She also admitted that she has not appealed any of Arnold-Bailey J.'s findings. On this latter point, she said that she did not know she could take an appeal when the issue had been directed to a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the point of her demands at the time she refused to sign the conveyance documents, the defendant said that she sent the plaintiff a text detailing her requirements before she would sign, but did not have a copy of her text, nor any document to establish that she in fact told the plaintiff her specific demands before she would proceed with the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3.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Although the plaintiff has brought this proceeding pursuant to the provisions of the </w:t>
      </w:r>
      <w:r>
        <w:rPr>
          <w:rFonts w:ascii="arial" w:eastAsia="arial" w:hAnsi="arial" w:cs="arial"/>
          <w:i/>
          <w:color w:val="000000"/>
          <w:sz w:val="20"/>
          <w:lang w:val="en-US" w:eastAsia="en-US" w:bidi="ar-SA"/>
        </w:rPr>
        <w:t>Family Law Act</w:t>
      </w:r>
      <w:r>
        <w:rPr>
          <w:rFonts w:ascii="arial" w:eastAsia="arial" w:hAnsi="arial" w:cs="arial"/>
          <w:color w:val="000000"/>
          <w:sz w:val="20"/>
          <w:lang w:val="en-US" w:eastAsia="en-US" w:bidi="ar-SA"/>
        </w:rPr>
        <w:t xml:space="preserve"> for an unequal division of the family property based upon his assertion that the defendant caused a significant decrease in the value of the former matrimonial home, counsel for the plaintiff expressed that he was content that the proceeding be tried in accordance with the provisions of the </w:t>
      </w:r>
      <w:r>
        <w:rPr>
          <w:rFonts w:ascii="arial" w:eastAsia="arial" w:hAnsi="arial" w:cs="arial"/>
          <w:i/>
          <w:color w:val="000000"/>
          <w:sz w:val="20"/>
          <w:lang w:val="en-US" w:eastAsia="en-US" w:bidi="ar-SA"/>
        </w:rPr>
        <w:t>Family Relations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defendant pointed out that she had not consented to the proceeding being tried under the </w:t>
      </w:r>
      <w:r>
        <w:rPr>
          <w:rFonts w:ascii="arial" w:eastAsia="arial" w:hAnsi="arial" w:cs="arial"/>
          <w:i/>
          <w:color w:val="000000"/>
          <w:sz w:val="20"/>
          <w:lang w:val="en-US" w:eastAsia="en-US" w:bidi="ar-SA"/>
        </w:rPr>
        <w:t>Family Law Act,</w:t>
      </w:r>
      <w:r>
        <w:rPr>
          <w:rFonts w:ascii="arial" w:eastAsia="arial" w:hAnsi="arial" w:cs="arial"/>
          <w:color w:val="000000"/>
          <w:sz w:val="20"/>
          <w:lang w:val="en-US" w:eastAsia="en-US" w:bidi="ar-SA"/>
        </w:rPr>
        <w:t xml:space="preserve"> and therefore pursuant to s. 252 of that act she submitted the proceeding must be tried under the </w:t>
      </w:r>
      <w:r>
        <w:rPr>
          <w:rFonts w:ascii="arial" w:eastAsia="arial" w:hAnsi="arial" w:cs="arial"/>
          <w:i/>
          <w:color w:val="000000"/>
          <w:sz w:val="20"/>
          <w:lang w:val="en-US" w:eastAsia="en-US" w:bidi="ar-SA"/>
        </w:rPr>
        <w:t>Family Relations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 agree with the defendant's position on this point and find that ss. 65 and 66 of the </w:t>
      </w:r>
      <w:r>
        <w:rPr>
          <w:rFonts w:ascii="arial" w:eastAsia="arial" w:hAnsi="arial" w:cs="arial"/>
          <w:i/>
          <w:color w:val="000000"/>
          <w:sz w:val="20"/>
          <w:lang w:val="en-US" w:eastAsia="en-US" w:bidi="ar-SA"/>
        </w:rPr>
        <w:t>Family Relations Act</w:t>
      </w:r>
      <w:r>
        <w:rPr>
          <w:rFonts w:ascii="arial" w:eastAsia="arial" w:hAnsi="arial" w:cs="arial"/>
          <w:color w:val="000000"/>
          <w:sz w:val="20"/>
          <w:lang w:val="en-US" w:eastAsia="en-US" w:bidi="ar-SA"/>
        </w:rPr>
        <w:t xml:space="preserve"> govern my decision. These sections provide, as follows:</w:t>
      </w:r>
      <w:r>
        <w:rPr>
          <w:rFonts w:ascii="arial" w:eastAsia="arial" w:hAnsi="arial" w:cs="arial"/>
          <w:sz w:val="20"/>
          <w:lang w:val="en-US" w:eastAsia="en-US" w:bidi="ar-SA"/>
        </w:rPr>
        <w:cr/>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(1) If the provisions for division of property between spouses under section 56, Part 6 or their marriage agreement, as the case may be, would be unfair having regard to</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duration of the marriage,</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duration of the period during which the spouses have lived separate and apart,</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date when property was acquired or disposed of,</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to which property was acquired by one spouse through inheritance or gift,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 the needs of each spouse to become or remain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economically independent and self sufficient, or</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other circumstances relating to the acquisition, preservation, maintenance, improvement or use of property or the capacity or liabilities of a spouse, the Supreme Court, on application, may order that the property covered by section 56, Part 6 or the marriage agreement, as the case may be, be divided into shares fixed by the court.</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Additionally or alternatively, the court may order that other property not covered by section 56, Part 6 or the marriage agreement, as the case may be, of one spouse be vested in the other spouse.</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division of a pension under Part 6 would be unfair having regard to the exclusion from division of the portion of a pension earned before the marriage and it is inconvenient to adjust the division by reapportioning entitlement to another asset, the Supreme Court, on application, may divide the excluded portion between the spouse and member into shares fixed by the court.</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(1) In proceedings under this Part or Part 6 or on application, the Supreme Court may determine any matter respecting the ownership, right of possession or division of property under this Part, including the vesting of property under section 65, or under Part 6 and may make orders that are necessary, reasonable or ancillary to give effect to the determination.</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limiting subsection (1), the court may do one or more of the following in an order under this section:</w:t>
      </w:r>
    </w:p>
    <w:p>
      <w:pPr>
        <w:numPr>
          <w:numId w:val="1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declare the ownership of or right of possession to property;</w:t>
      </w:r>
    </w:p>
    <w:p>
      <w:pPr>
        <w:numPr>
          <w:numId w:val="1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on a division of property, title to a specified property granted to a spouse be transferred to, or held in trust for, or vested in the spouse either absolutely, for life or for a term of years;</w:t>
      </w:r>
    </w:p>
    <w:p>
      <w:pPr>
        <w:numPr>
          <w:numId w:val="1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a spouse to pay compensation to the other spouse if property has been disposed of, or for the purpose of adjusting the division;</w:t>
      </w:r>
    </w:p>
    <w:p>
      <w:pPr>
        <w:numPr>
          <w:numId w:val="1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partition or sale of property and payment to be made out of the proceeds of sale to one or both spouses in specified proportions or amounts;</w:t>
      </w:r>
    </w:p>
    <w:p>
      <w:pPr>
        <w:numPr>
          <w:numId w:val="1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property forming all or a part of the share of either or both spouses be transferred to, or in trust for, or vested in a child;</w:t>
      </w:r>
    </w:p>
    <w:p>
      <w:pPr>
        <w:numPr>
          <w:numId w:val="1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order that a spouse give security for the performance of an obligation imposed by order under this section, including a charge on property and may order that the spouse waive or release in writing any right, benefit or protection given by section 23 of the </w:t>
      </w:r>
      <w:r>
        <w:rPr>
          <w:rFonts w:ascii="arial" w:eastAsia="arial" w:hAnsi="arial" w:cs="arial"/>
          <w:i/>
          <w:color w:val="000000"/>
          <w:sz w:val="20"/>
          <w:lang w:val="en-US" w:eastAsia="en-US" w:bidi="ar-SA"/>
        </w:rPr>
        <w:t>Chattel Mortgage Act,</w:t>
      </w:r>
      <w:r>
        <w:rPr>
          <w:rFonts w:ascii="arial" w:eastAsia="arial" w:hAnsi="arial" w:cs="arial"/>
          <w:color w:val="000000"/>
          <w:sz w:val="20"/>
          <w:lang w:val="en-US" w:eastAsia="en-US" w:bidi="ar-SA"/>
        </w:rPr>
        <w:t xml:space="preserve"> R.S.B.C. 1979, c. 48, or section 19 of the </w:t>
      </w:r>
      <w:r>
        <w:rPr>
          <w:rFonts w:ascii="arial" w:eastAsia="arial" w:hAnsi="arial" w:cs="arial"/>
          <w:i/>
          <w:color w:val="000000"/>
          <w:sz w:val="20"/>
          <w:lang w:val="en-US" w:eastAsia="en-US" w:bidi="ar-SA"/>
        </w:rPr>
        <w:t>Sale of Goods on Condition Act,</w:t>
      </w:r>
      <w:r>
        <w:rPr>
          <w:rFonts w:ascii="arial" w:eastAsia="arial" w:hAnsi="arial" w:cs="arial"/>
          <w:color w:val="000000"/>
          <w:sz w:val="20"/>
          <w:lang w:val="en-US" w:eastAsia="en-US" w:bidi="ar-SA"/>
        </w:rPr>
        <w:t xml:space="preserve"> R.S.B.C. 1979, c. 373;</w:t>
      </w:r>
    </w:p>
    <w:p>
      <w:pPr>
        <w:numPr>
          <w:numId w:val="1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property is owned by spouses as joint tenants, sever the joint tenancy.</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Supreme Court, on application, is satisfied that a spouse has made or intends to make a gift of property to a third person, or has transferred or intends to transfer property to a third person who is not a purchaser in good faith for value, for the purpose of defeating a claim to an interest in the property the other spouse may then or in the future have under this Part, the Supreme Court may make an order under this section to restrain the making of the gift or transfer or vest all or a portion of the property in, or in trust for, the other spouse.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Counsel for the plaintiff told me that he was only able to find one decided authority relevant to the facts in the case at bar. The decision in </w:t>
      </w:r>
      <w:r>
        <w:rPr>
          <w:rFonts w:ascii="arial" w:eastAsia="arial" w:hAnsi="arial" w:cs="arial"/>
          <w:i/>
          <w:color w:val="000000"/>
          <w:sz w:val="20"/>
          <w:lang w:val="en-US" w:eastAsia="en-US" w:bidi="ar-SA"/>
        </w:rPr>
        <w:t>Golda v. Golda</w:t>
      </w:r>
      <w:r>
        <w:rPr>
          <w:rFonts w:ascii="arial" w:eastAsia="arial" w:hAnsi="arial" w:cs="arial"/>
          <w:color w:val="000000"/>
          <w:sz w:val="20"/>
          <w:lang w:val="en-US" w:eastAsia="en-US" w:bidi="ar-SA"/>
        </w:rPr>
        <w:t xml:space="preserve">, </w:t>
      </w:r>
      <w:hyperlink r:id="rId444" w:history="1">
        <w:r>
          <w:rPr>
            <w:rFonts w:ascii="arial" w:eastAsia="arial" w:hAnsi="arial" w:cs="arial"/>
            <w:i/>
            <w:color w:val="0077CC"/>
            <w:sz w:val="20"/>
            <w:u w:val="single"/>
            <w:shd w:val="clear" w:color="auto" w:fill="FFFFFF"/>
            <w:lang w:val="en-US" w:eastAsia="en-US" w:bidi="ar-SA"/>
          </w:rPr>
          <w:t>2012 ONSC 6320</w:t>
        </w:r>
      </w:hyperlink>
      <w:r>
        <w:rPr>
          <w:rFonts w:ascii="arial" w:eastAsia="arial" w:hAnsi="arial" w:cs="arial"/>
          <w:color w:val="000000"/>
          <w:sz w:val="20"/>
          <w:lang w:val="en-US" w:eastAsia="en-US" w:bidi="ar-SA"/>
        </w:rPr>
        <w:t>, involved an action limited to monetary claims made by each party against the other for equalization and post separation compensatory payments. In the analysis and conclusion portion of the decision, Mazza J. held, at paras. 11-14,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In my review of the evidence, I find first, that Mary was the sole occupant of the matrimonial home for a significant period of time prior to its sale. I further find that Mary had ample notice of the date of closing as far back as January 10, 2010 and that she was aware of her responsibility to have the home prepared for vacant possession.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 I further accept the evidence of Dr. George Pakozdi and find as Bronte's Power of Attorney he, in fact, acted appropriately and used maximum efforts to ensure the closing of the transaction on September 1st, efforts which included an offer to store the wine at his home and an offer of monetary compensation to the purchasers for any possible delay in closing. As well, I accept the evidence Mr. Burkhard Novak, a close friend of Bronte who, in fact, stated that when he attended on August 22, 2010 and was shown the home by Jane Kenny, a friend of Mary, the house was in a state of disorder and that, in fact, he noted that Mary was unpacking various boxes and removing items from boxes rather than making efforts to ensure the property would be in a state of orderliness for the closing.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I, therefore, find that in the circumstances as described, that Mary, who had assumed full responsibility for preparing the home for sale but failed to act expeditiously and efficiently to complete preparations by the day of closing and, therefore, is solely responsible for the aborted sale on September 1, 2010 which ultimately led to a reduced purchase price at the time the property closed on September 15, 2010. I further find that Mary failed to make adequate alternative arrangements for storage of the wine prior to sale. Even if it can be argued that it was reasonable for her to refuse the offer of Dr. Pakozdi and the purchasers to store the wine, nevertheless, she had ample time to arrange storage through Fine Wine Reserve whom she had ultimately hired.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 Therefore, I find in the circumstances, that Bronte should not share the responsibility for the failed closing and the reduced sale price. I find in the circumstances, that Bronte signed the agreement on September 14, 2010 under duress, at the hands of Mary and, in fact, his signature on the document was the only way of assuring that the sale of the matrimonial home would be completed on or about September 15, 2010. Whether or not Bronte prepared the agreement, I find, does not shift any of the blameworthiness to him. The only option available to him because of Mary's insistence upon payment to her of one-half of the difference between the original sale price and the actual sale price before she would cooperate to ensure the second closing was to comply. Therefore, since I find that Bronte's decision to sign the agreement was not because he gave his genuine consent but because of the unreasonable position taken by Mary, I declare the agreement invalid and find that Bronte is not required to compensate Mary in the amount of $125,000.00.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As earlier noted, Arnold-Bailey J. dealt extensively with the issue that is before me, namely whether the plaintiff is entitled to the defendant's share of the funds remaining in trust from the sale of the former matrimonial home. I earlier set out her findings, but I consider it appropriate to set out here Her Ladyship's clear and thorough analysis, at paras. 39-58, underlying her decision not to rule on this issue in her decision of August 24, 2012, including her review of authorities pertaining to reapportionment: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[39] In his present application in the civil action Mr. Mular seeks an order that liquidated damages in the amount of $73,253.73 be paid to him, which represents the remaining portion of Ms. Lawrence's share of the proceeds held in trust from the sale of their former matrimonial home that they owned jointly. He seeks this as compensation for the loss sustained by the parties when the home sold in 2009 for significantly less than the contracted sale price in 2008, and as compensation for his share of two amounts that the parties were obligated to pay when the first sale of their home did not complete. It is his position that it was through the fault of Ms. Lawrence alone that the sale did not complete and later when the home did sell real estate prices had dropped significantly.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[40] Mr. Mular's claim in the civil action is framed as a claim for "damages for breach of contract for the aborted sale of the [parties'] jointly owned Home in June 2008 ... damages for breach of the Court Order made by Consent by Master Tokarek on November 26, 2007 for refusing to complete the sale of the jointly owned Home as contemplated by the Order ... [and in the alternative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related to the aborted sale of the jointly owned Home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 Ms. Lawrence deposes she did not complete the sale for several reasons. They are difficult to canvas in their entirety, but the most salient are as follows.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[42] First, Mr. Mular had stopped making mortgage contributions, leading to mortgage arrears. These arrears led to a bank overdraft on their joint account. She did not want to complete the sale until these issues were fully dealt with, as she had made her share of financial contributions. Mr. Mular's explanation is that Ms. Lawrence was obliged to contribute half of the household operating costs and she refused to do so. As a result the mortgage fell into arrears and the bank took the missing mortgage payments from their joint bank account, resulting in an overdraft position. Ms. Lawrence states a holdback on the proceeds of the sale would have addressed these concerns but she was advised by the notary dealing with the sale that this was not possible on her instruction alone. In contrast, Mr. Mular's affidavit dated March 23, 2009 states that Ms. Lawrence refused to consider the holdback as an acceptable alternative.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[43] Ms. Lawrence also desired a rollover RRSP form with what she deemed to be proper numbers on it before the sale completed; Mr. Mular states that she refused to sign the conveyance documents unless she received an extra $17,000 in RRSP money in her account before signing.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[44] She also indicated that she had to break a lease that she had entered into and move back into the former matrimonial home to save it from foreclosure, which caused her considerable expense. She also considered that Mr. Mular owed child support.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[45] Ms. Lawrence also claims that Mr. Mular failed to mitigate or caused his own losses. She states he wilfully and intentionally refused to execute the conveyance documents necessary to enable the closing and transfer of title to the purchasers. This is partly based on Mr. Mular's response to the notice to admit, dated October 11, 2011, where he states he never had the opportunity to sign the documents but was ready, willing, and able to complete the first sale. Mr. Mular's response to this argument is that the documents were never forwarded to him by the notary because Ms. Lawrence refused to sign them.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[46] Other arguments based on Mr. Mular's response to the notice to admit include the suggestion that he took no steps prior to September 10, 2008, to facilitate the sole conduct of the property when he should have done so and that Mr. Mular failed to negotiate an extension of the closing date of the aborted sale and was similarly at fault in failing to do so.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[47] Further, attached to Ms. Lawrence's affidavit, sworn April 7, 2010, is a letter accusing Mr. Paterson, counsel for Mr. Mular, of delaying the sale of the matrimonial home through a combination of "incompetence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accusations are difficult to follow. Among them is a claim that Mr. Paterson wrongly advised Mr. Mular to delay listing the property until an order directing a sale was entered. (This was the November 17, 2008 consent order from the judicial case conference before Master Tokarek that was entered April 18, 2008.) This does not explain why the contract for sale of their home that the parties entered into on March 30, 2008 did not complete on June 26, 2008. Ms. Lawrence also advanced the rather novel argument that Mr. Paterson should have advised Mr. Mular to sign on her behalf. Ms. Lawrence states that she was incapacitated at the time by several maladies and Mr. Mular should have been advised that he had signing authority as her "Power of Attorney".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[48] It was also argued that Mr. Mular did not suffer damages, was negligent, or is pursuing an issue that is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It was submitted that Mr. Mular's pleadings, either alone or in combination with the foregoing, deserved to be struck.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[49] In the oral reasons given May 4, 2010, in relation to the family law action where Mr. Mular first advanced this claim the Court denied it and stated: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[36] I have given careful consideration to the legal basis for the relief sought by the defendant in this motion. He seeks relief pursuant to s. 8(2)(a) and s. 15 of the </w:t>
      </w:r>
      <w:r>
        <w:rPr>
          <w:rFonts w:ascii="arial" w:eastAsia="arial" w:hAnsi="arial" w:cs="arial"/>
          <w:i/>
          <w:color w:val="000000"/>
          <w:sz w:val="20"/>
          <w:lang w:val="en-US" w:eastAsia="en-US" w:bidi="ar-SA"/>
        </w:rPr>
        <w:t>Divorce Act,</w:t>
      </w:r>
      <w:r>
        <w:rPr>
          <w:rFonts w:ascii="arial" w:eastAsia="arial" w:hAnsi="arial" w:cs="arial"/>
          <w:color w:val="000000"/>
          <w:sz w:val="20"/>
          <w:lang w:val="en-US" w:eastAsia="en-US" w:bidi="ar-SA"/>
        </w:rPr>
        <w:t xml:space="preserve"> R.S.C. 1985, c. 3 (2nd Supp.) which relate to grounds for divorce and spousal and child support respectively, the </w:t>
      </w:r>
      <w:r>
        <w:rPr>
          <w:rFonts w:ascii="arial" w:eastAsia="arial" w:hAnsi="arial" w:cs="arial"/>
          <w:i/>
          <w:color w:val="000000"/>
          <w:sz w:val="20"/>
          <w:lang w:val="en-US" w:eastAsia="en-US" w:bidi="ar-SA"/>
        </w:rPr>
        <w:t>Family Relations Act,</w:t>
      </w:r>
      <w:r>
        <w:rPr>
          <w:rFonts w:ascii="arial" w:eastAsia="arial" w:hAnsi="arial" w:cs="arial"/>
          <w:color w:val="000000"/>
          <w:sz w:val="20"/>
          <w:lang w:val="en-US" w:eastAsia="en-US" w:bidi="ar-SA"/>
        </w:rPr>
        <w:t xml:space="preserve"> </w:t>
      </w:r>
      <w:hyperlink r:id="rId443" w:history="1">
        <w:r>
          <w:rPr>
            <w:rFonts w:ascii="arial" w:eastAsia="arial" w:hAnsi="arial" w:cs="arial"/>
            <w:i/>
            <w:color w:val="0077CC"/>
            <w:sz w:val="20"/>
            <w:u w:val="single"/>
            <w:shd w:val="clear" w:color="auto" w:fill="FFFFFF"/>
            <w:lang w:val="en-US" w:eastAsia="en-US" w:bidi="ar-SA"/>
          </w:rPr>
          <w:t>R.S.B.C. 1996, c. 128</w:t>
        </w:r>
      </w:hyperlink>
      <w:r>
        <w:rPr>
          <w:rFonts w:ascii="arial" w:eastAsia="arial" w:hAnsi="arial" w:cs="arial"/>
          <w:color w:val="000000"/>
          <w:sz w:val="20"/>
          <w:lang w:val="en-US" w:eastAsia="en-US" w:bidi="ar-SA"/>
        </w:rPr>
        <w:t xml:space="preserve"> Part 5 which relates to family assets and their division, and Rules 18A and 57 of the </w:t>
      </w:r>
      <w:r>
        <w:rPr>
          <w:rFonts w:ascii="arial" w:eastAsia="arial" w:hAnsi="arial" w:cs="arial"/>
          <w:i/>
          <w:color w:val="000000"/>
          <w:sz w:val="20"/>
          <w:lang w:val="en-US" w:eastAsia="en-US" w:bidi="ar-SA"/>
        </w:rPr>
        <w:t>Rules of Court.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[37] In effect, he seeks a summary judgment in this family law proceeding to the plaintiff's half-share of the funds remaining in trust as damages for losses he sustained associated with the collapsed first sale and the decline in real estate values thereafter.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[38] While the plaintiff admits that she did not sign the necessary documents to complete the first sale for a variety of reasons including that she had concerns about various sums of money that she claims the defendant owed her, I have concluded that the defendant will have to start a new action as none of the provisions referred to provide a legal basis for his claim to the plaintiff's remaining share of the proceeds from the sale of the home in the family law proceeding. In this regard, there is no cause of action pleaded. In effect, counsel for the defendant is asking the Court to go behind the order of Master Tokarek that the net sale proceeds be shared equally, to reapportion a larger share to the defendant because the plaintiff failed to complete the first sale. The defendant may be entitled to the damages he claims, but in my mind, they arise in the context of a different and yet to be commenced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[50] Having considered the submissions on behalf of Ms. Lawrence, who is now represented by counsel, I am of the view that the only avenue of relief available to Mr. Mular in the present circumstances is by way of the family law proceeding. Although the decision of the Supreme Court of Canada in </w:t>
      </w:r>
      <w:r>
        <w:rPr>
          <w:rFonts w:ascii="arial" w:eastAsia="arial" w:hAnsi="arial" w:cs="arial"/>
          <w:i/>
          <w:color w:val="000000"/>
          <w:sz w:val="20"/>
          <w:lang w:val="en-US" w:eastAsia="en-US" w:bidi="ar-SA"/>
        </w:rPr>
        <w:t>Frame v. Smith,</w:t>
      </w:r>
      <w:r>
        <w:rPr>
          <w:rFonts w:ascii="arial" w:eastAsia="arial" w:hAnsi="arial" w:cs="arial"/>
          <w:color w:val="000000"/>
          <w:sz w:val="20"/>
          <w:lang w:val="en-US" w:eastAsia="en-US" w:bidi="ar-SA"/>
        </w:rPr>
        <w:t xml:space="preserve"> </w:t>
      </w:r>
      <w:hyperlink r:id="rId445" w:history="1">
        <w:r>
          <w:rPr>
            <w:rFonts w:ascii="arial" w:eastAsia="arial" w:hAnsi="arial" w:cs="arial"/>
            <w:i/>
            <w:color w:val="0077CC"/>
            <w:sz w:val="20"/>
            <w:u w:val="single"/>
            <w:shd w:val="clear" w:color="auto" w:fill="FFFFFF"/>
            <w:lang w:val="en-US" w:eastAsia="en-US" w:bidi="ar-SA"/>
          </w:rPr>
          <w:t>[1987] 2 S.C.R. 99</w:t>
        </w:r>
      </w:hyperlink>
      <w:r>
        <w:rPr>
          <w:rFonts w:ascii="arial" w:eastAsia="arial" w:hAnsi="arial" w:cs="arial"/>
          <w:color w:val="000000"/>
          <w:sz w:val="20"/>
          <w:lang w:val="en-US" w:eastAsia="en-US" w:bidi="ar-SA"/>
        </w:rPr>
        <w:t xml:space="preserve">, pertained to issues related to children in the context of marriage breakdown, it is analogous to the present case to the extent that a majority of the Supreme Court of Canada held that where family law legislation provides a "complete code" for dealing with the issues that arise upon marriage breakdown separate civil actions are not permitted. In British Columbia the </w:t>
      </w:r>
      <w:r>
        <w:rPr>
          <w:rFonts w:ascii="arial" w:eastAsia="arial" w:hAnsi="arial" w:cs="arial"/>
          <w:i/>
          <w:color w:val="000000"/>
          <w:sz w:val="20"/>
          <w:lang w:val="en-US" w:eastAsia="en-US" w:bidi="ar-SA"/>
        </w:rPr>
        <w:t>Family Relations Act,</w:t>
      </w:r>
      <w:r>
        <w:rPr>
          <w:rFonts w:ascii="arial" w:eastAsia="arial" w:hAnsi="arial" w:cs="arial"/>
          <w:color w:val="000000"/>
          <w:sz w:val="20"/>
          <w:lang w:val="en-US" w:eastAsia="en-US" w:bidi="ar-SA"/>
        </w:rPr>
        <w:t xml:space="preserve"> </w:t>
      </w:r>
      <w:hyperlink r:id="rId443" w:history="1">
        <w:r>
          <w:rPr>
            <w:rFonts w:ascii="arial" w:eastAsia="arial" w:hAnsi="arial" w:cs="arial"/>
            <w:i/>
            <w:color w:val="0077CC"/>
            <w:sz w:val="20"/>
            <w:u w:val="single"/>
            <w:shd w:val="clear" w:color="auto" w:fill="FFFFFF"/>
            <w:lang w:val="en-US" w:eastAsia="en-US" w:bidi="ar-SA"/>
          </w:rPr>
          <w:t>R.S.B.C. 1996, c. 128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FRA</w:t>
      </w:r>
      <w:r>
        <w:rPr>
          <w:rFonts w:ascii="arial" w:eastAsia="arial" w:hAnsi="arial" w:cs="arial"/>
          <w:color w:val="000000"/>
          <w:sz w:val="20"/>
          <w:lang w:val="en-US" w:eastAsia="en-US" w:bidi="ar-SA"/>
        </w:rPr>
        <w:t>] is such a code regarding the division of property between former spouses.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[51] I have also had the opportunity to consider several cases not provided by counsel that I find to be of some assistance. The first is </w:t>
      </w:r>
      <w:r>
        <w:rPr>
          <w:rFonts w:ascii="arial" w:eastAsia="arial" w:hAnsi="arial" w:cs="arial"/>
          <w:i/>
          <w:color w:val="000000"/>
          <w:sz w:val="20"/>
          <w:lang w:val="en-US" w:eastAsia="en-US" w:bidi="ar-SA"/>
        </w:rPr>
        <w:t>Thompson v. Thompson,</w:t>
      </w:r>
      <w:r>
        <w:rPr>
          <w:rFonts w:ascii="arial" w:eastAsia="arial" w:hAnsi="arial" w:cs="arial"/>
          <w:color w:val="000000"/>
          <w:sz w:val="20"/>
          <w:lang w:val="en-US" w:eastAsia="en-US" w:bidi="ar-SA"/>
        </w:rPr>
        <w:t xml:space="preserve"> </w:t>
      </w:r>
      <w:hyperlink r:id="rId446" w:history="1">
        <w:r>
          <w:rPr>
            <w:rFonts w:ascii="arial" w:eastAsia="arial" w:hAnsi="arial" w:cs="arial"/>
            <w:i/>
            <w:color w:val="0077CC"/>
            <w:sz w:val="20"/>
            <w:u w:val="single"/>
            <w:shd w:val="clear" w:color="auto" w:fill="FFFFFF"/>
            <w:lang w:val="en-US" w:eastAsia="en-US" w:bidi="ar-SA"/>
          </w:rPr>
          <w:t>[1999] B.C.J. No. 2651</w:t>
        </w:r>
      </w:hyperlink>
      <w:r>
        <w:rPr>
          <w:rFonts w:ascii="arial" w:eastAsia="arial" w:hAnsi="arial" w:cs="arial"/>
          <w:color w:val="000000"/>
          <w:sz w:val="20"/>
          <w:lang w:val="en-US" w:eastAsia="en-US" w:bidi="ar-SA"/>
        </w:rPr>
        <w:t xml:space="preserve"> (S.C.), which dealt with a situation similar to the case at bar. The respondent husband argued for 100% reapportionment of the family assets in his favour on the basis that the petitioner wife 1) made minimal contribution to the acquisition and maintenance of the family assets; 2) seriously impeded the respondent's efforts to obtain a reasonable price for the matrimonial home and for the automobile such that lower prices were obtained for them than otherwise would have been the case; and 3) did not have custody of the child and it was unclear if the wife would be willing and/or able to continue making child support payments into the future. Madam Justice Lynn Smith held as follows:</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have concluded that there should be reapportionment of the family assets in favour of the respondent. However, I reject his first argument based upon lack of contribution. I think the petitioner, through her work in the home and her part-time employment, did assist in the acquisition of the home and the car and did, at least to some extent, assist the respondent to continue his employment and accumulate his pension. </w:t>
      </w:r>
      <w:r>
        <w:rPr>
          <w:rFonts w:ascii="arial" w:eastAsia="arial" w:hAnsi="arial" w:cs="arial"/>
          <w:color w:val="000000"/>
          <w:sz w:val="20"/>
          <w:u w:val="single"/>
          <w:lang w:val="en-US" w:eastAsia="en-US" w:bidi="ar-SA"/>
        </w:rPr>
        <w:t>However, the respondent's second and third arguments are persuasive.</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petitioner felt strongly that the house should be listed for $475,000.00 rather than the $400,000.00 recommended by the realtors and refused to sign a listing agreement until the respondent acquiesced. After a time the price on the listing was reduced to $430,000.00 and an offer was received at $425,000.00,subject to the proposed purchasers' sale of their own home. The petitioner refused to accept that offer. She also refused to permit the showing of the house. Eventually the respondent received an order for exclusive conduct of the sale and the property was sold for $390,000.00. Although it is certainly possible that the $425,000.00 agreement would not have completed, </w:t>
      </w:r>
      <w:r>
        <w:rPr>
          <w:rFonts w:ascii="arial" w:eastAsia="arial" w:hAnsi="arial" w:cs="arial"/>
          <w:color w:val="000000"/>
          <w:sz w:val="20"/>
          <w:u w:val="single"/>
          <w:lang w:val="en-US" w:eastAsia="en-US" w:bidi="ar-SA"/>
        </w:rPr>
        <w:t>it is also clear on the evidence that the attempts to sell the house took place during a falling market and that the petitioner's obstruction of the efforts to sell the house likely had the effect of reducing the price it fetched in the range of $20,000.00.</w:t>
      </w:r>
      <w:r>
        <w:rPr>
          <w:rFonts w:ascii="arial" w:eastAsia="arial" w:hAnsi="arial" w:cs="arial"/>
          <w:color w:val="000000"/>
          <w:sz w:val="20"/>
          <w:lang w:val="en-US" w:eastAsia="en-US" w:bidi="ar-SA"/>
        </w:rPr>
        <w:t xml:space="preserve"> [...]</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Taking all of the factors specified in Section 65 of the Family Relations Act into account, I have concluded that the family assets, that is the proceeds of sale of the matrimonial home and the proportion of the respondent's pension represented by the time of the marriage compared with the time during which he has accumulated the pension, should be reapportioned 80/20 percent in the respondent's favour.</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[emphasis added]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[52] It is important to note that in </w:t>
      </w:r>
      <w:r>
        <w:rPr>
          <w:rFonts w:ascii="arial" w:eastAsia="arial" w:hAnsi="arial" w:cs="arial"/>
          <w:i/>
          <w:color w:val="000000"/>
          <w:sz w:val="20"/>
          <w:lang w:val="en-US" w:eastAsia="en-US" w:bidi="ar-SA"/>
        </w:rPr>
        <w:t>Thompson</w:t>
      </w:r>
      <w:r>
        <w:rPr>
          <w:rFonts w:ascii="arial" w:eastAsia="arial" w:hAnsi="arial" w:cs="arial"/>
          <w:color w:val="000000"/>
          <w:sz w:val="20"/>
          <w:lang w:val="en-US" w:eastAsia="en-US" w:bidi="ar-SA"/>
        </w:rPr>
        <w:t xml:space="preserve"> concern over continuing child support payments by the wife and the financial circumstances of the husband were also significant factors in deciding the final reapportionment. Paragraph 65(1)(f) of the </w:t>
      </w:r>
      <w:r>
        <w:rPr>
          <w:rFonts w:ascii="arial" w:eastAsia="arial" w:hAnsi="arial" w:cs="arial"/>
          <w:i/>
          <w:color w:val="000000"/>
          <w:sz w:val="20"/>
          <w:lang w:val="en-US" w:eastAsia="en-US" w:bidi="ar-SA"/>
        </w:rPr>
        <w:t>FRA</w:t>
      </w:r>
      <w:r>
        <w:rPr>
          <w:rFonts w:ascii="arial" w:eastAsia="arial" w:hAnsi="arial" w:cs="arial"/>
          <w:color w:val="000000"/>
          <w:sz w:val="20"/>
          <w:lang w:val="en-US" w:eastAsia="en-US" w:bidi="ar-SA"/>
        </w:rPr>
        <w:t xml:space="preserve"> allows for consideration of any circumstance relating to the acquisition, preservation, maintenance, improvement or use of property. Although not explicitly stated, in assessing the wife's obstruction of the sale of assets, the decision of </w:t>
      </w:r>
      <w:r>
        <w:rPr>
          <w:rFonts w:ascii="arial" w:eastAsia="arial" w:hAnsi="arial" w:cs="arial"/>
          <w:i/>
          <w:color w:val="000000"/>
          <w:sz w:val="20"/>
          <w:lang w:val="en-US" w:eastAsia="en-US" w:bidi="ar-SA"/>
        </w:rPr>
        <w:t>Thompson</w:t>
      </w:r>
      <w:r>
        <w:rPr>
          <w:rFonts w:ascii="arial" w:eastAsia="arial" w:hAnsi="arial" w:cs="arial"/>
          <w:color w:val="000000"/>
          <w:sz w:val="20"/>
          <w:lang w:val="en-US" w:eastAsia="en-US" w:bidi="ar-SA"/>
        </w:rPr>
        <w:t xml:space="preserve"> most likely relied upon this specific provision.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[53] Furthermore, it is established that a failure to preserve family asset funds may sustain a reapportionment order: </w:t>
      </w:r>
      <w:r>
        <w:rPr>
          <w:rFonts w:ascii="arial" w:eastAsia="arial" w:hAnsi="arial" w:cs="arial"/>
          <w:i/>
          <w:color w:val="000000"/>
          <w:sz w:val="20"/>
          <w:lang w:val="en-US" w:eastAsia="en-US" w:bidi="ar-SA"/>
        </w:rPr>
        <w:t>Kalenuik v. Kalenuik,</w:t>
      </w:r>
      <w:r>
        <w:rPr>
          <w:rFonts w:ascii="arial" w:eastAsia="arial" w:hAnsi="arial" w:cs="arial"/>
          <w:color w:val="000000"/>
          <w:sz w:val="20"/>
          <w:lang w:val="en-US" w:eastAsia="en-US" w:bidi="ar-SA"/>
        </w:rPr>
        <w:t xml:space="preserve"> </w:t>
      </w:r>
      <w:hyperlink r:id="rId447" w:history="1">
        <w:r>
          <w:rPr>
            <w:rFonts w:ascii="arial" w:eastAsia="arial" w:hAnsi="arial" w:cs="arial"/>
            <w:i/>
            <w:color w:val="0077CC"/>
            <w:sz w:val="20"/>
            <w:u w:val="single"/>
            <w:shd w:val="clear" w:color="auto" w:fill="FFFFFF"/>
            <w:lang w:val="en-US" w:eastAsia="en-US" w:bidi="ar-SA"/>
          </w:rPr>
          <w:t>[1996] B.C.J. No. 512</w:t>
        </w:r>
      </w:hyperlink>
      <w:r>
        <w:rPr>
          <w:rFonts w:ascii="arial" w:eastAsia="arial" w:hAnsi="arial" w:cs="arial"/>
          <w:color w:val="000000"/>
          <w:sz w:val="20"/>
          <w:lang w:val="en-US" w:eastAsia="en-US" w:bidi="ar-SA"/>
        </w:rPr>
        <w:t xml:space="preserve"> (S.C.) at para. 90. In </w:t>
      </w:r>
      <w:r>
        <w:rPr>
          <w:rFonts w:ascii="arial" w:eastAsia="arial" w:hAnsi="arial" w:cs="arial"/>
          <w:i/>
          <w:color w:val="000000"/>
          <w:sz w:val="20"/>
          <w:lang w:val="en-US" w:eastAsia="en-US" w:bidi="ar-SA"/>
        </w:rPr>
        <w:t>Kalenuik</w:t>
      </w:r>
      <w:r>
        <w:rPr>
          <w:rFonts w:ascii="arial" w:eastAsia="arial" w:hAnsi="arial" w:cs="arial"/>
          <w:color w:val="000000"/>
          <w:sz w:val="20"/>
          <w:lang w:val="en-US" w:eastAsia="en-US" w:bidi="ar-SA"/>
        </w:rPr>
        <w:t xml:space="preserve"> the wife accused the husband of managing funds held in trust in a negligent manner. The Court was unable to come to a conclusion regarding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but was able to find that the husband breached his duty as a trustee in failing to account. This breach became a factor in reapportionment.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[54] Lastly, in the recent case of </w:t>
      </w:r>
      <w:r>
        <w:rPr>
          <w:rFonts w:ascii="arial" w:eastAsia="arial" w:hAnsi="arial" w:cs="arial"/>
          <w:i/>
          <w:color w:val="000000"/>
          <w:sz w:val="20"/>
          <w:lang w:val="en-US" w:eastAsia="en-US" w:bidi="ar-SA"/>
        </w:rPr>
        <w:t>Hart v. Hart,</w:t>
      </w:r>
      <w:r>
        <w:rPr>
          <w:rFonts w:ascii="arial" w:eastAsia="arial" w:hAnsi="arial" w:cs="arial"/>
          <w:color w:val="000000"/>
          <w:sz w:val="20"/>
          <w:lang w:val="en-US" w:eastAsia="en-US" w:bidi="ar-SA"/>
        </w:rPr>
        <w:t xml:space="preserve"> </w:t>
      </w:r>
      <w:hyperlink r:id="rId448" w:history="1">
        <w:r>
          <w:rPr>
            <w:rFonts w:ascii="arial" w:eastAsia="arial" w:hAnsi="arial" w:cs="arial"/>
            <w:i/>
            <w:color w:val="0077CC"/>
            <w:sz w:val="20"/>
            <w:u w:val="single"/>
            <w:shd w:val="clear" w:color="auto" w:fill="FFFFFF"/>
            <w:lang w:val="en-US" w:eastAsia="en-US" w:bidi="ar-SA"/>
          </w:rPr>
          <w:t>2012 BCSC 334</w:t>
        </w:r>
      </w:hyperlink>
      <w:r>
        <w:rPr>
          <w:rFonts w:ascii="arial" w:eastAsia="arial" w:hAnsi="arial" w:cs="arial"/>
          <w:color w:val="000000"/>
          <w:sz w:val="20"/>
          <w:lang w:val="en-US" w:eastAsia="en-US" w:bidi="ar-SA"/>
        </w:rPr>
        <w:t>, the husband sought reapportionment of the matrimonial home in his favour. The parties agreed to sell the home after their son graduated from high school and took steps to sell the home from which the wife later resiled. In assessing the impact of the delay in selling the house Madam Justice Hyslop noted no prejudice was suffered by the husband; reapportionment of the matrimonial home was not granted on those grounds.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[55] In the present case the parties are still married. The proceeds of the sale of the family home are clearly a family asset as defined by s. 58(2) of the </w:t>
      </w:r>
      <w:r>
        <w:rPr>
          <w:rFonts w:ascii="arial" w:eastAsia="arial" w:hAnsi="arial" w:cs="arial"/>
          <w:i/>
          <w:color w:val="000000"/>
          <w:sz w:val="20"/>
          <w:lang w:val="en-US" w:eastAsia="en-US" w:bidi="ar-SA"/>
        </w:rPr>
        <w:t>FRA,</w:t>
      </w:r>
      <w:r>
        <w:rPr>
          <w:rFonts w:ascii="arial" w:eastAsia="arial" w:hAnsi="arial" w:cs="arial"/>
          <w:color w:val="000000"/>
          <w:sz w:val="20"/>
          <w:lang w:val="en-US" w:eastAsia="en-US" w:bidi="ar-SA"/>
        </w:rPr>
        <w:t xml:space="preserve"> and (upon a triggering event) are governed by Part 5 of the </w:t>
      </w:r>
      <w:r>
        <w:rPr>
          <w:rFonts w:ascii="arial" w:eastAsia="arial" w:hAnsi="arial" w:cs="arial"/>
          <w:i/>
          <w:color w:val="000000"/>
          <w:sz w:val="20"/>
          <w:lang w:val="en-US" w:eastAsia="en-US" w:bidi="ar-SA"/>
        </w:rPr>
        <w:t>FRA.</w:t>
      </w:r>
      <w:r>
        <w:rPr>
          <w:rFonts w:ascii="arial" w:eastAsia="arial" w:hAnsi="arial" w:cs="arial"/>
          <w:color w:val="000000"/>
          <w:sz w:val="20"/>
          <w:lang w:val="en-US" w:eastAsia="en-US" w:bidi="ar-SA"/>
        </w:rPr>
        <w:t xml:space="preserve"> The breach of contract in this case occurred between Ms. Lawrence and Mr. Mular and the first purchasers, and not between Ms. Lawrence and Mr. Mular. That cause of action was settled by a payment by the parties of $10,000 to the first purchasers. There is no cause of action against Ms. Lawrence by Mr. Mular in contract. The wording of the consent order by Master Tokarek does not support any claim for damages regarding an alleged breach by Ms. Lawrence in failing to complete the first sale. As for the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counsel advised was in the alternative, the pleadings do not disclose what basis upon which to find a duty of care as between Ms. Lawrence and Mr. Mular, or what that standard might be. Mr. Mular's remedies against Ms. Lawrence are limited to the relief available in family law proceedings pursuant to the provisions of the </w:t>
      </w:r>
      <w:r>
        <w:rPr>
          <w:rFonts w:ascii="arial" w:eastAsia="arial" w:hAnsi="arial" w:cs="arial"/>
          <w:i/>
          <w:color w:val="000000"/>
          <w:sz w:val="20"/>
          <w:lang w:val="en-US" w:eastAsia="en-US" w:bidi="ar-SA"/>
        </w:rPr>
        <w:t>FRA.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[56] As I commented in my earlier oral reasons that a separate civil action ought to have been commenced by Mr. Mular, and dismissed his claim to the share of Ms. Lawrence's funds still remaining in trust to be dealt with in the civil action, there are several points I wish to address.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[57] First, I note that Mr. Mular's initial application in the family law action was poorly framed as he simply sought "that the Plaintiff [Ms. Lawrence] pay to the Defendant [Mr. Mular] Judgment in the sum of $83,253.75 regarding the aborted sale of the Family Home in 2008." He provided no authorities and did not adequately address the matter of the prior consent order that included an equal division of the net proceeds from the sale of the family home. The order was that the home be listed forthwith, but did not compel either party to close a sale. Second, it is unlikely at that time that the Court could have made a finding reapportioning the share of Ms. Lawrence's funds remaining in trust in Mr. Mular's favour on the conflicting affidavit evidence of both parties as to the circumstances surrounding the failed first sale. But had the Court been able to do so, Mr. Mular could then have sought reapportionment of the proceeds in his favour, pursuant to s. 65 of the </w:t>
      </w:r>
      <w:r>
        <w:rPr>
          <w:rFonts w:ascii="arial" w:eastAsia="arial" w:hAnsi="arial" w:cs="arial"/>
          <w:i/>
          <w:color w:val="000000"/>
          <w:sz w:val="20"/>
          <w:lang w:val="en-US" w:eastAsia="en-US" w:bidi="ar-SA"/>
        </w:rPr>
        <w:t>FRA.</w:t>
      </w:r>
      <w:r>
        <w:rPr>
          <w:rFonts w:ascii="arial" w:eastAsia="arial" w:hAnsi="arial" w:cs="arial"/>
          <w:color w:val="000000"/>
          <w:sz w:val="20"/>
          <w:lang w:val="en-US" w:eastAsia="en-US" w:bidi="ar-SA"/>
        </w:rPr>
        <w:t xml:space="preserve"> However a full and adequate hearing did not occur because of the inability of Ms. Lawrence to adequately present her case and move forward with her own claims and counterclaims.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[58] Given this less than satisfactory state of affairs and as both actions are before me I will now deal with the entire matter within the context of the family law action. I see no useful purpose in putting the parties to further expense to have this issue resolved, and I take this approach being mindful of the orders arising out of the oral reasons given on May 4,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agree with plaintiff counsel's submission that there is no evidence in the case at bar that the plaintiff could have complied with a special set of conditions posed by the defendant that would have permitted the transaction to close on time. Moreover, the evidence is that after the defendant refused to sign the conveyance documents, she posted the "for sale by owner" signs without a court order or the consent of the plaintiff. I accept the plaintiff's testimony that when the purchasers drove by the former matrimonial home and saw the signs, they left without viewing the home deciding that they wished to have no further dealings with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It is also the evidence before me that when the plaintiff obtained an order for sole conduct of the sale of the former matrimonial home, it was at a time when the real estate market was already in a downturn. In Mr. Hewlett's letter, he noted that it was a buyer's market and the offers "are being written only on those homes that are perceived as 'a deal' and often the sale price is far below the current list price ...". I also find that the resulting sale at a significantly reduced price from the original transaction cannot be attributed to any delay on the part of the plaintiff in listing the property for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While I am not strictly bound by the findings of Arnold-Bailey J., and nor are her findings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nevertheless the evidence before me supports her finding, at para. 63, that "there is no doubt that in deciding not to complete the first sale she caused the parties to incur the additional costs of a $10,000 settlement to the prospective purchasers and the small claims judgment against the parties of $11,757.46. I find that it is entirely appropriate that she bear these costs alone, and that they are not to be shared with Mr. Mular."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As noted by counsel for the plaintiff, although Arnold-Bailey J. concluded that the plaintiff had to start an action to recover a judgment based upon a reapportionment, Her Ladyship certainly could not have made the order that the amount of $10,878.73, being one-half of the costs from the settlement and the small claims judgment, be reimbursed to the plaintiff from the defendant's share of the proceeds remaining in trust unless she reached the conclusion that the defendant was responsible for the aborted sale. There is certainly no evidence before me in this action to lead me to a different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disagree with the defendant that the cost to the parties of the aborted sale was merely a hypothetical loss or paper loss -- there was a signed contract of sale and purchase, and the decision was made by the defendant on her own to abort the sale costing both parties a significant sum. I am satisfied that the defendant acted unilaterally and capriciously when she breached Master Tokarek's order that the former matrimonial home was to be listed for sale and sold. She did sign the listing agreement, but when it came time to sign the conveyance documents, she decided to balk. One explanation from her was her view that the arrival of the Olympics in 2010 would lead to the former matrimonial home fetching a higher price -- as noted by his counsel, this was a gamble on her part, not on the part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also reject the position of the defendant that she was acting in good faith when she refused to sign the conveyance documents. She likely did have in her mind at the time that she wished to retain her one-half share of the proceeds being held in trust so that she could use the funds to purchase a larger residence with a yard and garden, but it is plain from her testimony that the overriding motive on her part for balking at the sale was her petulant attitude towards the plaintiff. She conceded in her testimony that she told the plaintiff that she did not care if the parties would be sued and that she was going to put him back to where he was ten years earlier, nor did she care if the former matrimonial home went into foreclosure. In addition, the buyers were willing to extend the completion date but first wanted another view of the former matrimonial home. Her action was to put up for sale by owner signs, which drove the prospective purchasers away from wanting to deal with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Although the defendant now asserts that at the time of the completion date for the sale of the former matrimonial home she and the parties' son were ill and that she was not thinking clearly, she is a sophisticated person with an accounting background and a senior position with the CRA, where she has to exercise good judgment in her role as a reviewer of taxpayer objections. She has access to lawyers in this role and, in addition, earns a comfortable income, comfortable enough to provide her with the means to at the very least have taken legal advice before deciding to abort the sale. If she had sought advice, I fully expect that she would have been advised to sign the conveyance documents to preserve the sale while at the same time working out an arrangement with the plaintiff to secure the amount of $10,500, which she claims is the deficiency in the contributions of the plaintiff at the time of the initial sale. Moreover, she had control of an investment account in the amount of $45,000 to use as a form of security for the amount she claims was owing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Although the defendant insists that she remains entitled to share equally in the proceeds held in trust from the sale of the former matrimonial home as provided for in the order of Master Tokarek, I have concluded otherwise. The whole of the evidence is compelling that it was her unreasonable conduct that was primarily responsible for the actual loss sustained by the parties from the aborted sale which, I find, has led to an unfairness to the plaintiff such that he should not have to share in the loss. While conduct is generally not a relevant consideration when effecting an unequal division, it may properly be considered where a party has dealt with an asset in a manner that reduces the amount available for distribution and is unfair to the other party: </w:t>
      </w:r>
      <w:r>
        <w:rPr>
          <w:rFonts w:ascii="arial" w:eastAsia="arial" w:hAnsi="arial" w:cs="arial"/>
          <w:i/>
          <w:color w:val="000000"/>
          <w:sz w:val="20"/>
          <w:lang w:val="en-US" w:eastAsia="en-US" w:bidi="ar-SA"/>
        </w:rPr>
        <w:t>Jacobsen v. Jacobsen</w:t>
      </w:r>
      <w:r>
        <w:rPr>
          <w:rFonts w:ascii="arial" w:eastAsia="arial" w:hAnsi="arial" w:cs="arial"/>
          <w:color w:val="000000"/>
          <w:sz w:val="20"/>
          <w:lang w:val="en-US" w:eastAsia="en-US" w:bidi="ar-SA"/>
        </w:rPr>
        <w:t xml:space="preserve"> </w:t>
      </w:r>
      <w:hyperlink r:id="rId449" w:history="1">
        <w:r>
          <w:rPr>
            <w:rFonts w:ascii="arial" w:eastAsia="arial" w:hAnsi="arial" w:cs="arial"/>
            <w:i/>
            <w:color w:val="0077CC"/>
            <w:sz w:val="20"/>
            <w:u w:val="single"/>
            <w:shd w:val="clear" w:color="auto" w:fill="FFFFFF"/>
            <w:lang w:val="en-US" w:eastAsia="en-US" w:bidi="ar-SA"/>
          </w:rPr>
          <w:t>(1991), 60 B.C.L.R. (2d) 40</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Newson v. Newson</w:t>
      </w:r>
      <w:r>
        <w:rPr>
          <w:rFonts w:ascii="arial" w:eastAsia="arial" w:hAnsi="arial" w:cs="arial"/>
          <w:color w:val="000000"/>
          <w:sz w:val="20"/>
          <w:lang w:val="en-US" w:eastAsia="en-US" w:bidi="ar-SA"/>
        </w:rPr>
        <w:t xml:space="preserve"> </w:t>
      </w:r>
      <w:hyperlink r:id="rId450" w:history="1">
        <w:r>
          <w:rPr>
            <w:rFonts w:ascii="arial" w:eastAsia="arial" w:hAnsi="arial" w:cs="arial"/>
            <w:i/>
            <w:color w:val="0077CC"/>
            <w:sz w:val="20"/>
            <w:u w:val="single"/>
            <w:shd w:val="clear" w:color="auto" w:fill="FFFFFF"/>
            <w:lang w:val="en-US" w:eastAsia="en-US" w:bidi="ar-SA"/>
          </w:rPr>
          <w:t>(1986), 3 B.C.L.R. (2d) 1</w:t>
        </w:r>
      </w:hyperlink>
      <w:r>
        <w:rPr>
          <w:rFonts w:ascii="arial" w:eastAsia="arial" w:hAnsi="arial" w:cs="arial"/>
          <w:color w:val="000000"/>
          <w:sz w:val="20"/>
          <w:lang w:val="en-US" w:eastAsia="en-US" w:bidi="ar-SA"/>
        </w:rPr>
        <w:t xml:space="preserve"> (C.A.). As a result, after considering the factors set out in s. 65 of the </w:t>
      </w:r>
      <w:r>
        <w:rPr>
          <w:rFonts w:ascii="arial" w:eastAsia="arial" w:hAnsi="arial" w:cs="arial"/>
          <w:i/>
          <w:color w:val="000000"/>
          <w:sz w:val="20"/>
          <w:lang w:val="en-US" w:eastAsia="en-US" w:bidi="ar-SA"/>
        </w:rPr>
        <w:t>Family Relations Act</w:t>
      </w:r>
      <w:r>
        <w:rPr>
          <w:rFonts w:ascii="arial" w:eastAsia="arial" w:hAnsi="arial" w:cs="arial"/>
          <w:color w:val="000000"/>
          <w:sz w:val="20"/>
          <w:lang w:val="en-US" w:eastAsia="en-US" w:bidi="ar-SA"/>
        </w:rPr>
        <w:t xml:space="preserve"> in the context of the whole of the evidence, I find that the plaintiff is entitled to a reapportionment 100% in his favour and to receive payment of the total amount of the proceeds from the sale of the former matrimonial home remaining in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plaintiff is entitled to his costs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B.I. COHEN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3" style="position:absolute;z-index:25178009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51"/>
          <w:headerReference w:type="default" r:id="rId452"/>
          <w:footerReference w:type="even" r:id="rId453"/>
          <w:footerReference w:type="default" r:id="rId454"/>
          <w:headerReference w:type="first" r:id="rId455"/>
          <w:footerReference w:type="first" r:id="rId45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57" w:history="1">
        <w:r>
          <w:rPr>
            <w:rFonts w:ascii="arial" w:eastAsia="arial" w:hAnsi="arial" w:cs="arial"/>
            <w:b/>
            <w:bCs/>
            <w:i/>
            <w:color w:val="0077CC"/>
            <w:kern w:val="32"/>
            <w:sz w:val="28"/>
            <w:szCs w:val="32"/>
            <w:u w:val="single"/>
            <w:shd w:val="clear" w:color="auto" w:fill="FFFFFF"/>
            <w:lang w:val="en-US" w:eastAsia="en-US" w:bidi="ar-SA"/>
          </w:rPr>
          <w:t>Nyffenegger v. Chand, [2011] B.C.J. No. 2691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 Crawford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11-15, 18, 19 and 21,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August 4,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S114240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2691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BCSC 1857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Mark Nyffenegger, Plaintiff, and Bimla Wati Chand, Sanjeev Shilendar Chand, Pine Construction Ltd. and City of Surrey,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(94 paras.)</w:t>
      </w:r>
    </w:p>
    <w:p>
      <w:pPr>
        <w:jc w:val="both"/>
        <w:rPr>
          <w:rFonts w:ascii="arial" w:eastAsia="arial" w:hAnsi="arial" w:cs="arial"/>
          <w:sz w:val="20"/>
          <w:lang w:val="en-US" w:eastAsia="en-US" w:bidi="ar-SA"/>
        </w:rPr>
      </w:pPr>
      <w:bookmarkStart w:id="69" w:name="Counsel_19"/>
      <w:bookmarkEnd w:id="6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4" style="position:absolute;z-index:2516797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Plaintiff Mark Nyffenegger: In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Bimla Wati Chand Sanjeev Shilendar Chand and Pine Construction Ltd.: D.J. Conolly, K.P. Hyde.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City of Surrey: B.G. Lee.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0" w:name="Judgment_19"/>
      <w:bookmarkEnd w:id="70"/>
      <w:r>
        <w:pict>
          <v:line id="_x0000_s1095" style="position:absolute;z-index:25173094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8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1" w:name="R. CRAWFORD J. (orally)"/>
            <w:bookmarkEnd w:id="71"/>
            <w:r>
              <w:rPr>
                <w:rFonts w:ascii="arial" w:eastAsia="arial" w:hAnsi="arial" w:cs="arial"/>
                <w:b/>
                <w:color w:val="000000"/>
                <w:sz w:val="30"/>
                <w:lang w:val="en-US" w:eastAsia="en-US" w:bidi="ar-SA"/>
              </w:rPr>
              <w:t>R. CRAWFORD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Mr. Nyffenegger filed a Writ in the Supreme Court. His Statement of Claim is dated August 29, 2008. He sued the defendants, the Chands, Pine Construction, and the City of Surrey ("the City"). He claims money for damages he alleges he sustained in 2006 and the years following for water that ponded on the backyard of his property at 10738 140th Street in Surrey (I will call that "Lot 8" through most of the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Chands own the house to the immediate north, 10746 140th Street ("Lot 9"). The Chands bought the land in 2006. They found a swamp in the middle of the backyard. As part of building a new house on the lot, they put approximately a metre depth of fill over the backyard.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City is joined on the basis that its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relates to the harm sustained by Mr. Nyffenegger.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Some preliminary matters. This is an oral judgment and I reserve the right to edit the judgment, but the results will remain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documents that the parties filed were marked as Exhibits A, B, and C, and if I recall rightly, there was an agreed book of documents or an agreed list of documents and I will call that agreed book list Exhibit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other issue is one that arose when I was reviewing the examination for discovery of Mr. Nyffenegger on April 7, 2011. During his cross-examination by Mr. Conolly, Mr. Conolly put this quotation from the transcript to Mr. Nyffenegger: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393</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 have already established you bought the property in March of -- after the winter months. You had a drainage problem during the first winter of your occupancy.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Nyffenegger did not make any other response to that but immediately below that portion it reads on like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394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Could I establish for you to see what are being discharged through Mr. Chand's retaining wall in my driveway?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It's got nothing to do with my question.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 my answer is I did not have a drainage problem prior to the grade changes and the soil reposition on Mr. Chand's property.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you're going to repeat that at least 10 or 20 times because you have already done that. I get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That led me to wonder what the reference to the 10 or 20 times was and, simply put, throughout the examination for discovery, Mr. Nyffenegger's testimony had been consistent. I look at p. 6, Question 41 of the discovery transcript: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30"/>
        <w:gridCol w:w="413"/>
        <w:gridCol w:w="516"/>
        <w:gridCol w:w="238"/>
        <w:gridCol w:w="7327"/>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41</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said you noticed a change in the drainage on your property in October of 2006.</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 would be in the fall right?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Furthermore, at p. 57 of the discovery transcript: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329</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Is it fair to say prior -- prior to the alleged increase in grade in the Chand property you are not sure how water drained from your property?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did not have a drainage problem.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know that sir, you said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I don't know how it had drained. All I know is I did not have a drainage problem that exists today and existed since approximately October 2006.</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relevant Rule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pertaining to trial is found at Rule 12-5(53). It allows the Court to consider the whole pre-trial examination:</w:t>
      </w:r>
      <w:r>
        <w:rPr>
          <w:rFonts w:ascii="arial" w:eastAsia="arial" w:hAnsi="arial" w:cs="arial"/>
          <w:sz w:val="20"/>
          <w:lang w:val="en-US" w:eastAsia="en-US" w:bidi="ar-SA"/>
        </w:rPr>
        <w:cr/>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part of an examination of a person taken under Rule 7-5 is tendered in evidence, the court may review the whole of that examination and if, following the review, the court considers that another part of the examination is so closely connected with the part tendered in evidence that the last mentioned part ought not to be used without the other part, it may direct that the other part be tendered as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 will make that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Nyffenegger bought his lot (Lot 8) in 2005. Lots 8 and 9 lie east of 140th Street in Surrey. It appears from the pictures that the land slopes from 140th Street to the east of the lots, and east of the lots there is a B.C. Hydro right-of-way (the "Hydro easement") which is largely overgrown.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At the time, both Lots 8 and 9 had modest bungalows on them. The Chands bought Lot 9 in March of 2006. Sanjeev Chand said the east end of his lot was overgrown with berry bushes, so he cleared it. But in the middle of the backyard, he found a swamp of mud and water, so much so that he got stuck in it. He said there was a big depression in the middle of the backyard. He spoke with his father, Harry Chand. They decided to get fill onto the lot. Amongst other things, he said this was to stop water entering his property, although he gave no evidence of that. They brought in eight to ten loads of fill and they spread it out over the lot behind the bungalow.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fill that was placed on site in the spring of 2006 did not have any immediate effect on Mr. Nyffenegger's backyard.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the Chands' process to build a new single family home, they obtained a survey that is certified July 25, 2006 (see Document B-6). The survey does not show the bungalow. It does show approximately 0.8 metres of fill on Lot 9 -- in other words, if one looks at the level shown for Lot 8 and compares it to Lot 9, there is a difference of 0.8 metres. There is also a retaining wall marked on the survey. The pictures at the time seem to show wood planks against the chain link fence that divide the property and presumably they are to hold in the fill.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August 4, 2006, Mr. Harry Chand signed and filed a building permit application for demolition of the bungalow and for the construction of a new single family dwelling. A plan entitled "Proposed Residence for Mr. Sanjeev Chand" was filed with the application. An engineer's seal on the drawing is dated July 28, 2006 (see Documents A-8 and C-4).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plan designer noted on both sides of the site plan "no grade change or retaining walls". The City checks the plans for compliance with the </w:t>
      </w:r>
      <w:r>
        <w:rPr>
          <w:rFonts w:ascii="arial" w:eastAsia="arial" w:hAnsi="arial" w:cs="arial"/>
          <w:i/>
          <w:color w:val="000000"/>
          <w:sz w:val="20"/>
          <w:lang w:val="en-US" w:eastAsia="en-US" w:bidi="ar-SA"/>
        </w:rPr>
        <w:t>British Columbia Building Code Regulations</w:t>
      </w:r>
      <w:r>
        <w:rPr>
          <w:rFonts w:ascii="arial" w:eastAsia="arial" w:hAnsi="arial" w:cs="arial"/>
          <w:color w:val="000000"/>
          <w:sz w:val="20"/>
          <w:lang w:val="en-US" w:eastAsia="en-US" w:bidi="ar-SA"/>
        </w:rPr>
        <w:t xml:space="preserve">, </w:t>
      </w:r>
      <w:hyperlink r:id="rId458" w:history="1">
        <w:r>
          <w:rPr>
            <w:rFonts w:ascii="arial" w:eastAsia="arial" w:hAnsi="arial" w:cs="arial"/>
            <w:i/>
            <w:color w:val="0077CC"/>
            <w:sz w:val="20"/>
            <w:u w:val="single"/>
            <w:shd w:val="clear" w:color="auto" w:fill="FFFFFF"/>
            <w:lang w:val="en-US" w:eastAsia="en-US" w:bidi="ar-SA"/>
          </w:rPr>
          <w:t>B.C. Reg. 216/2006</w:t>
        </w:r>
      </w:hyperlink>
      <w:r>
        <w:rPr>
          <w:rFonts w:ascii="arial" w:eastAsia="arial" w:hAnsi="arial" w:cs="arial"/>
          <w:color w:val="000000"/>
          <w:sz w:val="20"/>
          <w:lang w:val="en-US" w:eastAsia="en-US" w:bidi="ar-SA"/>
        </w:rPr>
        <w:t>, and the City of Surrey's By-laws. The notes of the plan checker are shown on "clouds" on the drawing. In other words, there is writing and then an irregular line drawn around the wording. There are two dates of endorsement by the plan checker: October 25, 2006, and August 29, 2007. I was not favoured with any evidence as to when the "cloud" notes were put on the plan. But compliance was noted by the plan checker on October 25, 2006. That is the date of the issuance of the building permit for the new home on Lot 9, and when demolition took place and the building started.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Nyffenegger said he first noticed water building up in his backyard in the fall of 2006. A Ms. Rhodes, a friend of Mr. Nyffenegger, gave evidence. I accept her evidence that at times up to a third of the backyard of Lot 8 was flooded and that is borne out in the pictures at the time, at least between the fall of 2006 and into March of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Nyffenegger went and complained to Mr. Chand to no effect. Then he complained to the City Building Department. Mr. Orsetti is the City's Drainage Technician. He is highly qualified. I found him honest, straightforward, and quite frank in his testimony, and he made findings on site. I quote from p. 65 of my notes of the trial: "saw water on Nyffenegger's property; exposed dirt fill on Chand's land; rain water running in all directions; no run-off control; Nyffenegger 'burdened'".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As a result of his findings, he wrote to Mr. Harry Chand. I note there is no issue as to the City's communications with the Chands, either through Sanjeev or Harry.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Orsetti's letter of December 6, 2006 says, amongst other things: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Staff from this office inspected the property at 10746 - 140 Street after receiving a complaint about local drainage conditions.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inspection revealed that soil has been deposited on the property and that no specific features exist to control the surface drainage. Furthermore, soil has been placed within 1.0 metres of the south property line, contrary to the noted restriction on the approved site plan drawing.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Because of the local topography and changes in grading associated with the construction at [Lot 9], the City requires the following:</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lot grading plan, designed and sealed by a professional engineer, to manage storm water run-off with minimal impact on adjacent properties.</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Collect roof water in a pipe system and direct the water to your storm sewer connection to the satisfaction of Surrey's plumbing inspector.</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Comply with the notes on the approved plan that restrict grade changes adjacent to the north and south property lines.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requirements have been noted on the building inspector's field card and they must be addressed to the inspector's satisfaction before framing inspection. The framing inspection will not be performed until these requirements are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He then made reference to the City of Surrey, By-law No. 9011, Surrey Building By-law, 1987, No. 9011 (25 May 1987) (the "By-law"), and, in particular, to s. 24 which deals with designation of a lot having a zero increase and run-off. Under subsection (2) it states:</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fill is placed upon any site for whatever reason, all necessary drainage controls to prevent discharge of storm water to adjacent properties shall be installed by the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By-law can be found under Tab C of Exhibit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Orsetti's concern was the run-off that was coming off Lot 9 onto Lot 8. In response to his letter, he received a plan from Neale Engineering with the date February 6, 2007 entitled "Storm Water &amp; Lot Grading Plan". That shows the back of Lot 9 graded towards what I would say is the southerly half of the backyard and a catch basin put in place closer to the south rather than the north boundary. Mr. Orsetti accepted the drawing.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It appears from the City inspection record that foundations were then poured on Lot 9 and the framing was completed by late May 2007. Some of the pictures show the soil that had been put on the property being bulldozed to the back fence to allow for the framing of the new building (see the pictures of the plaintiff, numbers 8 and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It is evident from the pictures of March 2007 that the water on Lot 9 was still running off onto Lot 8, and here I make reference to pictures 16, 17 and 18, which are dated March of 2007 and show the clay soil on Lot 9 is being washed, presumably in fine particles, into the ponding that is occurring on the north boundary and the end of the backyard of Mr. Nyffenegger. One can also see a relatively low retaining wall with something more substantial than planks at this time and a fairly open exposure on the east end of the property out into the Hydro Easement.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retaining wall was not particularly stable and it appears at some stage the Chands tried to set pipes in concrete to stop the wall moving or, as Mr. Orsetti called it, "deforming".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May of 2007, soil was removed from around one of the tree trunks on Lot 9; this is shown in the pictures and still there is evidence of clay and water spilling back onto Lot 8 in picture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Nyffenegger wrote a letter dated July 24, 2007 to Mr. Chand, Pine Construction Ltd. (which is the construction firm of the Chands), Neale Engineering and the City. He continued to complain about the drainage issues and he enclosed a survey map showing that, in some small portions, the retaining wall had moved onto his property and the top of the retaining wall was leaning over onto his property. Then he began a suit in Small Claims Court in Surrey on August 15,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September of 2007, Mr. Chand took down the then retaining wall and started another one, but the new wall did not seem to have any effect on the amount of water that was accumulating in the backyard of Mr. Nyffenegger. That can be seen in picture 27 dated November 16, 2007 and pictures 24, 25 and 26 by which time (December 3, 2007) there is snow falling on the property. The new wall is far more substantial. The retaining wall is made of "6 by 6" railway ties. It has a substantial fence with a trellis on the 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terms of legal process, the Chands then filed a counterclaim in Provincial Court alleging that Mr. Nyffenegger delayed construction of the new house causing them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At Tab A-27 of the documents are pictures from Mr. Orsetti, one dated October 18, 2007 showing the retaining wall under construction, the muddy water, and what appears to be the top of the catch basin.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Nyffenegger told Mr. Chand the new wall was still encroaching on his property and he updated the survey on November 15, 2007. There appeared then to still be some muddy water flowing from Lot 9 (see Document A-45).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Orsetti visited the site and then wrote to Neale Engineering on November 21, 2007. He noted the constructed grading was different from the approved lot grading plan of Mr. Neale and he noted these issues:</w:t>
      </w:r>
      <w:r>
        <w:rPr>
          <w:rFonts w:ascii="arial" w:eastAsia="arial" w:hAnsi="arial" w:cs="arial"/>
          <w:sz w:val="20"/>
          <w:lang w:val="en-US" w:eastAsia="en-US" w:bidi="ar-SA"/>
        </w:rPr>
        <w:cr/>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current drainage effort has a lawn basin in the northeast corner of the property, connected to a pipe in the storm sewer [right-of-way] along the north property line. The lawn drain is not shown on the approved lot grading plan. The owners were advised the elevation of the rim of the drain is not installed low enough to accommodate flows that come from the undeveloped land to the east.</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retaining wall is constructed at the east side of the property [I stop to say that is against the Hydro right-of-way and easement]. By raising the elevation of the rear yard and preventing flow into the open end of the storm sewer pipe at the east end of the right of way, the works at the property appear to have decreased the available drainage to the adjacent lands. The retaining wall and excess fill are not shown on the approved lot grading plan.</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provision for storm water from the east to enter the east end of the pipe in the storm sewer right of way.</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Restoration of the disturbed grade just east of the east property line is incomplete. This area was historically low enough to allow surface water to travel north from 10736-140 St to the open pipe at the north east corner of 10746-140 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Orsetti asked Mr. Neale to certify the work. In effect, he was saying what he saw as built was not conforming to the design of Mr. Neale.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It was Mr. Orsetti's opinion the fill was preventing the water that normally left Lot 8 from going into the City pipe at the northeast end of Lot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As to the question on the encroachment, there is a letter dated January 9, 2008 from a Christopher James under Tab A-45 at p. 2 referring to some shifts in the retaining wall and that the base at one point was encroaching onto Lot 8 by a centimetre.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Nyffenegger also claimed there was a lot of water now discharging onto his driveway. We saw a video of December 3, 2007, which he says shows water coming under the fence ties at the front of his property near the garage.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By letter of December 13, 2007, Mr. Neale responded advising he had inspected the property, that deficiencies had been discussed, and his services had been terminated. Therefore, his engineering assurance was withdrawn. In essence, the catch basin was not to his plan, the drain pipe was not working, the east fence on the plan was not acceptable, the catch basin should be relocated, and he strongly criticized the then retaining wall.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Orsetti had now been looking at this situation for over a year. He started to question his assumption that the pipe that sticks out into the Hydro Easement at the northeast end of Lot 9 was in fact draining the water he could see ponding on Lot 8 and on the Hydro Easement to the east of Lots 8 and 9. He went back on site on December 3, 2007 and he could see the water accumulating beside Mr. Nyffenegger's garage and water coming through the retaining wall; I refer to the pictures at Tab C-9B.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He went back on site on January 4, 2008 with Building Inspector Graham and at that time posted a stop work order on Lot 9. He did that on the basis that the engineer, Mr. Neale, had withdrawn his assurances as to the drainage. The stop work order was to be in place until the Chands had done the work to remedy these deficiencies.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Orsetti visited the site again on January 14, 2008, and he took more pictures. He noted then that the grass on the Hydro easement to the east of the properties was lying to the east. From that he deduced it might be the direction of the water flow from Lots 8 and 9, which would conform to the general slope of the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He came back again on January 24, 2008 with a garden hose and he laid it from the ponding on Lot 8 out over the hump of land that he could see on the Hydro Easement and then further east again (see Tab C-8). He returned the following day (see Tab A-28). The modest siphon he had put in place seemed to have worked, so he spoke to Mr. Chand and he asked him to dig a ditch on the Hydro easement east through the hump of land on the Hydro easement to see if that drained the pond. Pictures that were taken at the time show that the retaining wall that had been criticized by Mr. Neale was also being rebuilt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At Tab A-30, we see a record of Mr. Orsetti visiting the properties again. He said there had been a significant rainfall, but in his opinion the major flooding on Lot 8 had gone.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On February 29, 2008, Mr. Chand asked Mr. Orsetti to come and inspect the rebuilt retaining wall. Mr. Orsetti said it was by far the best of the various walls that the Chands had built. He described it as robust, uniform, and straight. In fact, he used the word "skookum". He could not see any drainage issues. There appeared to be tiebacks, the eastern property line was in better shape, and he could see shale at the bottom of the fence or the wall. Although the wall is not engineered and indeed a previous engineer (Mr. Good) had also withdrawn his assurances, by this time Mr. Orsetti was satisfied that an engineer's assurance was not necessary. That reference is at Tab A-31 (Mr. Good).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Orsetti visited again on February 29, 2008 and at Tab A-32 his pictures of the rebuilt wall show a far better wall as he described it and no apparent ponding.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At Tab A-33 is a letter from Mr. Graham, the Building Inspector, to Mr. Chand of March 3, 2008 noting the withdrawal of the letter of assurance, the reminder of the stop work order and the requirement that the grading and drainage concerns be dealt with promptly.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Bozsik, P. Eng., sealed his professional assurance, a commitment for a field review, and an amended plan dated March 14, 2008. The diagram he used was an overlay on the survey certificate of the backyard on Lot 9 and showing the entire lot drainage being directed to the catch basin located in the northeast corner of Lot 9. The catch basin is not on the City's right-of-way, which runs along the north edge of the Chand property, Lot 9: Tab A-35.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notation on the plan seems meaningless. Rather, the intent seems to be to take the backyard flow to the catch basin or sump and out into the Hydro Easement. In any event, Mr. Orsetti was now satisfied even though the engineer, Mr. Good, had written to him saying the retaining wall was not to plan and problems might be expected.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Orsetti wrote to Mr. Good indicating the City's requirements for drainage and grading had now been resolved. I am assuming that his concerns as reflected in his correspondence were met by Mr. Bozsik's plan. Mr. Bozsik did not seem to have dealt with elevations -- this is my comment on Mr. Bozsik's upgraded survey, if I can call it that. Mr. Bozsik simply shows the same elevations and direction of flow. He shows no elevation for the catch basin and he notes the retaining wall.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next matter of concern to Mr. Nyffenegger was the height of the fence. It is apparent from the pictures that a substantial retaining wall had been built with railway ties, which now seem relatively impervious. On top of the ties, a wooden fence was built. Apparently, the matter went before the Board of Variance. Not unnaturally, given the ongoing litigation, they adjourned the matter without any decision on September 8,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Rather curiously, I have no precise evidence as to the height of the retaining wall and the height of the fence on top of it. The by-law requirements are set out; I will not bother to repeat them here, but I am simply not in a position, without specific evidence, to determine what in fact the height of the wall is and what the height of the fence is. Presumably, this goes back to the Board of Variance and presumably some accurate, factual evidence will then allow the Board of Variance to deal with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As well, Mr. Nyffenegger raised a tree loss issue but he did not argue it. I think that is because I was shown a survey, which shows that the trees that were felled were not actually on his property but on the Hydro Easement.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Nyffenegger also gave evidence that he still had to dig a trench along his north property line to help the water run to the east easement, but it was plain in cross-examination that some of that water was falling onto the north part of his property and going around his garage. The garage has an asphalt or cement driveway which channels the water to some degree, and as well in his backyard he has added to his buildings. The south side of his garage and part of his roof all drain to the centre of his backyard.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note again in terms of measurements and accuracy that although the surveys seem to indicate a 0.8 metre difference after the fill was put on Lot 9, no new evidence was given as to what the actual as-built elevations are (i.e., what is the difference in height between Lot 8 and Lot 9?). Nor was there any evidence of what the drainage pattern, if any, was before the fill was placed on Lot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Not until February 11, 2008, did Mr. Nyffenegger raise the question of the City right-of-way on the north side of Lot 9, the drain, and which direction the water flowed.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EXPERT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Nyffenegger retained Thomas Day, who is a qualified professional engineer with a wide range of experience, his initial training being obtained in Europe; he has worked in Edmonton and British Columbia and is duly qualified.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His report is dated 27 August 2008. He visited the property; he researched documents of the City. A premise to his report was that Lots 8 and 9 sloped to the City catch basin at the northeast corner of Lot 9; that was said to be the east extremity of a 300-metre storm drain lying in the City right-of-way on the north edge of Lot 9 and apparently draining water west to 140th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Unfortunately, field tests have proved those assumptions wrong. The pipe that we have spoken of that extends into the Hydro Easement on the northeast corner of Lot 9 only goes some 27 metres west and then it stops. There appears to be no connection at 140th Street to a City storm sewer. The catch basin that was placed by the Chands on Lot 9, on the last testing, does not appear to be connected to anything. As can be seen of course, it is not a City catch basin.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With respect to the retaining wall, Mr. Day opined that the drain rock tile at the bottom of the fence may mean that rainwater that lands on Lot 9 can percolate to the south onto Lot 8. He was further of the opinion that the retaining wall was leaking and there was evidence of seepage. He questioned the wall's stability and the failure to follow the original design, which was described as "battered", meaning somewhat angled against the forces that it deals with. The fence that has been built is simply straight up and vertical. He did note then that the owner had replaced the City catch basin. But as I have noted, I have no evidence that there ever was a City catch basin. Then he said that the catch basin was dysfunctional; he was right about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What he did not appear to be informed about was Mr. Orsetti's work, which had been done in the early part of 2008. Mr. Orsetti's thesis was that the land basically flows to the east and he had proved that with the siphon. It is not clear to me why Mr. Day would not have been apprised of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Day was the only expert who was cross-examined. The plaintiff did not cross-examine the defendants' experts and the engineer, Mr. Good, who had communicated with Mr. Orsetti was not called.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But Mr. Good did provide an opinion (April 12, 2011) for Mr. Chand as to the construction of the retaining wall.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 found this a most curious exercise. Mr. Good provided a diagram which contains no specific measurements (most unusual in an engineer), only approximations. He estimated the length of the tiebacks which are meant to help the wall stand against the pressure of the earth behind it. Evidently, there were structural concerns raised and fixed during the wall construction according to his report. He did use a level to confirm that the Lot 9 back lawn sloped away from the south wall to the northeast corner. He recorded a 4% grade, so plainly water landing on Lot 9 now is being channelled away to the north. He found the timber wall was clean. I note his visits to the site were on two occasions: in April of 2009 and March of 2011. Thus, he was satisfied that the clay fines that had been patently washing from Lot 9 to Lot 8 were no longer getting through the wall.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He also thought it was good engineering practice that gravel had been placed underneath the retaining wall to help reduce built-up water pressure on the wall itself, and that moisture patterns he saw on the wall were consistent with rainfall. With respect to the eastern part of the property, he found the rear wall exceeded the height of the soil.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With respect to the property overall, he said the soil was consistently about a metre high, the wall was 1.2 metres, and with the tie braces, the "built-over" factor was 1.5 and therefore, in terms of engineering calculation, the wall was stable. He opined that the little water falling on the backyard on Lot 9 would not flow to or penetrate the retaining wall.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Kompauer's report is dated April 14, 2011. His report was responsive to Mr. Day's, which of course was by then almost three years old. He visited the site in March of 2011 and April of 2011, and on the second visit he used a fibre optic camera to scan the storm sewer in the northern right-of-way of Lot 9. He posed two questions:</w:t>
      </w:r>
      <w:r>
        <w:rPr>
          <w:rFonts w:ascii="arial" w:eastAsia="arial" w:hAnsi="arial" w:cs="arial"/>
          <w:sz w:val="20"/>
          <w:lang w:val="en-US" w:eastAsia="en-US" w:bidi="ar-SA"/>
        </w:rPr>
        <w:cr/>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storm sewer on the north side of Lot 9 there connect all the way west to the 140th Street storm sewer?</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there any direction of flow to be recorded?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He noted it had been raining and his opinion was this:</w:t>
      </w:r>
      <w:r>
        <w:rPr>
          <w:rFonts w:ascii="arial" w:eastAsia="arial" w:hAnsi="arial" w:cs="arial"/>
          <w:sz w:val="20"/>
          <w:lang w:val="en-US" w:eastAsia="en-US" w:bidi="ar-SA"/>
        </w:rPr>
        <w:cr/>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much of the surface water run-off on Lot 8 comes from water landing on the north side of Lot 8 and channelling along the property line to the east;</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saw no evidence of clay leaching from Lot 9 onto Lot 8;</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retaining wall was not to plan but it appeared stable;</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fibre optic exam showed no connection from 140th Street to Lot 9. In other words, he could not find a drain running through the whole of the right-of-way on Lot 9 and connecting to 140th Street storm sewer;</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the pipe opening out in the Hydro Easement on the northeast corner, he found it fully submerged;</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found there was no flow of water, i.e., it was stagnant;</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entering the east end of the pipe, he could only go some 27 metres west, which I was told was some two-thirds of the way along Lot 9; and</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no connections to the catch basin, i.e., the lawn drainage was going into a hole but not connected to anything.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make these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2006, the Chands took onto Lot 9 some ten truckloads of clay. I saw no attempt by them to even conform to their own site plan and the requirements regarding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the fall of 2006, there was clear evidence that the water falling on Lot 9 onto the clay fill was oozing and draining onto Lot 8, and thus causing the ponding in the back of Lot 8, Mr. Nyffenegger's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found the several efforts of the City employees, particularly Mr. Orsetti, to get the Chands to properly control the drainage of their lot and the fill were to no effect. For a long time, the Chands did not really respond either to Mr. Orsetti's entreaties or meet their own engineering requirements as set out in their own documents. But I do find that by March of 2008, a stable and effective retaining wall was finally put in place and I am also satisfied that by then Mr. Orsetti had figured out the drainage issue. However, in light of Mr. Kompauer's report, I must say I have an ongoing concern that if the drainage ditches to the east through the Hydro property are not maintained, Mr. Nyffenegger's concerns may not be 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any event, in terms of the law of nuisance, I find the Chands did cause an unreasonable nuisance to the plaintiff. That is plainly evident in the water and clay fines spilling over from Lot 9 onto Lot 8 in the fall of 2006 to March of 2008. There is also evidence of some trespass of the fence, but that is of a minor nature. That occurred as various attempts were made to contain the metre of fill that spilled and pushed the various fences and retaining walls onto Mr. Nyffenegger's lot. And again, that came to an end with the construction of the new retaining wall that was built in February/March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With respect to the fence height issue, I have no precise evidence. That matter can go to the Board of Variance.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 have no evidence from Mr. Nyffenegger about the consequences of flooding on his backyard post-March of 2008. I cannot find anything in my notes. Some of those pictures, numbers 48 to 50, show in January of 2009 some flooding occurring during a snow period, but for all I know that may be due to some freezing affecting the drainage. Without this evidence, I will not venture further.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With respect to Mr. Nyffenegger's claims against the City of Surrey, I find Mr. Orsetti acted properly and in good faith throughout. This is not a case where the acts of the City in my view have caused harm. Rather, at all times Mr. Orsetti sought to get the Chands to control the drainage and spillage issues caused by the loading of the property with close to a metre of soil over the backyard of Lot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It is one thing for Mr. Nyffenegger to put up with a new house being built next door, but what I could see was little regard by the Chands for the effect of the fill on the local drainage patterns. However, there was little in the evidence save the opinion of Mr. Day as to how the historical drainage pattern had been affected. I think it is a reasonable inference to find that the swamp that Mr. Chand became stuck in in 2006 when he was clearing off the bushes was the low point of the two lots. Further, I think it is reasonable to infer then that local rainfall would drift in that direction and the surface water would go into that swamp as Mr. Chand called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by-laws plainly allow one to put fill on one's property. Only if the fill exceeds a metre does the City really get involved with regulation. It is not the case here; at least, it is not established as to whether or what the fill level was. Some of the evidence shows 0.8 metres and maybe a metre, but that was not a careful measurement.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What the case law does allow is that a lower land owner may block an upper land owner's surface water coming onto his property; this issue is well settled in British Columbia. Among the more recent decisions is </w:t>
      </w:r>
      <w:r>
        <w:rPr>
          <w:rFonts w:ascii="arial" w:eastAsia="arial" w:hAnsi="arial" w:cs="arial"/>
          <w:i/>
          <w:color w:val="000000"/>
          <w:sz w:val="20"/>
          <w:lang w:val="en-US" w:eastAsia="en-US" w:bidi="ar-SA"/>
        </w:rPr>
        <w:t>Caplin et al. v. Gill et al.</w:t>
      </w:r>
      <w:r>
        <w:rPr>
          <w:rFonts w:ascii="arial" w:eastAsia="arial" w:hAnsi="arial" w:cs="arial"/>
          <w:color w:val="000000"/>
          <w:sz w:val="20"/>
          <w:lang w:val="en-US" w:eastAsia="en-US" w:bidi="ar-SA"/>
        </w:rPr>
        <w:t xml:space="preserve"> </w:t>
      </w:r>
      <w:hyperlink r:id="rId459" w:history="1">
        <w:r>
          <w:rPr>
            <w:rFonts w:ascii="arial" w:eastAsia="arial" w:hAnsi="arial" w:cs="arial"/>
            <w:i/>
            <w:color w:val="0077CC"/>
            <w:sz w:val="20"/>
            <w:u w:val="single"/>
            <w:shd w:val="clear" w:color="auto" w:fill="FFFFFF"/>
            <w:lang w:val="en-US" w:eastAsia="en-US" w:bidi="ar-SA"/>
          </w:rPr>
          <w:t>(1977), 84 D.L.R. (3d) 765</w:t>
        </w:r>
      </w:hyperlink>
      <w:r>
        <w:rPr>
          <w:rFonts w:ascii="arial" w:eastAsia="arial" w:hAnsi="arial" w:cs="arial"/>
          <w:color w:val="000000"/>
          <w:sz w:val="20"/>
          <w:lang w:val="en-US" w:eastAsia="en-US" w:bidi="ar-SA"/>
        </w:rPr>
        <w:t xml:space="preserve">, </w:t>
      </w:r>
      <w:hyperlink r:id="rId459" w:history="1">
        <w:r>
          <w:rPr>
            <w:rFonts w:ascii="arial" w:eastAsia="arial" w:hAnsi="arial" w:cs="arial"/>
            <w:i/>
            <w:color w:val="0077CC"/>
            <w:sz w:val="20"/>
            <w:u w:val="single"/>
            <w:shd w:val="clear" w:color="auto" w:fill="FFFFFF"/>
            <w:lang w:val="en-US" w:eastAsia="en-US" w:bidi="ar-SA"/>
          </w:rPr>
          <w:t>5 B.C.L.R. 115</w:t>
        </w:r>
      </w:hyperlink>
      <w:r>
        <w:rPr>
          <w:rFonts w:ascii="arial" w:eastAsia="arial" w:hAnsi="arial" w:cs="arial"/>
          <w:color w:val="000000"/>
          <w:sz w:val="20"/>
          <w:lang w:val="en-US" w:eastAsia="en-US" w:bidi="ar-SA"/>
        </w:rPr>
        <w:t xml:space="preserve"> (S.C.), but I doubt that the law was in the Chands' minds when they filled Lot 9 with the soil. Rather, their real concern was to fill the swamp and create a relatively level lot for the new house they were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Mr. Day's thesis - that the historical water movement went from Lot 8 across Lot 9, into a catch basin, and then by a drain under the right-of-way to 140th Street - has proven not to be the case. There is no connection to the storm sewer on 140th Street. Whatever that pipe is that is going some 27 metres along the right-of-way, it is only open at one end; at the east end, and it only seems at the present time to fill up with water from the ditch on the east end of Lot 9. What has happened then is that the surface water that may have gone from Lot 8 onto Lot 9 and into the "swamp" was stopped and was diverted to the east. The ditch there was ineffective and caused the backup. And I come back to the point that </w:t>
      </w:r>
      <w:r>
        <w:rPr>
          <w:rFonts w:ascii="arial" w:eastAsia="arial" w:hAnsi="arial" w:cs="arial"/>
          <w:i/>
          <w:color w:val="000000"/>
          <w:sz w:val="20"/>
          <w:lang w:val="en-US" w:eastAsia="en-US" w:bidi="ar-SA"/>
        </w:rPr>
        <w:t>Caplin et al. v. Gill et al.</w:t>
      </w:r>
      <w:r>
        <w:rPr>
          <w:rFonts w:ascii="arial" w:eastAsia="arial" w:hAnsi="arial" w:cs="arial"/>
          <w:color w:val="000000"/>
          <w:sz w:val="20"/>
          <w:lang w:val="en-US" w:eastAsia="en-US" w:bidi="ar-SA"/>
        </w:rPr>
        <w:t>, plainly says that the Chands are entitled in law to block the surface flow.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With respect to the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the plaintiff against the City, I will briefly say this with reference to para. 17 of the Statement of Claim. A lot of that claim is premised on the one metre guideline in the by-laws. However, the reliance on the site survey goes nowhere because the evidence seems to be that if anything, the fill is a little under a metre in height. The same goes for subparagraph 17(b) of the Statement of Claim. Also, I find subparagraph 17(c) not relevant. With respect to subparagraph 17(d), given the finding that there is no connection, that is not relevant; subparagraph 17(e) is the same. For subparagraph 17(f), there is no proof of the one metre. Subparagraph 17(g) alleges the soil is 1.2 metres high, but I am not satisfied that is proven. For subparagraph 17(h), the failure to remove soil is not relevant. Subparagraph 17(i) refers to City of Surrey, By-law No. 5880, </w:t>
      </w:r>
      <w:r>
        <w:rPr>
          <w:rFonts w:ascii="arial" w:eastAsia="arial" w:hAnsi="arial" w:cs="arial"/>
          <w:i/>
          <w:color w:val="000000"/>
          <w:sz w:val="20"/>
          <w:lang w:val="en-US" w:eastAsia="en-US" w:bidi="ar-SA"/>
        </w:rPr>
        <w:t>The Surrey Soil Removal and Depositing Regulation By-law, 1979, No. 5880</w:t>
      </w:r>
      <w:r>
        <w:rPr>
          <w:rFonts w:ascii="arial" w:eastAsia="arial" w:hAnsi="arial" w:cs="arial"/>
          <w:color w:val="000000"/>
          <w:sz w:val="20"/>
          <w:lang w:val="en-US" w:eastAsia="en-US" w:bidi="ar-SA"/>
        </w:rPr>
        <w:t xml:space="preserve"> (30 July 1979) and I find no evidence going to that issue. For subparagraph 17(j), By-law 5880 is the soil by-law that permits soil deposits to interfere with existing drainage patterns and cause flooding to adjacent property. Yet, again we get to s. 3(b), which exempts from regulation deposits of less than one metre. Again with subparagraph 17(k), that seems to be controlled by the soil by-law, By-law 5880, and I do not have evidence on that. Subparagraph 17(l) alleged that the City permitted the Chands to not comply with the November 21, 2007 letter of Mr. Orsetti. This was not a case of "permitting", rather I find Mr. Orsetti at all times tried to rectify the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effect, Mr. Nyffenegger is saying that the Chands' failure to control the drainage was due to their failure to comply with their own plans or the City by-laws, and that the city sewer pipe on the northeast corner should have been opened up. But that thinking was of course premised on the belief that the pipe connected to the 140th Street storm sewer, and that has proven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With respect to the retaining wall, I find the requirement for the engineer's certification had been waived properly, and as a fact I find the current retaining wall is stable and effective in keeping the run-off on Lot 9, and particularly the soil and water, from going onto Lot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Subparagraph 17(m) is a reference to the building inspector designating the property to have zero run-off. That was never done. I find the same for subparagraph 17(n): there was no evidence. Subparagraph 17(o) refers to the fence height, and I have already spoken about the lack of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In sum, the City, in my view, acted in good faith and without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There are other aspects of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Mr. Nyffenegger sought damages against the Chands for malicious prosecution. During the course of the trial and at a relatively early stage, I indicated this claim was not good in fact or law. It appears to have arisen in the Provincial Court proceedings where, having made his claim in that Court regarding the ponding issue in his backyard, the Chands cross-claimed for delay damages and lost profit on building the new house on Lot 9, and made allegations of substantial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counterclaim appears to be based on Mr. Nyffenegger quite legitimately complaining to the City and, while he made the complaints, they were not unreasonable. Work done by the City was, as they noted, far in excess of the ordinary building file. That was in my view due to the Chands not heeding Mr. Orsetti's recommendations, hints, and advice, and eventually that led to a stop work order. There is no basis for the counterclaim and, indeed, I asked counsel if there was one case giving rise to such a claim and was told there was none.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With respect then to Mr. Nyffenegger's claim for malicious prosecution, I note that is bad in law. Such a claim requires a criminal prosecution be wrongly or maliciously brought.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Thus, both Mr. Nyffenegger's claim for malicious prosecution and the cross-claim of the Chands for delay, damages and lost profit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A third party claim had been issued by the City against the Chands. That matter was adjourned. In fact, no response had been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The Chands did file a pleading seeking to evade the indemnity agreement that is printed on the building permit, but I did not have to give that any consideration. Nor, given my findings on the primary issue of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City, need I give any consideration to the other defences pleaded by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In sum then, I make these orders:</w:t>
      </w:r>
      <w:r>
        <w:rPr>
          <w:rFonts w:ascii="arial" w:eastAsia="arial" w:hAnsi="arial" w:cs="arial"/>
          <w:sz w:val="20"/>
          <w:lang w:val="en-US" w:eastAsia="en-US" w:bidi="ar-SA"/>
        </w:rPr>
        <w:cr/>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find Mr. Nyffenegger succeeds against the Chands and Pine Construction for the trespass in nuisance which I find occurred between 2006 and the early part of 2008. I fix those damages at $10,000. All of the other claims are dismissed.</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Nyffenegger is entitled to his costs and I would include in those costs as against the Chands and Pine Construction his survey costs and his out-of-pocket expenses in Small Claims Court.</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of Surrey is entitled to their costs as against Mr. Nyffenegger.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[SUBMISSIONS BY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COURT: With regard to the Chris James survey showing the trees were not in fact on the plaintiff's property, I will allow the Chands the costs of that survey.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 CRAWFORD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6" style="position:absolute;z-index:251781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0"/>
          <w:headerReference w:type="default" r:id="rId461"/>
          <w:footerReference w:type="even" r:id="rId462"/>
          <w:footerReference w:type="default" r:id="rId463"/>
          <w:headerReference w:type="first" r:id="rId464"/>
          <w:footerReference w:type="first" r:id="rId46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466" w:history="1">
        <w:r>
          <w:rPr>
            <w:rFonts w:ascii="arial" w:eastAsia="arial" w:hAnsi="arial" w:cs="arial"/>
            <w:b/>
            <w:bCs/>
            <w:i/>
            <w:color w:val="0077CC"/>
            <w:kern w:val="32"/>
            <w:sz w:val="28"/>
            <w:szCs w:val="32"/>
            <w:u w:val="single"/>
            <w:shd w:val="clear" w:color="auto" w:fill="FFFFFF"/>
            <w:lang w:val="en-US" w:eastAsia="en-US" w:bidi="ar-SA"/>
          </w:rPr>
          <w:t>Orr v. Faucher, [2005] B.C.J. No. 2044</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Morrison J.</w:t>
      </w:r>
    </w:p>
    <w:p>
      <w:pPr>
        <w:spacing w:before="120" w:line="260" w:lineRule="atLeast"/>
        <w:jc w:val="center"/>
        <w:rPr>
          <w:lang w:val="en-US" w:eastAsia="en-US" w:bidi="ar-SA"/>
        </w:rPr>
      </w:pPr>
      <w:r>
        <w:rPr>
          <w:rFonts w:ascii="arial" w:eastAsia="arial" w:hAnsi="arial" w:cs="arial"/>
          <w:color w:val="000000"/>
          <w:sz w:val="20"/>
          <w:lang w:val="en-US" w:eastAsia="en-US" w:bidi="ar-SA"/>
        </w:rPr>
        <w:t>Heard: April 28, 2005.</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September 27, 2005.</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M012398</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[2005] B.C.J. No. 2044</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2005 BCSC 1343</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142 A.C.W.S. (3d) 536</w:t>
      </w:r>
    </w:p>
    <w:p>
      <w:pPr>
        <w:spacing w:before="120" w:line="260" w:lineRule="atLeast"/>
        <w:rPr>
          <w:lang w:val="en-US" w:eastAsia="en-US" w:bidi="ar-SA"/>
        </w:rPr>
      </w:pPr>
      <w:r>
        <w:rPr>
          <w:rFonts w:ascii="arial" w:eastAsia="arial" w:hAnsi="arial" w:cs="arial"/>
          <w:color w:val="000000"/>
          <w:sz w:val="20"/>
          <w:lang w:val="en-US" w:eastAsia="en-US" w:bidi="ar-SA"/>
        </w:rPr>
        <w:t>Between Ian Campbell Orr, plaintiff, and Lucien Claude Faucher and Vancouver Tours and Transit, Limited,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(31 paras.)</w:t>
      </w:r>
    </w:p>
    <w:p>
      <w:pPr>
        <w:jc w:val="both"/>
        <w:rPr>
          <w:lang w:val="en-US" w:eastAsia="en-US" w:bidi="ar-SA"/>
        </w:rPr>
      </w:pPr>
      <w:bookmarkStart w:id="72" w:name="Counsel_20"/>
      <w:bookmarkEnd w:id="72"/>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97" style="position:absolute;z-index:25168076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Joe Battista</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Defendants: Dennis C. Quinlan</w:t>
      </w:r>
      <w:r>
        <w:rPr>
          <w:lang w:val="en-US" w:eastAsia="en-US" w:bidi="ar-SA"/>
        </w:rPr>
        <w:cr/>
      </w:r>
    </w:p>
    <w:p>
      <w:pPr>
        <w:spacing w:after="240"/>
        <w:rPr>
          <w:lang w:val="en-US" w:eastAsia="en-US" w:bidi="ar-SA"/>
        </w:rPr>
      </w:pPr>
      <w:bookmarkStart w:id="73" w:name="Judgment_20"/>
      <w:bookmarkEnd w:id="73"/>
      <w:r>
        <w:pict>
          <v:line id="_x0000_s1098" style="position:absolute;z-index:251731968"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74" w:name="MORRISON J."/>
            <w:bookmarkEnd w:id="74"/>
            <w:r>
              <w:rPr>
                <w:rFonts w:ascii="arial" w:eastAsia="arial" w:hAnsi="arial" w:cs="arial"/>
                <w:b/>
                <w:color w:val="000000"/>
                <w:sz w:val="30"/>
                <w:lang w:val="en-US" w:eastAsia="en-US" w:bidi="ar-SA"/>
              </w:rPr>
              <w:t>MORRISON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defendants by way of Rule 18A seek a determination on the issue of liability, and dismissal of the plaintiff's claim.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An accident occurred on June 3, 1999 in the 1000 block of West Georgia Street in Vancouver. The plaintiff was a pedestrian who was struck by a bus owned by the defendant Vancouver Tours and Transit, Limited, and operated by the defendant Lucien Claude Faucher.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claims that the bus that struck the plaintiff had an outside mirror on the right hand side of the bus that extended approximately 23 centimetres from the side of the bus.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accident occurred in front of a bus stop kiosk. A utility pole is near the bus stop.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evidence is that the plaintiff placed his backpack, also described as a sports bag, on the north side of the utility pole. As the plaintiff leaned over to pick up his bag, he was struck by the side mirror of the bus, and injuries resulted.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submits that the defendant Mr. Faucher saw the plaintiff in ample time to react appropriately, and to steer his bus away in order to avoid the bus hitting Mr. Orr. That the defendant Mr. Faucher did not take sufficient steps to avoid the accident in circumstances where he had ample time to do so, and as such, he was negligent in failing to prevent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defence applies for an order dismissing the action on the basis of no liability, or alternatively, that liability can be determined in accordance with the provisions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According to the defence, Mr. Orr was injured when he walked to the curb of a busy street during rush hour, and suddenly leaned over into the oncoming lane of traffic, where he was hit by the tour bus owned and operated by the defendants. That the matter occurred in a matter of a few seconds, and the plaintiff was solely to blame for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defendants contend Mr. Faucher was not speeding, that he was operating the bus in a prudent and careful manner, and when he saw the plaintiff walking toward the curb, he placed his foot over the brake and steered the bus to the left of the curb lane in which he was travelling. That it would not have been possible to swerve into another lane because of traffic. Mr. Faucher would have had no reason to expect the plaintiff to suddenly lean forward into the lane of traffic just as the bus was to pass by.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evidence includes affidavit evidence of Mr. Faucher and cross-examination on his affidavit, and also the affidavit evidence of Mr. Orr the plaintiff, and cross-examination on his affidavit. It also includes the affidavit evidence of Scott Ferris, and cross-examination of his affidavit.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Ferris can be described as an independent witness. At the time, he was a 44 year old school counsellor who was seated on a bench near the bus stop on the north side of West Georgia Street in the 1000 block. He was sitting in the middle of the bench with no one on either side, and was looking to his left in an easterly direction down Georgia Street, waiting for his bus to arrive.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Ferris deposed that traffic was quite heavy at the time, as it was rush hour. The westbound curb lane on West Georgia was reserved for buses only. The bench on which he was seated was approximately seven to ten feet from the metal utility pole.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His testimony is that while he was seated waiting for his bus, he noticed a tall thin man, whom he later came to know was the plaintiff. Mr. Ferris saw the plaintiff approach the pole, carrying a sports bag; the plaintiff leaned the bag against the east side of the pole, and then walked behind the bench where Mr. Ferris was seated.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Ferris continued to look eastward, looking for his bus. He noticed the tour bus which had stopped for a red light at the intersection of West Georgia and Burrard Street. He indicated he had a good view of the bus as it was the first vehicle in the westbound curb lane. When the intersection light turned green for westbound traffic, he noted the tour bus, which was the defendant's tour bus, proceed slowly through the intersection in the curb lane toward the bench where Mr. Ferris was seated. As the tour bus got very close to where he was sitting, he saw Mr. Orr "quickly walk in a southerly direction to the pole where he had left his bag. He bent forward to pick up the bag and in so doing leaned out into the curb lane by at least one foot."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According to Mr. Ferris, the bus at this point was immediately adjacent to the utility pole and as the plaintiff leaned into the curb lane, the left side of his head was hit by the side mirror of the bus. He saw the plaintiff fall to the edge of the sidewalk.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According to Mr. Ferris, the accident happened so quickly that he had no time to shout a warning to the plaintiff. The bus stopped immediately after making contact with Mr. Orr. According to Mr. Ferris, Mr. Orr was not thrown by the impact but he did fall next to the bus.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Ferris's estimate is that "no more than one second lapsed from the time he bent forward to pick up his bag and the actual impact of the bus."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June 18, Mr. Ferris gave a witness statement, in which he stated, "There was nothing the bus driver could have done to avoid this."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have also had an opportunity to go over the affidavit evidence and the cross-examination transcripts of Mr. Heinz Maassen, Mr. Faucher, and a letter from Kurt Ising, of MacInnis Engineering Associates.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For the plaintiff, there is the report of Harvey West of Baker Materials Engineering Ltd., as well as a transcript of the cross-examination of Mr. West. And finally the affidavit and transcript of cross-examination on the affidavit of Mr. Orr.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addition, a number of photographs have been placed into evidence showing the exact location of the road, curb and sidewalk in question, the utility pole and the bench on which Mr. Ferris was sitting.</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Conclusion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my view, the measurements and photographs confirm the independent evidence and some of the plaintiff's evidence as well. Mr. Maassen, who was the tour bus guide seated at the front of the bus, confirmed that Mr. Faucher was travelling throughout in a safe and cautious manner. It was Mr. Maassen's evidence that without warning the plaintiff suddenly bent down right in front of the bus. Upon hearing the thud, Mr. Maassen noted that the driver stopped the bus immediately. Throughout the time, the driver was not going fast.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 agree with the defence that there is no evidence to support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liability. In my view, the bus was being operated in a prudent and careful manner, and not in any way in a manner that could be described as negligent. The actions of the bus driver were reasonable and appropriate and cautious in the circumstances. The same cannot be said of the actions of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addition to sections 179 and 180 of the Motor Vehicle Act, defence counsel cited a number of authorities, including the following: Wang v. Horrod, </w:t>
      </w:r>
      <w:hyperlink r:id="rId467" w:history="1">
        <w:r>
          <w:rPr>
            <w:rFonts w:ascii="arial" w:eastAsia="arial" w:hAnsi="arial" w:cs="arial"/>
            <w:i/>
            <w:color w:val="0077CC"/>
            <w:sz w:val="20"/>
            <w:u w:val="single"/>
            <w:shd w:val="clear" w:color="auto" w:fill="FFFFFF"/>
            <w:lang w:val="en-US" w:eastAsia="en-US" w:bidi="ar-SA"/>
          </w:rPr>
          <w:t>[1998] B.C.J. No. 1288</w:t>
        </w:r>
      </w:hyperlink>
      <w:r>
        <w:rPr>
          <w:rFonts w:ascii="arial" w:eastAsia="arial" w:hAnsi="arial" w:cs="arial"/>
          <w:color w:val="000000"/>
          <w:sz w:val="20"/>
          <w:lang w:val="en-US" w:eastAsia="en-US" w:bidi="ar-SA"/>
        </w:rPr>
        <w:t xml:space="preserve"> (B.C.C.A.); Buksh v. Franco, </w:t>
      </w:r>
      <w:hyperlink r:id="rId468" w:history="1">
        <w:r>
          <w:rPr>
            <w:rFonts w:ascii="arial" w:eastAsia="arial" w:hAnsi="arial" w:cs="arial"/>
            <w:i/>
            <w:color w:val="0077CC"/>
            <w:sz w:val="20"/>
            <w:u w:val="single"/>
            <w:shd w:val="clear" w:color="auto" w:fill="FFFFFF"/>
            <w:lang w:val="en-US" w:eastAsia="en-US" w:bidi="ar-SA"/>
          </w:rPr>
          <w:t>[1995] B.C.J. No. 1331</w:t>
        </w:r>
      </w:hyperlink>
      <w:r>
        <w:rPr>
          <w:rFonts w:ascii="arial" w:eastAsia="arial" w:hAnsi="arial" w:cs="arial"/>
          <w:color w:val="000000"/>
          <w:sz w:val="20"/>
          <w:lang w:val="en-US" w:eastAsia="en-US" w:bidi="ar-SA"/>
        </w:rPr>
        <w:t xml:space="preserve"> (B.C.S.C.); Patterson v. Tosh, </w:t>
      </w:r>
      <w:hyperlink r:id="rId469" w:history="1">
        <w:r>
          <w:rPr>
            <w:rFonts w:ascii="arial" w:eastAsia="arial" w:hAnsi="arial" w:cs="arial"/>
            <w:i/>
            <w:color w:val="0077CC"/>
            <w:sz w:val="20"/>
            <w:u w:val="single"/>
            <w:shd w:val="clear" w:color="auto" w:fill="FFFFFF"/>
            <w:lang w:val="en-US" w:eastAsia="en-US" w:bidi="ar-SA"/>
          </w:rPr>
          <w:t>[1994] B.C.J. No. 2055</w:t>
        </w:r>
      </w:hyperlink>
      <w:r>
        <w:rPr>
          <w:rFonts w:ascii="arial" w:eastAsia="arial" w:hAnsi="arial" w:cs="arial"/>
          <w:color w:val="000000"/>
          <w:sz w:val="20"/>
          <w:lang w:val="en-US" w:eastAsia="en-US" w:bidi="ar-SA"/>
        </w:rPr>
        <w:t xml:space="preserve"> (B.C.S.C.); Tubbs v. O'Donovan, </w:t>
      </w:r>
      <w:hyperlink r:id="rId470" w:history="1">
        <w:r>
          <w:rPr>
            <w:rFonts w:ascii="arial" w:eastAsia="arial" w:hAnsi="arial" w:cs="arial"/>
            <w:i/>
            <w:color w:val="0077CC"/>
            <w:sz w:val="20"/>
            <w:u w:val="single"/>
            <w:shd w:val="clear" w:color="auto" w:fill="FFFFFF"/>
            <w:lang w:val="en-US" w:eastAsia="en-US" w:bidi="ar-SA"/>
          </w:rPr>
          <w:t>[1997] B.C.J. No. 1588</w:t>
        </w:r>
      </w:hyperlink>
      <w:r>
        <w:rPr>
          <w:rFonts w:ascii="arial" w:eastAsia="arial" w:hAnsi="arial" w:cs="arial"/>
          <w:color w:val="000000"/>
          <w:sz w:val="20"/>
          <w:lang w:val="en-US" w:eastAsia="en-US" w:bidi="ar-SA"/>
        </w:rPr>
        <w:t xml:space="preserve"> (B.C.C.A.); Down v. Schmidt, </w:t>
      </w:r>
      <w:hyperlink r:id="rId471" w:history="1">
        <w:r>
          <w:rPr>
            <w:rFonts w:ascii="arial" w:eastAsia="arial" w:hAnsi="arial" w:cs="arial"/>
            <w:i/>
            <w:color w:val="0077CC"/>
            <w:sz w:val="20"/>
            <w:u w:val="single"/>
            <w:shd w:val="clear" w:color="auto" w:fill="FFFFFF"/>
            <w:lang w:val="en-US" w:eastAsia="en-US" w:bidi="ar-SA"/>
          </w:rPr>
          <w:t>[1952] B.C.J. No. 28</w:t>
        </w:r>
      </w:hyperlink>
      <w:r>
        <w:rPr>
          <w:rFonts w:ascii="arial" w:eastAsia="arial" w:hAnsi="arial" w:cs="arial"/>
          <w:color w:val="000000"/>
          <w:sz w:val="20"/>
          <w:lang w:val="en-US" w:eastAsia="en-US" w:bidi="ar-SA"/>
        </w:rPr>
        <w:t xml:space="preserve"> (B.C.S.C.); and Gerbrandt v. Deleeuw, </w:t>
      </w:r>
      <w:hyperlink r:id="rId472" w:history="1">
        <w:r>
          <w:rPr>
            <w:rFonts w:ascii="arial" w:eastAsia="arial" w:hAnsi="arial" w:cs="arial"/>
            <w:i/>
            <w:color w:val="0077CC"/>
            <w:sz w:val="20"/>
            <w:u w:val="single"/>
            <w:shd w:val="clear" w:color="auto" w:fill="FFFFFF"/>
            <w:lang w:val="en-US" w:eastAsia="en-US" w:bidi="ar-SA"/>
          </w:rPr>
          <w:t>[1995] B.C.J. No. 1022</w:t>
        </w:r>
      </w:hyperlink>
      <w:r>
        <w:rPr>
          <w:rFonts w:ascii="arial" w:eastAsia="arial" w:hAnsi="arial" w:cs="arial"/>
          <w:color w:val="000000"/>
          <w:sz w:val="20"/>
          <w:lang w:val="en-US" w:eastAsia="en-US" w:bidi="ar-SA"/>
        </w:rPr>
        <w:t xml:space="preserve"> (B.C.S.C.).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Section 179 of the Motor Vehicle Act deals with the right of way between a vehicle and a pedestrian. However, as set out in the Buksh v. Franco case, quoting from the 1991 decision in Nelson v. Shinske </w:t>
      </w:r>
      <w:hyperlink r:id="rId473" w:history="1">
        <w:r>
          <w:rPr>
            <w:rFonts w:ascii="arial" w:eastAsia="arial" w:hAnsi="arial" w:cs="arial"/>
            <w:i/>
            <w:color w:val="0077CC"/>
            <w:sz w:val="20"/>
            <w:u w:val="single"/>
            <w:shd w:val="clear" w:color="auto" w:fill="FFFFFF"/>
            <w:lang w:val="en-US" w:eastAsia="en-US" w:bidi="ar-SA"/>
          </w:rPr>
          <w:t>(1991), 62 B.C.L.R. (2d) 302</w:t>
        </w:r>
      </w:hyperlink>
      <w:r>
        <w:rPr>
          <w:rFonts w:ascii="arial" w:eastAsia="arial" w:hAnsi="arial" w:cs="arial"/>
          <w:color w:val="000000"/>
          <w:sz w:val="20"/>
          <w:lang w:val="en-US" w:eastAsia="en-US" w:bidi="ar-SA"/>
        </w:rPr>
        <w:t>, "Users of the streets are entitled to proceed on the assumption that other users will observe traffic regulations". That case also set out that there is no obligation to maintain "special preparation for an unforseen emergency or a mere possibility." Section 179(2) of the Motor Vehicle Act provides that a pedestrian "must not leave a curb or other place of safety and walk or run into the path of a vehicle that is so close it is impracticable for the driver to yield the right of way.".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From all the evidence, it would appear that Mr. Ferris's observation was an accurate one, that the bus driver, Mr. Faucher, did not stand a chance.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Section 180 of the Motor Vehicle Act states briefly, "When a pedestrian is crossing a highway at a point not in a crosswalk, the pedestrian must yield the right of way to a vehicle." The plaintiff was not seeking to cross Georgia Street, but it would appear that when he bent down to pick up his bag, part of his upper body inadvertently extended into the curb lane of traffic and the accident occurred.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 am of the opinion Mr. Faucher took all reasonable precautions. He was not driving in any manner that could be said to be negligent. Whether he should or should not have sounded the horn, or whether indeed he had time to do so, does not amount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As set out in both Buksh and Tubbs, perfection under such instant circumstances is not expected or demanded. Rather, did the bus driver act in a manner that an ordinarily prudent man might reasonably be expected to do in such circumstances? In my view, he did.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Faucher did not create the sudden emergency, and he acted prudently and cautiously, given all the circumstances.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actions of the plaintiff not the defendants caused the accident. Given all the circumstances of this case, there can be no finding of liability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action is dismissed, with costs.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MORRISON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9" style="position:absolute;z-index:2517821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74"/>
          <w:headerReference w:type="default" r:id="rId475"/>
          <w:footerReference w:type="even" r:id="rId476"/>
          <w:footerReference w:type="default" r:id="rId477"/>
          <w:headerReference w:type="first" r:id="rId478"/>
          <w:footerReference w:type="first" r:id="rId47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80" w:history="1">
        <w:r>
          <w:rPr>
            <w:rFonts w:ascii="arial" w:eastAsia="arial" w:hAnsi="arial" w:cs="arial"/>
            <w:b/>
            <w:bCs/>
            <w:i/>
            <w:color w:val="0077CC"/>
            <w:kern w:val="32"/>
            <w:sz w:val="28"/>
            <w:szCs w:val="32"/>
            <w:u w:val="single"/>
            <w:shd w:val="clear" w:color="auto" w:fill="FFFFFF"/>
            <w:lang w:val="en-US" w:eastAsia="en-US" w:bidi="ar-SA"/>
          </w:rPr>
          <w:t>Pan v. Shihundu, [2014] B.C.J. No. 523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R.D. Punnett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2-5 and 9-10,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25,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M114153, M114475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523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504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Ming Ka Pan also known as Michael Pan, Plaintiff, and Maryam Shihundu, Daniel Shihundu, Defendants And between Ming Ka Pan also known as Michael Pan, Plaintiff, and Miriam Friedberg,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(174 paras.)</w:t>
      </w:r>
    </w:p>
    <w:p>
      <w:pPr>
        <w:jc w:val="both"/>
        <w:rPr>
          <w:rFonts w:ascii="arial" w:eastAsia="arial" w:hAnsi="arial" w:cs="arial"/>
          <w:sz w:val="20"/>
          <w:lang w:val="en-US" w:eastAsia="en-US" w:bidi="ar-SA"/>
        </w:rPr>
      </w:pPr>
      <w:bookmarkStart w:id="75" w:name="Counsel_21"/>
      <w:bookmarkEnd w:id="7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0" style="position:absolute;z-index:2516817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Claimant: A.J.R. Winstanley.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K.H. Hall.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6" w:name="Judgment_21"/>
      <w:bookmarkEnd w:id="76"/>
      <w:r>
        <w:pict>
          <v:line id="_x0000_s1101" style="position:absolute;z-index:25173299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7" w:name="R.D. PUNNETT J."/>
            <w:bookmarkEnd w:id="77"/>
            <w:r>
              <w:rPr>
                <w:rFonts w:ascii="arial" w:eastAsia="arial" w:hAnsi="arial" w:cs="arial"/>
                <w:b/>
                <w:color w:val="000000"/>
                <w:sz w:val="30"/>
                <w:lang w:val="en-US" w:eastAsia="en-US" w:bidi="ar-SA"/>
              </w:rPr>
              <w:t>R.D. PUNNETT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 claim for damages arising from two motor vehicle accidents. Liability for both accidents was admitted on the morning of trial. At issue are the injuries sustained by the plaintiff, the effect and extent of the plaintiff's pre-existing condition, the cause of his current injuries and what entitlement the plaintiff has to damages for non-pecuniary loss, future loss of earning capacity, future care costs, special damages and accelerated depreciation respecting his vehicle. No claim is advanced for 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first motor vehicle accident occurred on September 17, 2009 (the "First Accident"). The defendant Maryam Shihundu was driving southbound on No. 1 Road in Richmond, British Columbia when she failed to yield on a left turn. The plaintiff was in the curb lane of two northbound lanes on No. 1 Road when the defendant turned in front of him; he braked but collided with the right side front wheel area of the defendant's vehicle. He had been travelling at 50 to 55 km/h prior to braking. He described the impact as a "big bang". His laptop computer was in the car and it struck the front dashboard. He provided no description of his own movement in the car. His airbag did not activate. The plaintiff's vehicle, a 2004 BMW M3, sustained $18,421 in damages. Of that total, $12,690.21 was for parts and the remainder for labour and taxes.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second accident occurred on February 26, 2011 (the "Second Accident"). Both the plaintiff and the defendant Miriam Friedberg were driving southbound on No. 3 Road, again in Richmond with the plaintiff in the curb lane and Ms. Friedberg in the passing lane. It was snowing at the time and there was snow on the road. As a result all traffic was travelling around 30 km/h. The defendant's vehicle turned into the right lane at a sharp angle, pulling in front of the plaintiff, then hit the curb. The plaintiff braked, causing his car to skid into the back of defendant's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As with the 2009 accident the plaintiff did not describe the impact's effect on him while in the car and again, his airbag did not activate. Damage to his vehicle was $3,393.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No expert evidence was provided respecting the force of the impacts.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was born December 30, 1957. Prior to and at the time of both accidents he was employed as, and remains employed as, a construction manager and supervisor on residential construction projects, including detached homes, townhouses and apartments. The physical aspects of his job involve assisting with the unloading of building materials, using ladders to access two- and three-storey buildings under construction and cleaning up the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has been married for 20 years and has two children. His wife testified at trial regarding the impact of the accidents on the plaintiff's health and on their marriage.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Plaintiff's Pre-Accident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was involved in two motor vehicle accidents prior to those before the court. The first was in August 2000 and involved a low-speed collision in the parking lot at a shopping mall. Afterwards he saw his family physician, Dr. Kwok, with complaints of pain in his pelvis and hip. Dr. Kwok prescribed over-the-counter pain medication and sent the plaintiff for physiotherapy. The pain resolved after two to three weeks. He attended acupuncture treatment for tenderness in his left lower back for about a month. He testified that although the pain from that accident eased off, it never completely went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Sometime in 2005 he was involved in another motor vehicle accident. The plaintiff was making a left hand turn when a vehicle coming from the opposite direction hit the right side of his vehicle and spun it around. He stated that as a result he experienced pain in his right shoulder as well as pain in his pelvis and hip area similar to that arising from the 2000 accident. The records of Dr. Adam Chan, who was then his chiropractor, and Dr. Kwok, his family doctor, do not reveal any entries for injuries arising from that accident. He testified that he had treatment by a physiotherapist and a massage therapist, which he said helped, but he again testified that the pain in his pelvis and hip "never goes away". However, the bulk of the pain in the plaintiff's hip and shoulder had cleared up within three months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did not miss any time at work as a result of either the 2000 or 2005 accidents. No claims were or are advanced respecting those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testified that he continued to see Dr. Chan even after the initial difficulties arising out of these accidents cleared up because he required "maintenance" for recurring pain in his lower back. He said that the pain tended to flare up after lifting things at work, exercising at the gym, or even after a change in the weather. Dr. Chan's records show that he treated the plaintiff eight times in 2003, five times in 2004 and seven times in 2005 for lower back discomfort and some discomfort in his neck as well. There were no further treatments until December 2006. In 2006 the plaintiff made three visits to Dr. Chan. In 2007 he made a total of nine visits, all during the summer months, except one in December 2007. In 2008 he made three visits within a three-day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Dr. Chan's records reveal that he again treated the plaintiff in late summer of 2009 for lower back discomfort. There were eight such visits in August and September 2009, just prior to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the day of the First Accident the plaintiff had just left his massage therapist and was on his way to the gym when the accident occurred. After the accident he went home, retrieved another vehicle and went to the gym.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alleges that in the First Accident he sustained bruising to his right knee, low back stiffness and pain in his right shoulder. Several months later he noticed numbness in his the thumb and two fingers on his left hand. He testified that the pain in his right knee went away within two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testified that the numbness in his hand and fingers did not go away. He further stated that his problems with his lower back remained and his right shoulder was still painful at times. He said that as a result he was slower when doing housework and would divide up such tasks. The plaintiff made no mention of an injury to his neck or any impact such an injury might have had on his lifestyle.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After the accident he attended on Dr. Chan many times for treatment respecting his lower back, shoulder and neck. The plaintiff did not say that his neck treatments were related to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He did not miss any work as a result of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testified that the Second Accident caused all of the same injuries to flare up: specifically, his lower back, shoulder, pelvis and hip pain returned, and he experienced the numbness in his fingers more frequently. His knee was not affected by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Again the plaintiff made no mention of a neck injury arising from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first time he attended on Dr. Kwok after the Second Accident was in August 2011 for a heart-related condition. He agreed he did not mention the Second Accident to Dr. Kwok. Instead, he chose to attend on Dr. Chan, his chiropractor. His explanation for attending directly on Dr. Chan was that as in the past he had experienced more relief from chiropractic treatments than from the medications, physiotherapy and massage recommended by Dr. Kwok. From this I understood that Dr. Chan was his preferred or primary caregiver respecting matters such as back pain. On cross-examination he acknowledged that when he saw his cardiologist in September 2011 he advised him that he was exercising regularly, although he denied telling his cardiologist that he was exercising "vigorously".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He attended on his chiropractor, in his words, "many, many times", continuing until the end of 2012. When he was unable to reach Dr. Chan -- who may have been on vacation at the time -- he commenced seeing a new chiropractor, Dr. Dosanjh, in November 2012. He has continued to see Dr. Dosanjh every 10 days to two weeks for pain in his low back and shoulder at a cost of $45 per session. If he cannot see Dr. Dosanjh, he says the pain "kind of comes back". For the past five or six years he has also been receiving massage therapy once every two weeks at a cost of $30 per session. He feels much better after such treatment as it helps with his back pain. He continues to have numbness in his left thumb and first two fingers, although he did not indicate what if any issues the numbness causes for him. He also said that both knees become sore if he stands for a long time, but given that he only testified as to bruising of the right knee from the First Accident, it was not clear that this problem related to either of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said that none of the injuries have prevented him from working, but said that when he does heavy lifting at work his lower back pain returns. He does not think he can handle heavy lifting anymore and may have to hire someone in the future to do such work. He cannot rely on other workers on the site to do the required physical work as they are hired on a piecework basis and are not receptive to doing extra work in addition to that for which they are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His shoulder and back pain also interfere with his sleep and he is currently taking sleeping pills. Prior to the accidents he worked 10-12 hours a day but now is not confident he can handle that much work because of the physical exertion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Prior to the accidents the plaintiff liked to go to the gym to work out. He still goes to the gym regularly but after the First Accident reduced his weight lifting and did more stretching and cardiovascular exercise because of lower back and shoulder pain. After the Second Accident Dr. Chan gave him even more stretching exercises to do and he says that the stretching now takes more time. He used to go walking or hiking with his wife but states his knee becomes sore if they walk long distances so he and his wife no longer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Before the First Accident the plaintiff looked after the garden, cleaned the gutters and roof, did all of the vacuuming and mopped the floors. After the First Accident his ability to do the vacuuming and mopping of floors slowed down, so he now breaks the work up. As for his work outside in the garden, he has hired someone to do the more physical work, as he cannot control the power rake anymore and is no longer able to handle the lawn mowing and pruning of the trees. While he has continued to hire assistance for the yard work, he acknowledged on cross-examination that he can mow the lawn and do other yard work; it just takes longer than it did prior to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He presently takes a number of non-prescription drugs for muscle and lower back pain and uses muscle relaxation ointments and ice packs. On the advice of Dr. Chan he also purchased a belt to wrap around his pelvis.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cross-examination the plaintiff acknowledged that when he filled out the Insurance Corporation of British Columbia ("ICBC") claim form following the First Accident he indicated that he had lower back pain from the earlier accidents. He also agreed that his back pain prior to 2009 was also related to his job and his workouts at the gym. He acknowledged that in 2006 he had complained to Dr. Kwok about his low back pain and said that his lower back "always" gives him trouble "on and off". He acknowledged as well that when he began seeing Dr. Dosanjh in November 2012 he filled out an intake form in which he stated that he had been suffering from lower back pain for 10-plus years. He was also receiving chiropractic treatments prior to 2009 on what he called a "maintenance basis", which he indicated meant at least once a month, more if he experienced more pain. He also agreed that prior to the First Accident he attended the massage therapist one or two times a month.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Testimony of the Plaintiff's Wife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only lay witness called was the plaintiff's wife, Oi Ching Chan. She did not recall details of the 2000 or 2005 accidents. She testified on direct that the plaintiff commenced complaining of back problems in November 2009 and that she did not recall him making such complaints before that. She said that her husband's mood "was bad" after the 2009 accident and that he "was not very nice" to family members. She said he stopped doing the housework that he had been doing which had consisted of vacuuming, mopping the floor, cleaning the fish tank, dishwashing and moving heavy items. For a short period of time help was hired to assist her in household chores however no claim is advanced for that individual's services as it apparently followed Ms. Chan suffering a dislocation of her pelvis. She commented that after they hired that helper it relieved a lot of her stress and their relationship improved. She said that the plaintiff is still not doing household chores. She noted as well that long drives lead him to complain about pain in his back and his knee and that he no longer bends when dancing but holds his back straight due to pain in his knees.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With respect to the 2011 accident she was present in the vehicle. She said that her husband's health worsened and that he attended Dr. Chan and the massage therapist frequently. He regularly complained of not being happy. She said he no longer cleans the roof each year or does the garden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She made no mention that he suffered from any neck problems or numbness in his hand or arm. She said their marital relationship had suffered following the accidents but offered no details. It appears from her testimony that their relationship has subsequently improved.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Medical and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medical evidence consisted of:</w:t>
      </w:r>
      <w:r>
        <w:rPr>
          <w:rFonts w:ascii="arial" w:eastAsia="arial" w:hAnsi="arial" w:cs="arial"/>
          <w:sz w:val="20"/>
          <w:lang w:val="en-US" w:eastAsia="en-US" w:bidi="ar-SA"/>
        </w:rPr>
        <w:cr/>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Kwok, the plaintiff's family physician. He did not provide an expert opinion.</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Chan, the plaintiff's chiropractor from 2003 to 2012. He did not provide an expert opinion.</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Dosanjh, the plaintiff's chiropractor from November 21, 2012 until the present. Dr. Dosanjh provided no expert opinion.</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Parhar, a general practitioner with expertise in occupational medicine who provided two independent medical reports at the request of the plaintiff.</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Werry, an orthopaedic surgeon, who provided two independent medical reports at the request of the defendants.</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Attariwala, a radiologist who provided no expert opinion.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Evidentiary Rulings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 number of preliminary issues arose with regards to the medical evidence, each of which required a ruling during the course of trial. I summarize those issues and my reasons below.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Issue re Magnetic Resonance Imaging ("MRI") Results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sought to call Dr. Attariwala, the radiologist, to give a factual narrative of the steps taken in administering the MRIs and the observations made, including identifying for the court the anatomical features shown on the image, on the basis that such is not expert evidence. The defendant submitted it was expert opinion evidence and that as no notice was given it should be excluded.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Anderson v. Dwyer</w:t>
      </w:r>
      <w:r>
        <w:rPr>
          <w:rFonts w:ascii="arial" w:eastAsia="arial" w:hAnsi="arial" w:cs="arial"/>
          <w:color w:val="000000"/>
          <w:sz w:val="20"/>
          <w:lang w:val="en-US" w:eastAsia="en-US" w:bidi="ar-SA"/>
        </w:rPr>
        <w:t xml:space="preserve">, </w:t>
      </w:r>
      <w:hyperlink r:id="rId481" w:history="1">
        <w:r>
          <w:rPr>
            <w:rFonts w:ascii="arial" w:eastAsia="arial" w:hAnsi="arial" w:cs="arial"/>
            <w:i/>
            <w:color w:val="0077CC"/>
            <w:sz w:val="20"/>
            <w:u w:val="single"/>
            <w:shd w:val="clear" w:color="auto" w:fill="FFFFFF"/>
            <w:lang w:val="en-US" w:eastAsia="en-US" w:bidi="ar-SA"/>
          </w:rPr>
          <w:t>2009 BCSC 1872</w:t>
        </w:r>
      </w:hyperlink>
      <w:r>
        <w:rPr>
          <w:rFonts w:ascii="arial" w:eastAsia="arial" w:hAnsi="arial" w:cs="arial"/>
          <w:color w:val="000000"/>
          <w:sz w:val="20"/>
          <w:lang w:val="en-US" w:eastAsia="en-US" w:bidi="ar-SA"/>
        </w:rPr>
        <w:t>, the plaintiff sought to call her chiropractor to testify with respect to the contents of the X-rays he had taken. The defendant objected, claiming that the chiropractor's testimony would qualify as expert evidence and notice had not been given. The court described the distinction between factual evidence and expert opinion requiring notice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 This distinction is a very meaningful one in this case. Any evidence by Dr. Wooden seeking to offer an opinion about the plaintiff's injuries, such as the inferences to be drawn from the observations in the x-rays or with respect to the cause or mechanism of the injury, would be prohibited because of the plaintiff's failure to comply with Rule 40A. However, the witness's factual narrative of the actions he took and the observations he made, including describing without interpretation, the anatomical features he observed in the x-rays does not amount to offering an opinion and does not offend the Rule. The fact that he brings special training or experience to bear in having taken those actions and made those observations is not determinative. It is whether he draws inferences or offers opinion beyond what the actual evidence itself is capable of revealing.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 In this regard, I consider this kind of factual evidence to be analogous to those matters described by Madam Justice Garson as being "more in the nature of observations" as opposed to inferences having complex interpretive or diagnostic components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On this basis, I ordered that Dr. Attariwala could testify in a purely factual manner about the MRIs that he performed and could describe, without drawing any inferences or offering any opinion, the anatomical features illustrated in the MRI imaging results.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Issue of Plaintiff Expert "Rebuttal"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defendants objected to the admission of Dr. Parhar's report dated October 15, 2013, submitting that it was not a proper rebuttal report because it contained new evidence. The defendants noted that instead of limiting his comments to issues raised by Dr. Werry, Dr. Parhar included commentary and opinion on the MRI results in his report. As such, they say his report was not proper rebuttal. It was delivered only 42 days prior to trial and as a result was well out of time for the service of an expert report. Notwithstanding that objection, the defendants were able to obtain a rebuttal report from Dr. Werry prior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Rule 11-6(4)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permits a party to tender a responding report within 42 days of trial, rather than within 84 days, as is generally required for the service of an initial report. The rule is "intended to apply only to evidence that is truly responsive or in rebuttal to specific opinion evidence tendered by the opposite party. It is not intended to provide defendants with a general exemption from the basic time limit for serving expert reports" (</w:t>
      </w:r>
      <w:r>
        <w:rPr>
          <w:rFonts w:ascii="arial" w:eastAsia="arial" w:hAnsi="arial" w:cs="arial"/>
          <w:i/>
          <w:color w:val="000000"/>
          <w:sz w:val="20"/>
          <w:lang w:val="en-US" w:eastAsia="en-US" w:bidi="ar-SA"/>
        </w:rPr>
        <w:t>Crane v. Lee</w:t>
      </w:r>
      <w:r>
        <w:rPr>
          <w:rFonts w:ascii="arial" w:eastAsia="arial" w:hAnsi="arial" w:cs="arial"/>
          <w:color w:val="000000"/>
          <w:sz w:val="20"/>
          <w:lang w:val="en-US" w:eastAsia="en-US" w:bidi="ar-SA"/>
        </w:rPr>
        <w:t xml:space="preserve">, </w:t>
      </w:r>
      <w:hyperlink r:id="rId482" w:history="1">
        <w:r>
          <w:rPr>
            <w:rFonts w:ascii="arial" w:eastAsia="arial" w:hAnsi="arial" w:cs="arial"/>
            <w:i/>
            <w:color w:val="0077CC"/>
            <w:sz w:val="20"/>
            <w:u w:val="single"/>
            <w:shd w:val="clear" w:color="auto" w:fill="FFFFFF"/>
            <w:lang w:val="en-US" w:eastAsia="en-US" w:bidi="ar-SA"/>
          </w:rPr>
          <w:t>2011 BCSC 898</w:t>
        </w:r>
      </w:hyperlink>
      <w:r>
        <w:rPr>
          <w:rFonts w:ascii="arial" w:eastAsia="arial" w:hAnsi="arial" w:cs="arial"/>
          <w:color w:val="000000"/>
          <w:sz w:val="20"/>
          <w:lang w:val="en-US" w:eastAsia="en-US" w:bidi="ar-SA"/>
        </w:rPr>
        <w:t xml:space="preserve"> at para.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portions of Dr. Parhar's report that were not rebuttal arose as a result of the MRI results that became available on September 4, 2013. They were not available at the time Dr. Parhar prepared his original report nor were they available at the time Dr. Werry provided his August 15, 2013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this instance the defendants were able to obtain a further report from Dr. Werry responding to Dr. Parhar's second report. Had they not been able to do so Dr. Parhar's report would have been inadmissible, at least in so far as it was not truly responsive to Dr. Werry's report (a debatable point given the references to the MRI results throughout). Any potential prejudice to the defendants was therefore negated. As a result it was not unfair to permit the report to be received nor did an issue of ambush arise.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concluded as a result, that while the report was not limited to rebuttal opinion, it was nevertheless admissible in the circumstances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further rebuttal report of Dr. Werry dated November 29, 2013 was also admissible with direct examination of Dr. Werry to be restricted to clarifying terminology or otherwise making his report more understandable.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Kwok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Kwok was called to explain his clinical records. He confirmed that he had treated the plaintiff for back pain after the 2000 motor vehicle accident. He noted specifically that the plaintiff complained of mild paraspinal muscle tenderness and a resulting inability to perform heavy work. Thereafter his records do not disclose any attendances by the plaintiff respecting his lower back complaints other than a May 2001 reference to massage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Dr. Kwok had no record of any post-2005 motor vehicle accident complaints. There was mention of right arm numbness but nothing in his notes linking it to an accident and an October 2006 mention of lower back pain but that did not appear to be related to a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After the First Accident Dr. Kwok noted that the plaintiff was experiencing right shoulder pain, right buttock pain, had bruising to his right medial knee, a tender scapula muscle and a tender upper back. There was no mention of neck pain. He prescribed Tylenol. In December 2009 he reported to ICBC on a medical report form known as a CL-19 that the plaintiff's right shoulder was now normal, the knee was 60% better, the interscapular muscle was 20% better and the buttock pain -- which he clarified in his testimony referred to the plaintiff's right lower back -- was 40% better. He noted as well that the plaintiff had informed him he had had 30 chiropractic treatments. He had not prescribed them. Dr. Kwok had no records relating to the Second Accident. He did have a record from January 2010 indicating that the plaintiff was experiencing numbness in his left fingers, but there was no indication that this was connected to a motor vehicle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Chan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Dr. Chan was called to explain his notes, both because they were illegible to anyone but himself and because he used various symbols, the meaning of which were known only to him. He first treated the plaintiff in 2003 for low back discomfort and noted a complaint of pain radiating to his right hip in the buttock region and that such symptoms increased with walking. He recorded approximately 30 further treatments between 2003 and 2009, all dealing with lower back discomfort and some neck discomfort. He had no note of a 2005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Dr. Chan's records state that the August and September 2009 treatments were for lower back discomfort and that by September 8, 2009 the plaintiff's condition had improved. After the First Accident the plaintiff complained to him respecting bruising to his knee, right shoulder pain and right thigh pain. Treatment included work on his thoracic and cervical spine. Thereafter the majority of treatments indicate lower back and neck complaints, with the majority focused on the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After the Second Accident he noted the plaintiff complained of radiating leg pain and pain between his shoulder blades and in his lower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He prepared a medical report for ICBC dated March 12, 2011, in which he reported that the plaintiff had a low back problem aggravated by the First Accident in 2009 and that the Second Accident had re-aggravated the previous injury. He noted that the symptoms would not interfere with the plaintiff's normal activities, although he was to avoid strenuous lifting and prolonged bending. In a progress report dated October 8, 2011, he noted again that the plaintiff had a low back problem before the Second Accident and concluded that the plaintiff's condition was "good" and that his symptoms had subsided and he had been symptom free for a while. Dr. Chan also indicated that the plaintiff's continuing slight limitation respecting rotation and lateral bending was the result of the plaintiff's pre-existing condition prior to the 2009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Parhar and Dr. Werry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Plaintiff's counsel retained Dr. Parhar to provide an independent medical legal report respecting the injuries suffered by the plaintiff in the 2009 and 2011 accidents. Dr. Parhar is a general practitioner and is the medical director of CORE Occupational Healthcare Centre where he provides consultation services to assist in the rehabilitation of injured or ill workers. He provided two reports, the first dated March 1, 2012, relating to an assessment conducted on February 21, 2012, and the second dated October 15, 2013, allegedly pursuant to Rule 11-6(4), responding to a report from Dr. Werry who conducted an independent medical examination at the request of the defendants. I say allegedly because in fact the October 15, 2013 report was, as mentioned, more than simply a responsive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his first report Dr. Parhar states that he based his opinion on the following facts and assumptions:</w:t>
      </w:r>
      <w:r>
        <w:rPr>
          <w:rFonts w:ascii="arial" w:eastAsia="arial" w:hAnsi="arial" w:cs="arial"/>
          <w:sz w:val="20"/>
          <w:lang w:val="en-US" w:eastAsia="en-US" w:bidi="ar-SA"/>
        </w:rPr>
        <w:cr/>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assume to be true what Mr. Michael (Ming Ka) Pan has told me with respect to his symptoms, the impact of his symptoms on his functioning ability, and his response to various treatment modalities.</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 relied [on] and assumed to be true, [the] medical reports, clinical records and x-ray reports as outlined in the section entitled Medical Imaging, Investigations, and Consultations.</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 also assumed to be true, my own test of physical examination and observations of Mr. Michael (Ming Ka) Pan.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Consistent with these assumptions he accepted, based on what the plaintiff told him, that the plaintiff had "almost completely resolved, but not 100% from" the 2000 and 2005 accidents and that prior to 2009 "he was still attending chiropractic treatments three to five times per year for occasional back pain." Further, Dr. Parhar accepted that "[p]rior to the motor vehicle collision of September 17, 2009, Michael did have some back pain, but it was of a much less severity and did not require treatment as was required after the motor vehicle collision of September 17, 2009 and February 26,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He said that his review of Dr. Chan's records from February 21, 2003 to August 26, 2010 showed that while the plaintiff had attended for chiropractic treatments prior to the accidents, "it is clear that there are considerably more visits since the motor vehicle collision of September 17, 2009 than occurred previously."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As I noted earlier the vast majority of such post-September 17, 2009 visits related to treatments of the patient's cervical spine (in other words, his neck). However, since the chiropractic notes were illegible it is understandable that Dr. Parhar could only elicit from them that the visits occurred, not the treatment details.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He opined in his report of March 1, 2012: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also well documented that Michael was attending a chiropractor prior to the first motor vehicle collision of September 17, 2009. I am of the opinion that he likely did have some mild residual lower back discomfort, possibly related to prior motor vehicle collisions, that he reports to have occurred in 2000 and 2005. I am of the firm opinion that this prior lower back "ache" was very minimal. Although he did visit the chiropractor, it was for what he and his chiropractor were considering to be "maintenance treatments." Certainly any musculoligamentous condition affecting his lower back was significantly worsened in the motor vehicle collisions of September 17, 2009 and February 26,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However, as discussed above, Dr. Chan testified that his records reveal that the plaintiff attended on him a few times in 2007 and 2008 but in August 2009 and early September 2009, just prior to the MVA on September 17, 2009, the plaintiff attended on him eight times. Those treatments related to the plaintiff's lumbar spine, thoracic spine and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When asked about those increased visits in August 2009 the plaintiff stated that the eight chiropractic treatments he received in the weeks prior to the accident and the prescription from Dr. Kwok in August 2009 for Celebrex indicates that his back pain must have been "really bad". He also stated that after treatment by Dr. Chan he was "still not good" hence the visit to the massage therapist on the day of the accident. There was no evidence respecting what precipitated these visits.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plaintiff had also been receiving massage one or two times a month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response to Dr. Parhar's report the defendants produced a report from Dr. Werry, dated August 15, 2013. Dr. Werry is an experienced orthopaedic surgeon. Since 2002 he has concentrated on joint replacement, specifically relating to the hip, knee and shoulder. He acknowledged that he would not normally accept referrals for cervical pain nor has he done surgery on cervical and lumbar spine since his residency. He acknowledged that it was his practice to discuss any imaging done with the radiologist.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No radiological imaging results were provided to Dr. Werry with respect to his first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Dr. Werry was of the opinion that the low back injury was probably a soft tissue injury consisting of muscle strain and ligamentous sprain. He found it unlikely that the plaintiff had suffered any neck injury because he found no mention of such in Dr. Kwok's notes or in Dr. Chan's records. The latter was because, as mentioned earlier, the records of Dr. Chan were illegible to anyone other than Dr. Chan. Unfortunately no readable copy of Dr. Chan's notes had been provided to Dr. Werry. However, given that the plaintiff did not raise in his evidence any complaints respecting his neck, no evidence of a cervical spine injury is before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Dr. Werry concluded that the plaintiff's low back discomfort and stiffness would be best managed through a self-directed regular exercise program designed and initially supervised by an exercise-oriented physiotherapist or kinesiologist.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Subsequently plaintiff's counsel arranged on September 4, 2013, for Dr. Attariwala of AIM Medical Imaging to perform an MRI of the plaintiff's spine. Dr. Parhar was then provided with Dr. Werry's report and the results of that MRI.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This prompted a further report from Dr. Parhar dated October 15, 2013. Dr. Parhar noted that Dr. Werry did not have the benefit of X-rays or the MRI findings when he prepared his report. He disagreed with Dr. Werry's opinion that the plaintiff would likely not require injections or surgery for his injuries. While in his view, the issues identified on the MRI with the lumbar spine (back) "may not be amenable to any surgical procedure" the MRI of the cervical spine (neck) suggested a possible need for future surgical intervention. He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at the current time, Michael does not have symptoms suggestive of neurological compromise, should these findings on MRI, both on the cervical spine and lumbar spine, progress to the point of neurological compromise, then an assessment with a spinal surgeon, such as a neurosurgeon, to explore treatment options such as injections and/or spinal surgery, should be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Dr. Parhar also gave his opinion that the multilevel spondylotic changes to the lumbar spine shown in the MRI "represent osteoarthritis of the lumbar spine, which pre-existed the motor vehicle collision of September 17, 2009. It is further likely that this pre-existing osteoarthritis condition was aggravated and thus, made symptomatic by the forces exerted on the lumbar spine in the motor vehicle collision of September 17, 2009." In his view, it was not clear whether an annular tear in the lumbar spine pre-existed or was caused by the First Accident, but he said that the Second Accident "clearly caused this annular tear at L2-3 to become symptomatic."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With regards to the MRI evidence, Dr. Parhar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most significant revision to my prognosis for Michael's injuries [upon reviewing the additional information] would be that which addresses the cervical spine and lumbar spine conditions. Clearly, the </w:t>
      </w:r>
      <w:r>
        <w:rPr>
          <w:rFonts w:ascii="arial" w:eastAsia="arial" w:hAnsi="arial" w:cs="arial"/>
          <w:b/>
          <w:color w:val="000000"/>
          <w:sz w:val="20"/>
          <w:lang w:val="en-US" w:eastAsia="en-US" w:bidi="ar-SA"/>
        </w:rPr>
        <w:t>osteoarthritis (degenerative arthritis) conditions</w:t>
      </w:r>
      <w:r>
        <w:rPr>
          <w:rFonts w:ascii="arial" w:eastAsia="arial" w:hAnsi="arial" w:cs="arial"/>
          <w:color w:val="000000"/>
          <w:sz w:val="20"/>
          <w:lang w:val="en-US" w:eastAsia="en-US" w:bidi="ar-SA"/>
        </w:rPr>
        <w:t xml:space="preserve"> as identified on the MRI imaging of September 4, 2013, indicate very significant multilevel spondylotic changes throughout the lumbar spine, with an annular tear at L2-L3. As already noted, the spondylotic or osteoarthritis condition, likely pre-existed the motor vehicle collision of September 17, 2009, but was aggravated by this motor vehicle collision. Unfortunately the normal course of osteoarthritis is that once it has been activated, it does tend to worsen as the patient ages and as more time elapses. Thus, my prognosis for Michael's lower back or lumbar spine condition is that I would expect it to worsen in the coming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Dr. Werry then issued a final report of November 29, 2013, responding to Dr. Parhar's second report, in which he also commented on the MRI results. Having reviewed the radiologist's findings, he concludes that "[t]he lumbar spine MRI scan findings represent mild degenerative changes which are common and frequently asymptomatic in the general population of mid age." In his view, the annular tear noted in Dr. Parhar's report "is a small degenerative defect which is part of the other degenerative changes which have occurred in the disc ... I would agree with the radiologist that the posterior disc bulge is very small ...". He gave the opinion that the MRI did not show changes consistent with low back pain, noting in particular that there was no sign of significant collapse and narrowing of the discs, significant disruption of the structure of the annulus, degenerative facet joints, or nerve roots pinched by disc material. He disagreed with Dr. Parhar's conclusion that the changes in the lumbar spine were "very significant," stating that the degenerative changes seen on the scan "are relatively mild and are commonly found in the general population of middle age, and are frequently asymptomatic. As I noted above, disc height is well maintained and the facet joints are free of any degenerative change except for one level where there was mild hypertrophy of the facets."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Dr. Werry's view, neither accident caused anatomic damage to the plaintiff's spinal column, as trauma "severe enough to produce actual damage to discs, joints, bones, or ligaments would produce severe incapacitating pain sufficient to render the injured person immobile." He concluded that the plaintiff's low back symptoms after the accidents were "typical for soft tissue injury."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Submissions Respecting Expert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plaintiff submits that Dr. Werry's reports do not provide a basis for a finding that there was a pre-existing basis for complaints of cervical or thoracic pain prior to the First Accident. That is, the plaintiff says Dr. Werry has simply relied on the complaints of the plaintiff and there is no medical evidence upon which to base his opinion of causation relating to such complaints. The same criticism is raised with respect to Dr. Werry's comment that the low back pain was aggravated by an MVA in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defendants submit that Dr. Parhar's reports are substantially inadmissible, firstly because he failed to consider discrepancies arising between the clinical records and what the plaintiff told him and secondly because he relied on complaints from the plaintiff that were not mentioned by the plaintiff in his evidence. They also submit that Dr. Parhar came across as an advocate.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Dr. Parhar agreed in cross-examination that if what the plaintiff told him was incorrect or untrue his opinion might change. He testified that he does not see it as his role to look for discrepancies between clinical records and information provided by the patient when preparing a medical legal report. Certainly in this case Dr. Parhar did not consider the clinical records provided when assessing the plaintiff in the sense of considering such records and their contents as compared to the evidence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As noted by Mr. Justice McEwan in </w:t>
      </w:r>
      <w:r>
        <w:rPr>
          <w:rFonts w:ascii="arial" w:eastAsia="arial" w:hAnsi="arial" w:cs="arial"/>
          <w:i/>
          <w:color w:val="000000"/>
          <w:sz w:val="20"/>
          <w:lang w:val="en-US" w:eastAsia="en-US" w:bidi="ar-SA"/>
        </w:rPr>
        <w:t>Fan v. Chana</w:t>
      </w:r>
      <w:r>
        <w:rPr>
          <w:rFonts w:ascii="arial" w:eastAsia="arial" w:hAnsi="arial" w:cs="arial"/>
          <w:color w:val="000000"/>
          <w:sz w:val="20"/>
          <w:lang w:val="en-US" w:eastAsia="en-US" w:bidi="ar-SA"/>
        </w:rPr>
        <w:t xml:space="preserve">, </w:t>
      </w:r>
      <w:hyperlink r:id="rId159" w:history="1">
        <w:r>
          <w:rPr>
            <w:rFonts w:ascii="arial" w:eastAsia="arial" w:hAnsi="arial" w:cs="arial"/>
            <w:i/>
            <w:color w:val="0077CC"/>
            <w:sz w:val="20"/>
            <w:u w:val="single"/>
            <w:shd w:val="clear" w:color="auto" w:fill="FFFFFF"/>
            <w:lang w:val="en-US" w:eastAsia="en-US" w:bidi="ar-SA"/>
          </w:rPr>
          <w:t>2009 BCSC 1127</w:t>
        </w:r>
      </w:hyperlink>
      <w:r>
        <w:rPr>
          <w:rFonts w:ascii="arial" w:eastAsia="arial" w:hAnsi="arial" w:cs="arial"/>
          <w:color w:val="000000"/>
          <w:sz w:val="20"/>
          <w:lang w:val="en-US" w:eastAsia="en-US" w:bidi="ar-SA"/>
        </w:rPr>
        <w:t>, at para. 73: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[73] ... As courts have observed on any number of occasions, the approach taken by medical professionals is not forensic: they assume that the patient is accurately reporting to them and then set about a diagnosis that plausibly fits the pattern of the complaint. In the absence of objective signs of injury, the court's reliance on the medical profession must, however, proceed from the facts </w:t>
      </w:r>
      <w:r>
        <w:rPr>
          <w:rFonts w:ascii="arial" w:eastAsia="arial" w:hAnsi="arial" w:cs="arial"/>
          <w:i/>
          <w:color w:val="000000"/>
          <w:sz w:val="20"/>
          <w:lang w:val="en-US" w:eastAsia="en-US" w:bidi="ar-SA"/>
        </w:rPr>
        <w:t>it</w:t>
      </w:r>
      <w:r>
        <w:rPr>
          <w:rFonts w:ascii="arial" w:eastAsia="arial" w:hAnsi="arial" w:cs="arial"/>
          <w:color w:val="000000"/>
          <w:sz w:val="20"/>
          <w:lang w:val="en-US" w:eastAsia="en-US" w:bidi="ar-SA"/>
        </w:rPr>
        <w:t xml:space="preserve"> finds, and must seek congruence between those facts and the advice offered by the medical witnesses as to the possible medical consequences and the potential duration of the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Dr. Parhar took the plaintiff at his word when he said he was attending chiropractic treatment three to five times per year for occasional back pain prior to the First Accident. Despite having the chiropractic records, Dr. Parhar made no mention of the increased treatments in the weeks leading up to the First Accident. He conceded at trial that an increase in the frequency of such treatment could indicate something more than "maintenance" was occurring. He also failed to note Dr. Chan's discharge report of October 11, 2011, in which Dr. Chan recorded that the plaintiff had returned to his pre-2009 accident condition and had been symptom free for "awhile".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acceptance of what the plaintiff told him without considering contrary or qualifying information in the clinical records, particularly with respect to the issue of pre-existing symptomatic lower back problems, undermines his conclusions that the plaintiff's symptoms arose due to the accident. I am not satisfied that the symptoms complained of were asymptomatic at the time of the 2009 accident in light of the evidence of the plaintiff and the chiropractic visits immediately prior to the accident in 2009. In addition his assumption that the number of post-2009 accident visits to the chiropractor indicated the accident's impact on the plaintiff's lower back is undermined by the illegible chiropractic records, which as explained by Dr. Chan were predominantly for treatment of the plaintiff's neck, an injury not mentioned by the plaintiff in his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When Dr. Chan's discharge report of October 11, 2011, was put to Dr. Parhar he argued that conditions can wax and wane and that perhaps the plaintiff was only symptom-free that particular day. In doing so, and in ignoring Dr. Chan's note that the plaintiff had been symptom free for "awhile", the appearance of advocacy arises. In addition, in his March 1, 2012 report Dr. Parhar stated that the plaintiff "drinks only socially". On cross-examination, however, when asked if he was aware that the plaintiff's cardiologist described the plaintiff's drinking as "excessive" (noting seven beers and one bottle of red wine four days per week), Dr. Parhar admitted he was not aware of that but advocated for the plaintiff by stating that such drinking could be considered social if imbibing with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In reaching his prognosis Dr. Parhar relies on complaints of ongoing neck pain. Given the plaintiff did not testify to such pain, the evidentiary basis for Dr. Parhar's reliance on complaints of ongoing neck pain is absent. Those portions of his report that address a claim of cervical or neck pain are therefore irrelevant.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When Dr. Parhar addressed the MRI imaging results in his October 15 report he opined that the spondylotic or osteoarthritis (degenerative arthritis) conditions identified on the MRI imaging of the plaintiff's lumbar and cervical spine on September 4, 2013 likely pre-existed the motor vehicle collision of September 17, 2009, but were asymptomatic until aggravated by this motor vehicle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am satisfied that Dr. Parhar was mistaken in finding that the plaintiff was asymptomatic before the 2009 Accident. I find that the plaintiff was suffering from symptomatic lower back pain at the time of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addition, in providing his report of October 15, 2013 Dr. Parhar had not seen the plaintiff since February 2012 nor had he been provided with clinical records past October 8,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As a result the weight to be given to the admissible portions of the reports of Dr. Parhar and his conclusions are accordingly diminished. I cannot accept his conclusion that all of the plaintiff's symptoms are due to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his opinion dated August 15, 2013, Dr. Werry noted that when the plaintiff changed chiropractors in November 2012 he stated on the registration form under major complaints "lower back sore/pain-chronic pain (10+ years)". His examination showed full range of motion in the plaintiff's neck, upper, and low back with no pain. His diagnosis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Pan had experienced low back pain following an MVA in approximately 2000, aggravated by an MVA in 2005, and by prolonged driving prior to his September 2009 MVA.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nature of Mr. Pan's low back injury was probably soft tissue injury consisting of muscle strain and ligamentous sprain. He had no neurologic symptoms.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Pan had right shoulder pain. The documentation does not allow a retrospective diagnosis of right shoulder injury. Mr. Pan's current right shoulder examination is normal.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Pan recalled injury to his left knee. The family physician record documented a bruise over the right knee. Mr. Pan sustained contusion to the right knee. His current knee symptoms include a sensation of weakness in the left and right knees after prolonged standing. His current knee physical examination is normal and does not provide a diagnosis for his current knee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Given there is no evidence of a neck injury and its effects, the differing views of Dr. Parhar and Dr. Werry respecting the MRI interpretation are only relevant respecting the lower back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Dr. Werry in his August 15, 2013 report under the heading "Facts and Assumptions" stated:</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Pan recalled 2 motor vehicle accidents (MVA) prior to the September 17, 2009 MVA. Following an MVA in 2000 he experienced some low back pain and had chiropractic treatment for this. He had a second MVA in 2005 which also caused or aggravated low back pain. From 2005 he had experienced low back pain with prolonged driving.</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Pan had seen Dr. A. Chan, chiropractor, periodically from February 2003. Dr. Chan's records recorded 6 treatments in August 2009 and 2 in September 2009, prior to the September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As noted earlier plaintiff's counsel submits that Dr. Werry in stating that the motor vehicle accident in 2005 caused or aggravated low back pain is reaching a conclusion on causation based solely on what the plaintiff told him. He repeated this under the heading "Opinion". Plaintiff's counsel argues that in doing so he was giving an opinion respecting the effect of the 2005 motor vehicle accident without any medical evidence to base it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With respect, it is clear from the report that Dr. Werry was proceeding on the basis that the effects of the two accidents were as stated by the plaintiff and his opinion regarding the plaintiff's condition prior to the First Accident is clearly based on the medical records and the evidence of the plaintiff. In any event the cause of the pre-existing and symptomatic lower back pain is irrelevant. The relevant point is that the plaintiff had, and continued to suffer, lower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Dr. Werry in preparing his report of August 15, 2013 had more current medical records than did Dr. Parhar. As is apparent from his report, he conducted a careful review of those records. The result is the facts and assumptions upon which he relied are more accurate than those relied upon by Dr. Parhar and more consistent with the evidence of the plaintiff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Dr. Parhar and Dr. Werry's second reports both address the MRI imaging results.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examining radiologist Dr. Raj Attariwala provided his impression of the plaintiff's lumbar spine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Multilevel spondylotic change throughout the lumbar spine with annular tear at L2-3. There is no severe neural foraminal narrowing or spinal canal stenosis at any level of the lumbar spine.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Suspected pseudoarthrosis involving the transitional L5/S1 vertebral body and if there is concern for chronic pain, a nuclear medicine bone scan may be helpful.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As noted earlier, Dr. Parhar found that the MRI imaging "indicat[ed] very significant multilevel spondylotic changes throughout the lumbar spine, with an annular tear at L2-L3. The spondylotic or osteoarthritis condition likely pre-existed the motor vehicle collision of September 17, 2009, but was aggravated by this motor vehicle condition. Unfortunately the normal course of osteoarthritis is that once it has been activated, it does tend to worsen as the patient ages and as more time elapses. Thus my prognosis for Michael's lower back or lumbar spine condition is that I would expect it to worsen in the coming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Given I have found that the lumbar complaints of the plaintiff were ongoing I can only accept Dr. Parhar's opinion to the extent there was a pre-existing lower back injury that was aggravated by the two accidents, not that they rendered it symptomatic or, as he put it, that the accidents "activated" it. In addition his reliance on the number of chiropractic treatments after the First Accident and his discounting of Dr. Chan's discharge report in October 2009 affects my findings respecting the level of aggravation arising from the 2009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Dr. Werry did not find that the MRI Imaging altered his diagnosis or 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plaintiff submits that Dr. Parhar, by virtue of his knowledge and greater experience relating MRI imaging to complaints of pain, has more expertise than Dr. Werry in interpreting the MRI results. While Dr. Parhar may frequently examine MRI reports and images and relate them to his patient's complaints he does not have the same training as an orthopaedic surgeon. He acknowledged that an orthopaedic surgeon such as Dr. Werry has more specialized training respecting the spine. He did not acknowledge that meant Dr. Werry had greater expertise reading MRI results. It was his view that an orthopaedic surgeon would have more limited experience in correlating MRI results to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Both Dr. Parhar and Dr. Werry agree that the plaintiff suffered a "musculoligamentous injury" to his lumbar spine in the First Accident. They only differ on whether it was symptomatic prior to 2009 or not. I have found the plaintiff's lower back was symptomatic prior to the accident. As a result I accept Dr. Werry's characterization of the nature of Mr. Pan's injury as more consistent with the evidence than that of Dr. Parhar.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defendants do not take issue with the credibility of the plaintiff. I found him to be straightforward in his evidence and willing to stand corrected if challenged. He was however notably reticent when it came to describing his injuries and their effect. As acknowledged by plaintiff's counsel, the plaintiff "seemed to only offer us occasional glimpses into the pain he was experiencing".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Tellingly, the plaintiff described the injuries arising from each of the four accidents in similar ways: he said that his shoulder, hip and back pain "kind of eased off" but never went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plaintiff offered no evidence of depression or marital difficulties arising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While it may be that the plaintiff is stoic about his injuries, he has not been hesitant to seek treatment. I accept he was reticent in describing his injuries and their effects. Even taking that into account, however, his evidence fails to support plaintiff's counsel's characterization of the injuries as severe and continuing. On the plaintiff's evidence they are intermittent and aggravated by certain activities but are amenable to treatment and resolution as periods of pain arise. They also are apparently controlled or alleviated by "maintenance" treatments.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To support an award it is incumbent on the plaintiff to establish a causal connection between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plaintiff's pain. The test for causation is the "but for" test, which requires the plaintiff to establish that he would not have suffered the loss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99"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However, the plaintiff does not need to establish that the accidents were the </w:t>
      </w:r>
      <w:r>
        <w:rPr>
          <w:rFonts w:ascii="arial" w:eastAsia="arial" w:hAnsi="arial" w:cs="arial"/>
          <w:i/>
          <w:color w:val="000000"/>
          <w:sz w:val="20"/>
          <w:lang w:val="en-US" w:eastAsia="en-US" w:bidi="ar-SA"/>
        </w:rPr>
        <w:t>only</w:t>
      </w:r>
      <w:r>
        <w:rPr>
          <w:rFonts w:ascii="arial" w:eastAsia="arial" w:hAnsi="arial" w:cs="arial"/>
          <w:color w:val="000000"/>
          <w:sz w:val="20"/>
          <w:lang w:val="en-US" w:eastAsia="en-US" w:bidi="ar-SA"/>
        </w:rPr>
        <w:t xml:space="preserve"> cause of the injuries; where there are other potential non-tortious causes, like the plaintiff's pre-existing degenerative back condition, the defendant is still liable if the plaintiff can show that both were contributing causes of the current injury: </w:t>
      </w:r>
      <w:r>
        <w:rPr>
          <w:rFonts w:ascii="arial" w:eastAsia="arial" w:hAnsi="arial" w:cs="arial"/>
          <w:i/>
          <w:color w:val="000000"/>
          <w:sz w:val="20"/>
          <w:lang w:val="en-US" w:eastAsia="en-US" w:bidi="ar-SA"/>
        </w:rPr>
        <w:t>Farrant v. Laktin,</w:t>
      </w:r>
      <w:r>
        <w:rPr>
          <w:rFonts w:ascii="arial" w:eastAsia="arial" w:hAnsi="arial" w:cs="arial"/>
          <w:color w:val="000000"/>
          <w:sz w:val="20"/>
          <w:lang w:val="en-US" w:eastAsia="en-US" w:bidi="ar-SA"/>
        </w:rPr>
        <w:t xml:space="preserve"> </w:t>
      </w:r>
      <w:hyperlink r:id="rId98" w:history="1">
        <w:r>
          <w:rPr>
            <w:rFonts w:ascii="arial" w:eastAsia="arial" w:hAnsi="arial" w:cs="arial"/>
            <w:i/>
            <w:color w:val="0077CC"/>
            <w:sz w:val="20"/>
            <w:u w:val="single"/>
            <w:shd w:val="clear" w:color="auto" w:fill="FFFFFF"/>
            <w:lang w:val="en-US" w:eastAsia="en-US" w:bidi="ar-SA"/>
          </w:rPr>
          <w:t>2011 BCCA 336</w:t>
        </w:r>
      </w:hyperlink>
      <w:r>
        <w:rPr>
          <w:rFonts w:ascii="arial" w:eastAsia="arial" w:hAnsi="arial" w:cs="arial"/>
          <w:color w:val="000000"/>
          <w:sz w:val="20"/>
          <w:lang w:val="en-US" w:eastAsia="en-US" w:bidi="ar-SA"/>
        </w:rPr>
        <w:t>, at paras. 5,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Plaintiff's counsel commenced his submissions by stating that the most significant injury suffered by the plaintiff was the injury to his neck. As I have discussed, the plaintiff gave no evidence of such an injury and as a result no evidentiary basis was established for the expert opinion on, or clinical record references to, an injury to the plaintiff's cervical spine. Further, without the plaintiff's testimony on this point, there is no evidence of a causal link between the two accidents and any neck injuries the plaintiff may suffer from.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In the case of a pre-existing injury, the tortfeasor must take their victim as they find them, even if the resulting injuries are more severe than they would be for a normal person. However, a defendant is not required to compensate the plaintiff for the effects of a pre-existing condition if the plaintiff would have experienced those effects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Johal v. Conron</w:t>
      </w:r>
      <w:r>
        <w:rPr>
          <w:rFonts w:ascii="arial" w:eastAsia="arial" w:hAnsi="arial" w:cs="arial"/>
          <w:color w:val="000000"/>
          <w:sz w:val="20"/>
          <w:lang w:val="en-US" w:eastAsia="en-US" w:bidi="ar-SA"/>
        </w:rPr>
        <w:t xml:space="preserve">, </w:t>
      </w:r>
      <w:hyperlink r:id="rId483" w:history="1">
        <w:r>
          <w:rPr>
            <w:rFonts w:ascii="arial" w:eastAsia="arial" w:hAnsi="arial" w:cs="arial"/>
            <w:i/>
            <w:color w:val="0077CC"/>
            <w:sz w:val="20"/>
            <w:u w:val="single"/>
            <w:shd w:val="clear" w:color="auto" w:fill="FFFFFF"/>
            <w:lang w:val="en-US" w:eastAsia="en-US" w:bidi="ar-SA"/>
          </w:rPr>
          <w:t>2013 BCSC 1924</w:t>
        </w:r>
      </w:hyperlink>
      <w:r>
        <w:rPr>
          <w:rFonts w:ascii="arial" w:eastAsia="arial" w:hAnsi="arial" w:cs="arial"/>
          <w:color w:val="000000"/>
          <w:sz w:val="20"/>
          <w:lang w:val="en-US" w:eastAsia="en-US" w:bidi="ar-SA"/>
        </w:rPr>
        <w:t xml:space="preserve"> at para. 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 am satisfied that the plaintiff has established that he suffered the aggravation of a pre-existing lower back injury as a result of the 2009 and 2011 accidents. The aggravation of the pre-existing lower back injury is supported by the evidence of the plaintiff and his wife respecting the effects of the accidents on both his personal and business life, the hiring of household assistance outside the home and restrictions on his previous exercise regime.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However, I am not satisfied that all of the plaintiff's current injuries were caused by the accidents. I find that the plaintiff's back problems were symptomatic prior to the accidents and that as a result there is a serious risk that he would have suffered from issues with his lower back even if the accidents had not occurred. As a result, the defendants are only partially responsible for the plaintiff's current injuries. I have taken this factor into account in assessing damages by reducing the award in order to reflect the risk that the plaintiff would have suffered the losses absent the accidents: </w:t>
      </w:r>
      <w:r>
        <w:rPr>
          <w:rFonts w:ascii="arial" w:eastAsia="arial" w:hAnsi="arial" w:cs="arial"/>
          <w:i/>
          <w:color w:val="000000"/>
          <w:sz w:val="20"/>
          <w:lang w:val="en-US" w:eastAsia="en-US" w:bidi="ar-SA"/>
        </w:rPr>
        <w:t>Wallace v. Thibodeau</w:t>
      </w:r>
      <w:r>
        <w:rPr>
          <w:rFonts w:ascii="arial" w:eastAsia="arial" w:hAnsi="arial" w:cs="arial"/>
          <w:color w:val="000000"/>
          <w:sz w:val="20"/>
          <w:lang w:val="en-US" w:eastAsia="en-US" w:bidi="ar-SA"/>
        </w:rPr>
        <w:t xml:space="preserve">, </w:t>
      </w:r>
      <w:hyperlink r:id="rId484" w:history="1">
        <w:r>
          <w:rPr>
            <w:rFonts w:ascii="arial" w:eastAsia="arial" w:hAnsi="arial" w:cs="arial"/>
            <w:i/>
            <w:color w:val="0077CC"/>
            <w:sz w:val="20"/>
            <w:u w:val="single"/>
            <w:shd w:val="clear" w:color="auto" w:fill="FFFFFF"/>
            <w:lang w:val="en-US" w:eastAsia="en-US" w:bidi="ar-SA"/>
          </w:rPr>
          <w:t>2008 NBCA 78</w:t>
        </w:r>
      </w:hyperlink>
      <w:r>
        <w:rPr>
          <w:rFonts w:ascii="arial" w:eastAsia="arial" w:hAnsi="arial" w:cs="arial"/>
          <w:color w:val="000000"/>
          <w:sz w:val="20"/>
          <w:lang w:val="en-US" w:eastAsia="en-US" w:bidi="ar-SA"/>
        </w:rPr>
        <w:t xml:space="preserve"> at paras. 48-49.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With respect to the tingling or numbness in his left hand, the plaintiff did not raise it as an issue until January 2010, some four months after the First Accident. There is no evidence linking it to that accident. With respect to the Second Accident the plaintiff states the numbness returned and was more frequently symptomatic than it had been before. The plaintiff offered no evidence that such numbness causes any distress or limits his activities in any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With respect to the knee injury Mr. Pan stated that after the First Accident the pain went away after approximately 10 days to two weeks. After the Second Accident, while he described all of the past pain returning, he stated that the knee "seems fine". When asked if he continues to have problems with his knee he stated that both knees become sore if he stands for a long time. He commented he could no longer walk or hike long distances. His wife stated that his problems with his knees interfered with his ability to dance with her and that long drives lead him to complain about lower back and knee pain. There is no medical evidence of a continuing knee injury and on the evidence of the plaintiff I find that the knee injury arising from the First Accident was short term and that any continuing knee problems appear to relate to both knees and are unrelated to either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With respect to the plaintiff's shoulder injury he testified that it eases off but never goes away and that he continues to have pain in his right shoulder. He had suffered pain in his shoulder after the 2005 accident but it apparently resolved itself within a month to a month and one half. His shoulder pain was therefore asymptomatic at the time of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He stated that his back and shoulder pain interfere with his ability to sleep. He relies on painkillers and sleeping pills. He gave no evidence that his shoulder pain limited his activities, other than weight lifting at the gym. Dr. Werry found no evidence of injury to Mr. Pan's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plaintiff claims for depression in 2009 after the accident and his wife stated that after the accident his "mood was bad" and he was "not very nice" to members of his family and that he complained about not being happy. She said as a result their marriage suffered but things improved after a short separation and marriage counselling and have been "very good" for the past six months. However, as noted earlier the plaintiff himself did not complain of depression arising from the accidents. In addition the plaintiff's wife's evidence is that she was stressed with household responsibilities and the hiring of help reduced her stress and improved their relationship. I am not satisfied that the plaintiff has established that either of the accidents caused any depression or unhappiness affecting his home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In summary, I am satisfied that the plaintiff has proved on a balance of probabilities that the accidents aggravated his lower back and shoulder pain. I am also satisfied that he continues to suffer from lower back and shoulder pain and that such pain continues to a greater degree than was the case prior to the accidents. He has also established that the Second Accident made the tingling in his left arm and hand symptomatic and that his knee was injured and was sore for a few weeks after the First Accident. The plaintiff has not however established that either accident contributed to a neck or cervical spine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At the time of the Second Accident the plaintiff had not fully recovered from the First Accident. Where one defendant aggravates a pre-existing tortiously-caused injury, the resulting injuries are indivisible. There is no issue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a result, no apportionment of responsibility between the defendants is required. Each of them played a role in the plaintiff's loss. Both are jointly liable for the plaintiff's damages: </w:t>
      </w:r>
      <w:r>
        <w:rPr>
          <w:rFonts w:ascii="arial" w:eastAsia="arial" w:hAnsi="arial" w:cs="arial"/>
          <w:i/>
          <w:color w:val="000000"/>
          <w:sz w:val="20"/>
          <w:lang w:val="en-US" w:eastAsia="en-US" w:bidi="ar-SA"/>
        </w:rPr>
        <w:t>Bradley v. Groves,</w:t>
      </w:r>
      <w:r>
        <w:rPr>
          <w:rFonts w:ascii="arial" w:eastAsia="arial" w:hAnsi="arial" w:cs="arial"/>
          <w:color w:val="000000"/>
          <w:sz w:val="20"/>
          <w:lang w:val="en-US" w:eastAsia="en-US" w:bidi="ar-SA"/>
        </w:rPr>
        <w:t xml:space="preserve"> </w:t>
      </w:r>
      <w:hyperlink r:id="rId485" w:history="1">
        <w:r>
          <w:rPr>
            <w:rFonts w:ascii="arial" w:eastAsia="arial" w:hAnsi="arial" w:cs="arial"/>
            <w:i/>
            <w:color w:val="0077CC"/>
            <w:sz w:val="20"/>
            <w:u w:val="single"/>
            <w:shd w:val="clear" w:color="auto" w:fill="FFFFFF"/>
            <w:lang w:val="en-US" w:eastAsia="en-US" w:bidi="ar-SA"/>
          </w:rPr>
          <w:t>2010 BCCA 361</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The law regarding non-pecuniary damages is summarized in </w:t>
      </w:r>
      <w:r>
        <w:rPr>
          <w:rFonts w:ascii="arial" w:eastAsia="arial" w:hAnsi="arial" w:cs="arial"/>
          <w:i/>
          <w:color w:val="000000"/>
          <w:sz w:val="20"/>
          <w:lang w:val="en-US" w:eastAsia="en-US" w:bidi="ar-SA"/>
        </w:rPr>
        <w:t>Hartnett v. Leischner &amp; ICBC</w:t>
      </w:r>
      <w:r>
        <w:rPr>
          <w:rFonts w:ascii="arial" w:eastAsia="arial" w:hAnsi="arial" w:cs="arial"/>
          <w:color w:val="000000"/>
          <w:sz w:val="20"/>
          <w:lang w:val="en-US" w:eastAsia="en-US" w:bidi="ar-SA"/>
        </w:rPr>
        <w:t xml:space="preserve">, </w:t>
      </w:r>
      <w:hyperlink r:id="rId486" w:history="1">
        <w:r>
          <w:rPr>
            <w:rFonts w:ascii="arial" w:eastAsia="arial" w:hAnsi="arial" w:cs="arial"/>
            <w:i/>
            <w:color w:val="0077CC"/>
            <w:sz w:val="20"/>
            <w:u w:val="single"/>
            <w:shd w:val="clear" w:color="auto" w:fill="FFFFFF"/>
            <w:lang w:val="en-US" w:eastAsia="en-US" w:bidi="ar-SA"/>
          </w:rPr>
          <w:t>2008 BCSC 1589</w:t>
        </w:r>
      </w:hyperlink>
      <w:r>
        <w:rPr>
          <w:rFonts w:ascii="arial" w:eastAsia="arial" w:hAnsi="arial" w:cs="arial"/>
          <w:color w:val="000000"/>
          <w:sz w:val="20"/>
          <w:lang w:val="en-US" w:eastAsia="en-US" w:bidi="ar-SA"/>
        </w:rPr>
        <w:t xml:space="preserve"> at paras. 80-81, where Madam Justice Russell states that the purpose of such awards is to compensate the plaintiff for "pain, suffering, loss of enjoyment of life and loss of amenities." While the award must be assessed by reference to the facts of the individual case, cases with similar injuries or otherwise similar facts "may serve as a guide to assist the court in arriving at an award that is just and fair to both parties."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102"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 the Court of Appeal set out an inexhaustive list of factors that a court should consider in awarding non-pecuniary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[46] ...</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stoicism (as a factor that should not generally speaking, penalize the plaintiff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accidents in this instance were neither minor nor major. After the First Accident the plaintiff attended on Dr. Kwok complaining of right shoulder and right thigh pain. A bruised knee was observed. The plaintiff's interscapular muscles were tender but the range of motion on the right shoulder was normal. There were no specific complaints of neck or back pain during the initial visit. On October 8, 2009 the plaintiff on his second visit to Dr. Kwok after the accident made no complaints of neck or back pain. When Dr. Kwok saw the plaintiff on December 14, 2009, for completion of a CL19 Report there had been only two prior visits relating to the accident. He noted right interscapular muscle pain and right buttock area pain, the latter being the first time it was mentioned by the plaintiff. While Dr. Kwok saw the plaintiff 13 times from September 17, 2009 to January 26, 2011, only three of those visits related to the 2009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plaintiff saw Dr. Adam Chan, his chiropractor, on September 22, 2009. Dr. Chan's evidence was that the plaintiff reported discomfort in the right shoulder, right knee, and sacroiliac joint during this visit. He provided treatment on the cervical spine, thoracic spine, lumbar spine, and sacroiliac joint. Dr. Chan agreed that he treated the cervical spine even though there were no specific complaints of discomfort in that area. He agreed that he may have done so if there were complaints of middle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It is of note that the plaintiff went to the gym within hours of the accident and resumed his running within weeks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There was no evidence that before the First Accident the plaintiff's lifestyle and activities were restricted by his lower back complaints. He testified that his activities involved his work, cycling, walking with his wife, assisting with housework, attending to outside house maintenance and yard work and visiting the gym. After the First Accident he withdrew from house and yard work. He did at some point do housework again however it took longer and required periods of rest. His ability to drive for long periods of time was also impaired. It appears that he is still able to participate in other activities, such as bicycling and walking, as he did prior to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As I have mentioned the plaintiff is not a "complainer". After the 2009 accident his visits to his chiropractor, massage therapist as well as to the gym increased, evidencing the increase in pain and discomfort he suffered after the accident. However the majority of the increased chiropractic visits related to his neck and the plaintiff has failed to establish that either accident caused a neck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Dr. Werry reported in August 2013 that the plaintiff had a full range of motion with respect to his upper and lower back without pain and there was no tenderness. His shoulder examination was normal. His knee examination was normal and I note the plaintiff's complaints to Dr. Werry about his knees related to both knees.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evidence of Dr. Parhar is that the injuries will not improve over time but will worsen. Dr. Werry was of the opinion that there will be no need for medical invasive treatments such as injections or surgery as the plaintiff's low back stiffness and discomfort is best managed through "maintenance of a self-directed regular exercise program ... designed and initially supervised by an exercise-oriented physiotherapist or kinesiologist".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plaintiff had a long history of lower back pain and treatment for such. However, the plaintiff's ongoing problems with his lower back are somewhat greater than the level of difficulty he experienced prior to the First Accident. His current pattern of chiropractic "maintenance" treatments and massage is also in excess of the pattern that existed before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plaintiff seeks an award of $90,000 for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In support he relies on the decision of </w:t>
      </w:r>
      <w:r>
        <w:rPr>
          <w:rFonts w:ascii="arial" w:eastAsia="arial" w:hAnsi="arial" w:cs="arial"/>
          <w:i/>
          <w:color w:val="000000"/>
          <w:sz w:val="20"/>
          <w:lang w:val="en-US" w:eastAsia="en-US" w:bidi="ar-SA"/>
        </w:rPr>
        <w:t>Unger v. Singh</w:t>
      </w:r>
      <w:r>
        <w:rPr>
          <w:rFonts w:ascii="arial" w:eastAsia="arial" w:hAnsi="arial" w:cs="arial"/>
          <w:color w:val="000000"/>
          <w:sz w:val="20"/>
          <w:lang w:val="en-US" w:eastAsia="en-US" w:bidi="ar-SA"/>
        </w:rPr>
        <w:t xml:space="preserve">, </w:t>
      </w:r>
      <w:hyperlink r:id="rId487" w:history="1">
        <w:r>
          <w:rPr>
            <w:rFonts w:ascii="arial" w:eastAsia="arial" w:hAnsi="arial" w:cs="arial"/>
            <w:i/>
            <w:color w:val="0077CC"/>
            <w:sz w:val="20"/>
            <w:u w:val="single"/>
            <w:shd w:val="clear" w:color="auto" w:fill="FFFFFF"/>
            <w:lang w:val="en-US" w:eastAsia="en-US" w:bidi="ar-SA"/>
          </w:rPr>
          <w:t>2000 BCCA 94</w:t>
        </w:r>
      </w:hyperlink>
      <w:r>
        <w:rPr>
          <w:rFonts w:ascii="arial" w:eastAsia="arial" w:hAnsi="arial" w:cs="arial"/>
          <w:color w:val="000000"/>
          <w:sz w:val="20"/>
          <w:lang w:val="en-US" w:eastAsia="en-US" w:bidi="ar-SA"/>
        </w:rPr>
        <w:t>, where the court noted at para. 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 ... Cases involving primarily soft-tissue injury with some emotional problems including sleep disruption, nervousness, depression, seem to be from a low of $35,000 to a high of $125,000. However, I caution though that these numbers are only guides.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Unger</w:t>
      </w:r>
      <w:r>
        <w:rPr>
          <w:rFonts w:ascii="arial" w:eastAsia="arial" w:hAnsi="arial" w:cs="arial"/>
          <w:color w:val="000000"/>
          <w:sz w:val="20"/>
          <w:lang w:val="en-US" w:eastAsia="en-US" w:bidi="ar-SA"/>
        </w:rPr>
        <w:t xml:space="preserve"> the injuries to the plaintiff's neck, shoulder, lower back and knee, together with her difficulties sleeping and "coping" had largely resolved at the time of trial two years after the accident. The Court of Appeal reduced the jury award of $187,000 to $90,000.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Adjusted to current dollars, the range of awards for soft tissue injuries accompanied by the cited emotional problems would be approximately $42,000 to $150,000: </w:t>
      </w:r>
      <w:r>
        <w:rPr>
          <w:rFonts w:ascii="arial" w:eastAsia="arial" w:hAnsi="arial" w:cs="arial"/>
          <w:i/>
          <w:color w:val="000000"/>
          <w:sz w:val="20"/>
          <w:lang w:val="en-US" w:eastAsia="en-US" w:bidi="ar-SA"/>
        </w:rPr>
        <w:t>Harris v. Zabaras</w:t>
      </w:r>
      <w:r>
        <w:rPr>
          <w:rFonts w:ascii="arial" w:eastAsia="arial" w:hAnsi="arial" w:cs="arial"/>
          <w:color w:val="000000"/>
          <w:sz w:val="20"/>
          <w:lang w:val="en-US" w:eastAsia="en-US" w:bidi="ar-SA"/>
        </w:rPr>
        <w:t xml:space="preserve">, </w:t>
      </w:r>
      <w:hyperlink r:id="rId488" w:history="1">
        <w:r>
          <w:rPr>
            <w:rFonts w:ascii="arial" w:eastAsia="arial" w:hAnsi="arial" w:cs="arial"/>
            <w:i/>
            <w:color w:val="0077CC"/>
            <w:sz w:val="20"/>
            <w:u w:val="single"/>
            <w:shd w:val="clear" w:color="auto" w:fill="FFFFFF"/>
            <w:lang w:val="en-US" w:eastAsia="en-US" w:bidi="ar-SA"/>
          </w:rPr>
          <w:t>2010 BCSC 97</w:t>
        </w:r>
      </w:hyperlink>
      <w:r>
        <w:rPr>
          <w:rFonts w:ascii="arial" w:eastAsia="arial" w:hAnsi="arial" w:cs="arial"/>
          <w:color w:val="000000"/>
          <w:sz w:val="20"/>
          <w:lang w:val="en-US" w:eastAsia="en-US" w:bidi="ar-SA"/>
        </w:rPr>
        <w:t>, at para. 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Graydon v. Harris</w:t>
      </w:r>
      <w:r>
        <w:rPr>
          <w:rFonts w:ascii="arial" w:eastAsia="arial" w:hAnsi="arial" w:cs="arial"/>
          <w:color w:val="000000"/>
          <w:sz w:val="20"/>
          <w:lang w:val="en-US" w:eastAsia="en-US" w:bidi="ar-SA"/>
        </w:rPr>
        <w:t xml:space="preserve">, </w:t>
      </w:r>
      <w:hyperlink r:id="rId489" w:history="1">
        <w:r>
          <w:rPr>
            <w:rFonts w:ascii="arial" w:eastAsia="arial" w:hAnsi="arial" w:cs="arial"/>
            <w:i/>
            <w:color w:val="0077CC"/>
            <w:sz w:val="20"/>
            <w:u w:val="single"/>
            <w:shd w:val="clear" w:color="auto" w:fill="FFFFFF"/>
            <w:lang w:val="en-US" w:eastAsia="en-US" w:bidi="ar-SA"/>
          </w:rPr>
          <w:t>2013 BCSC 182</w:t>
        </w:r>
      </w:hyperlink>
      <w:r>
        <w:rPr>
          <w:rFonts w:ascii="arial" w:eastAsia="arial" w:hAnsi="arial" w:cs="arial"/>
          <w:color w:val="000000"/>
          <w:sz w:val="20"/>
          <w:lang w:val="en-US" w:eastAsia="en-US" w:bidi="ar-SA"/>
        </w:rPr>
        <w:t xml:space="preserve">, the plaintiff was 60 years old at the time of the accident. His injuries consisted of ongoing headaches, neck, back and arm pain, all of which continued some five and one-half years after the accident. The defendants had argued that the accident had minimal impact on the plaintiff and that his symptoms were primarily attributable to his pre-accident condition or age related degeneration. The court applied a 25% contingency in respect of the plaintiff's pre-existing condition and awarded $60,000. </w:t>
      </w:r>
      <w:r>
        <w:rPr>
          <w:rFonts w:ascii="arial" w:eastAsia="arial" w:hAnsi="arial" w:cs="arial"/>
          <w:i/>
          <w:color w:val="000000"/>
          <w:sz w:val="20"/>
          <w:lang w:val="en-US" w:eastAsia="en-US" w:bidi="ar-SA"/>
        </w:rPr>
        <w:t>Graydon</w:t>
      </w:r>
      <w:r>
        <w:rPr>
          <w:rFonts w:ascii="arial" w:eastAsia="arial" w:hAnsi="arial" w:cs="arial"/>
          <w:color w:val="000000"/>
          <w:sz w:val="20"/>
          <w:lang w:val="en-US" w:eastAsia="en-US" w:bidi="ar-SA"/>
        </w:rPr>
        <w:t xml:space="preserve"> involved more serious and continuing injuries with more impact on the plaintiff than those proven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defendants submit that at most the evidence supports an aggravation of the plaintiff's pre-existing symptomatic low back condition. They suggest that the appropriate amount for non-pecuniary damages is $25,000 to $35,000. They rely on the following authorities:</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Gendron v. Moffat</w:t>
      </w:r>
      <w:r>
        <w:rPr>
          <w:rFonts w:ascii="arial" w:eastAsia="arial" w:hAnsi="arial" w:cs="arial"/>
          <w:color w:val="000000"/>
          <w:sz w:val="20"/>
          <w:lang w:val="en-US" w:eastAsia="en-US" w:bidi="ar-SA"/>
        </w:rPr>
        <w:t xml:space="preserve">, </w:t>
      </w:r>
      <w:hyperlink r:id="rId490" w:history="1">
        <w:r>
          <w:rPr>
            <w:rFonts w:ascii="arial" w:eastAsia="arial" w:hAnsi="arial" w:cs="arial"/>
            <w:i/>
            <w:color w:val="0077CC"/>
            <w:sz w:val="20"/>
            <w:u w:val="single"/>
            <w:shd w:val="clear" w:color="auto" w:fill="FFFFFF"/>
            <w:lang w:val="en-US" w:eastAsia="en-US" w:bidi="ar-SA"/>
          </w:rPr>
          <w:t>2010 BCSC 1231</w:t>
        </w:r>
      </w:hyperlink>
      <w:r>
        <w:rPr>
          <w:rFonts w:ascii="arial" w:eastAsia="arial" w:hAnsi="arial" w:cs="arial"/>
          <w:color w:val="000000"/>
          <w:sz w:val="20"/>
          <w:lang w:val="en-US" w:eastAsia="en-US" w:bidi="ar-SA"/>
        </w:rPr>
        <w:t>: The plaintiff, a 58-year-old owner/operator of a janitorial business, sustained cervical, thoracic, lumbar, and right shoulder strains as well as left shoulder and arm contusions. The plaintiff underwent an MRI within five months of the accident, which showed mild to moderate changes in her cervical spine. Although the plaintiff was continuing to complain of pain at trial, her symptoms were found to have substantially resolved within 20 months of the accident. After taking into consideration the plaintiff's age, the effect of her injuries, and the presence of arthritis either before or within a short time of the accident, the court awarded non-pecuniary damages of $25,000.</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Johal v. Conron</w:t>
      </w:r>
      <w:r>
        <w:rPr>
          <w:rFonts w:ascii="arial" w:eastAsia="arial" w:hAnsi="arial" w:cs="arial"/>
          <w:color w:val="000000"/>
          <w:sz w:val="20"/>
          <w:lang w:val="en-US" w:eastAsia="en-US" w:bidi="ar-SA"/>
        </w:rPr>
        <w:t xml:space="preserve">, </w:t>
      </w:r>
      <w:hyperlink r:id="rId483" w:history="1">
        <w:r>
          <w:rPr>
            <w:rFonts w:ascii="arial" w:eastAsia="arial" w:hAnsi="arial" w:cs="arial"/>
            <w:i/>
            <w:color w:val="0077CC"/>
            <w:sz w:val="20"/>
            <w:u w:val="single"/>
            <w:shd w:val="clear" w:color="auto" w:fill="FFFFFF"/>
            <w:lang w:val="en-US" w:eastAsia="en-US" w:bidi="ar-SA"/>
          </w:rPr>
          <w:t>2013 BCSC 1924</w:t>
        </w:r>
      </w:hyperlink>
      <w:r>
        <w:rPr>
          <w:rFonts w:ascii="arial" w:eastAsia="arial" w:hAnsi="arial" w:cs="arial"/>
          <w:color w:val="000000"/>
          <w:sz w:val="20"/>
          <w:lang w:val="en-US" w:eastAsia="en-US" w:bidi="ar-SA"/>
        </w:rPr>
        <w:t>: The 57-year-old plaintiff alleged that her physical condition and limitations were made worse by the accident. She continued to suffer from neck, shoulder, and upper back pain as well as more severe and frequent headaches. She also suffered from back and lower body pain that she did not have prior to the accident. The plaintiff was found to have suffered mild to moderate soft tissue injuries to her cervical and lumbar spines, which aggravated her pre-existing conditions and caused new conditions in her lumbar spine and lower body. She was awarded $35,000 in non-pecuniary damages. In rendering this award, Madam Justice Donegan noted at para. 88 that "[a]s a result of her pre-existing conditions, she is entitled to be compensated to the degree necessary to put her in her pre-accident condition or position, not a better position."</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Jordan v. Lowe</w:t>
      </w:r>
      <w:r>
        <w:rPr>
          <w:rFonts w:ascii="arial" w:eastAsia="arial" w:hAnsi="arial" w:cs="arial"/>
          <w:color w:val="000000"/>
          <w:sz w:val="20"/>
          <w:lang w:val="en-US" w:eastAsia="en-US" w:bidi="ar-SA"/>
        </w:rPr>
        <w:t xml:space="preserve">, </w:t>
      </w:r>
      <w:hyperlink r:id="rId491" w:history="1">
        <w:r>
          <w:rPr>
            <w:rFonts w:ascii="arial" w:eastAsia="arial" w:hAnsi="arial" w:cs="arial"/>
            <w:i/>
            <w:color w:val="0077CC"/>
            <w:sz w:val="20"/>
            <w:u w:val="single"/>
            <w:shd w:val="clear" w:color="auto" w:fill="FFFFFF"/>
            <w:lang w:val="en-US" w:eastAsia="en-US" w:bidi="ar-SA"/>
          </w:rPr>
          <w:t>2012 BCSC 1482</w:t>
        </w:r>
      </w:hyperlink>
      <w:r>
        <w:rPr>
          <w:rFonts w:ascii="arial" w:eastAsia="arial" w:hAnsi="arial" w:cs="arial"/>
          <w:color w:val="000000"/>
          <w:sz w:val="20"/>
          <w:lang w:val="en-US" w:eastAsia="en-US" w:bidi="ar-SA"/>
        </w:rPr>
        <w:t>: The plaintiff, a 45-year-old police officer, suffered neck, shoulder and back injuries as a result of a motor vehicle accident. He had previously been diagnosed with degenerative disc disease in his cervical spine with nerve root compressions, which led to surgery in 2000. He eventually experienced a symptom-free state with occasional mild aching and intermittent stiffness. There were no records of complaints of pain or limitation in function associated with neck or back pain in the three years before the accident. The plaintiff was substantially recovered from his injuries at the time of trial but was still suffering from occasional neck, shoulder and thoracic back pain. He received an award of $35,000 for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plaintiff has established that he suffered a short-term injury to his knee and the aggravation of his lower back pain and a shoulder or upper back problem, which substantially resolved by the end of 2011 although not to his pre-accident state. While these issues affect his day-to-day life to some degree and may flare up if he overexerts himself either in his home life or work I am not satisfied that they are as serious as the plaintiff submits. I do accept that they have limited his activities and that he suffers continuing sleep disturbance, something that was not pre-existing. I am not satisfied that the plaintiff's alleged depression or unhappiness was caused by the accidents. The evidence respecting such was minimal and as a result has not been proven; nor has the plaintiff proven that his marital problems were a result of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In my view, there is a 25% chance that the plaintiff's pre-existing conditions would have interfered with his life to the degree they do now had neither accident occurred. As such, a reasonable sum for the impact on Mr. Pan's life from the aggravation of his pre-existing lower back, shoulder and knee problems, after applying a 25% contingency in respect of his pre-existing condition, is $40,000.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plaintiff argues that his medical condition creates a real and substantial possibility of a future event leading to an income loss for him -- specifically, he says he will need to hire a worker to help him complete physical tasks at worksites. The plaintiff submits that a figure of $25,000 would be an appropriate award to compensate him for this future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In support of this portion of the claim the plaintiff relies on the prognosis given by Dr. Parhar in his March 1, 2012 report, where he addressed the plaintiff's occupational situation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Given that the underlying medical conditions which resulted from the motor vehicle collisions of September 17, 2009 and February 26, 2011 are themselves permanent, it would be reasonable to conclude that the occupational limitations they have resulted in should also be deemed to be permanent. That is, I would expect Michael to be limited in heavier work, such as lifting, bending, twisting, carrying, and doing overhead and over shoulder height work on a permanent basis. Fortunately, as he is self-employed and owns his own company, he may be able to delegate these more physical tasks to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Parhar stated that if the plaintiff was expected to continue handling physical tasks, it would be prudent for him to consider retraining for an alternative career.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Given his age the plaintiff submits retraining for another career is unlikely and the more probable event is the plaintiff will have to hire a labourer to carry out the more physical aspects of his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defendants submit that the evidence does not establish a permanent impairment arising from the two accidents and as a result they say that the plaintiff has failed to meet the test required for an award for future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 defendants note that the evidence of impairment came solely from the plaintiff, who testified that his lower back pain returns every time he does any heavy lifting. He therefore believes he will have to hire people to do such tasks for him in the future. Dr. Werry opined in his report of August 15, 2013 that the plaintiff "will probably be capable of continuing his contracting work for another 10 or 15 years, assuming that this work is mainly supervisory. Mr. Pan's physical involvement with his work has been limited to clean-up of construction debris at the end of the working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They note as well that the plaintiff has not presented a claim for past loss of income. In other words, from 2009 until the time of the trial the plaintiff has apparently been able to perform his job without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While, as the plaintiff put it, the court must look into its "crystal ball" and try to see the future, in doing so it must find a real and substantial possibility of a future loss before any award for future loss of earning capacity can be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The defendants refer to </w:t>
      </w:r>
      <w:r>
        <w:rPr>
          <w:rFonts w:ascii="arial" w:eastAsia="arial" w:hAnsi="arial" w:cs="arial"/>
          <w:i/>
          <w:color w:val="000000"/>
          <w:sz w:val="20"/>
          <w:lang w:val="en-US" w:eastAsia="en-US" w:bidi="ar-SA"/>
        </w:rPr>
        <w:t>Buttar v. Brennan</w:t>
      </w:r>
      <w:r>
        <w:rPr>
          <w:rFonts w:ascii="arial" w:eastAsia="arial" w:hAnsi="arial" w:cs="arial"/>
          <w:color w:val="000000"/>
          <w:sz w:val="20"/>
          <w:lang w:val="en-US" w:eastAsia="en-US" w:bidi="ar-SA"/>
        </w:rPr>
        <w:t xml:space="preserve">, </w:t>
      </w:r>
      <w:hyperlink r:id="rId155" w:history="1">
        <w:r>
          <w:rPr>
            <w:rFonts w:ascii="arial" w:eastAsia="arial" w:hAnsi="arial" w:cs="arial"/>
            <w:i/>
            <w:color w:val="0077CC"/>
            <w:sz w:val="20"/>
            <w:u w:val="single"/>
            <w:shd w:val="clear" w:color="auto" w:fill="FFFFFF"/>
            <w:lang w:val="en-US" w:eastAsia="en-US" w:bidi="ar-SA"/>
          </w:rPr>
          <w:t>2012 BCSC 531</w:t>
        </w:r>
      </w:hyperlink>
      <w:r>
        <w:rPr>
          <w:rFonts w:ascii="arial" w:eastAsia="arial" w:hAnsi="arial" w:cs="arial"/>
          <w:color w:val="000000"/>
          <w:sz w:val="20"/>
          <w:lang w:val="en-US" w:eastAsia="en-US" w:bidi="ar-SA"/>
        </w:rPr>
        <w:t>, where Mr. Justice Abrioux noted that courts should be "exceedingly careful" where the injury or loss is only demonstrated by subjective evidence from the plaintiff himself (para. 24). He noted that "no one can expect his fellow citizen or citizens to compensate him in the absence of convincing evidence -- which could be just his own evidence if the surrounding circumstances are consistent -- that his complaints of pain are true reflections of a continuing injury" (</w:t>
      </w:r>
      <w:r>
        <w:rPr>
          <w:rFonts w:ascii="arial" w:eastAsia="arial" w:hAnsi="arial" w:cs="arial"/>
          <w:i/>
          <w:color w:val="000000"/>
          <w:sz w:val="20"/>
          <w:lang w:val="en-US" w:eastAsia="en-US" w:bidi="ar-SA"/>
        </w:rPr>
        <w:t>ibid).</w:t>
      </w:r>
      <w:r>
        <w:rPr>
          <w:rFonts w:ascii="arial" w:eastAsia="arial" w:hAnsi="arial" w:cs="arial"/>
          <w:color w:val="000000"/>
          <w:sz w:val="20"/>
          <w:lang w:val="en-US" w:eastAsia="en-US" w:bidi="ar-SA"/>
        </w:rPr>
        <w:t xml:space="preserve"> The court must look for congruence between the facts its finds and the opinions given by medical witnesses as to the possible medical and other consequences and potential duration of the injuries. Further, in analyzing the plaintiff's evidence, the court must: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subject his story to an examination of its consistency with the probabilities which surround the currently existing conditions. ... the real test of the truth of the story of a witness in such a case must be its harmony with the preponderance of the probabilities which a practical and informed person would readily recognize as reasonable in that place and in those conditions.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Buttar,</w:t>
      </w:r>
      <w:r>
        <w:rPr>
          <w:rFonts w:ascii="arial" w:eastAsia="arial" w:hAnsi="arial" w:cs="arial"/>
          <w:color w:val="000000"/>
          <w:sz w:val="20"/>
          <w:lang w:val="en-US" w:eastAsia="en-US" w:bidi="ar-SA"/>
        </w:rPr>
        <w:t xml:space="preserve"> there was no objective or corroborating evidence to support the plaintiff's contention that he was only able to work 50% of the time he had prior to the accident. While the court in that case was addressing considerations arising where there was an absence of objective signs of injury, the defendants submit that the same considerations apply when there is an absence of objective evidence of continuing disability. I accept that to be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 defendants submit that the plaintiff's bare assertions are not in harmony with the other evidence and circumstances and that to rely solely on his evidence without corroborating medical opinion would lower the burden of proof for a potentially significant head of damages to a meaningless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Parker v. Lemmon</w:t>
      </w:r>
      <w:r>
        <w:rPr>
          <w:rFonts w:ascii="arial" w:eastAsia="arial" w:hAnsi="arial" w:cs="arial"/>
          <w:color w:val="000000"/>
          <w:sz w:val="20"/>
          <w:lang w:val="en-US" w:eastAsia="en-US" w:bidi="ar-SA"/>
        </w:rPr>
        <w:t xml:space="preserve">, </w:t>
      </w:r>
      <w:hyperlink r:id="rId376" w:history="1">
        <w:r>
          <w:rPr>
            <w:rFonts w:ascii="arial" w:eastAsia="arial" w:hAnsi="arial" w:cs="arial"/>
            <w:i/>
            <w:color w:val="0077CC"/>
            <w:sz w:val="20"/>
            <w:u w:val="single"/>
            <w:shd w:val="clear" w:color="auto" w:fill="FFFFFF"/>
            <w:lang w:val="en-US" w:eastAsia="en-US" w:bidi="ar-SA"/>
          </w:rPr>
          <w:t>2012 BCSC 27</w:t>
        </w:r>
      </w:hyperlink>
      <w:r>
        <w:rPr>
          <w:rFonts w:ascii="arial" w:eastAsia="arial" w:hAnsi="arial" w:cs="arial"/>
          <w:color w:val="000000"/>
          <w:sz w:val="20"/>
          <w:lang w:val="en-US" w:eastAsia="en-US" w:bidi="ar-SA"/>
        </w:rPr>
        <w:t>, the applicable legal principles respecting loss of future earning capacity were summarized at para. 42: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[42] ...</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plaintiff must first prove there is a real and substantial possibility of a future event leading to an income loss before the Court will embark on an assessment of the loss;</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future or hypothetical possibility will be taken into consideration as long as it is a real and substantial possibility and not mere speculation;</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plaintiff may be able to prove that there is a substantial possibility of a future income loss despite having returned to his or her employment;</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inability to perform an occupation that is not a realistic alternative occupation is not proof of a future loss;</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not the loss of earnings but rather the loss of earning capacity for which compensation must be made;</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plaintiff discharges the burden of proof, then there must be quantification of that loss;</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Two available methods of quantifying the loss are (a) an earnings approach or (b) a capital asset approach;</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earnings approach will be more useful when the loss is more easily measurable;</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capital asset approach will be more useful when the loss is not easily measurable.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Mr. Pan has not made a claim for past wage loss. While this is a factor to consider it is not determinative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124"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It is now five years since the 2009 accident and two years since the 2011 accident. During that time the plaintiff has performed the same work he did prior to the accidents, although he says that heavy lifting causes him lower back pain. He was however being treated for lower back pain before the First Accident and he testified that between 2005 and 2009 he required chiropractic treatment to address back pain that arose when he did lifting or climbing 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 am not satisfied that the evidence supports a real and substantial possibility of a future loss arising from the accidents. While the plaintiff has suffered an aggravation of his pre-existing lower back symptoms, the evidence does not establish that the accidents, rather than age and the pre-existing condition itself, are the cause of any future disability. The medical evidence is conflicting. However, as I have indicated, I prefer the evidence of Dr. Werry to the opinion of Dr. Parhar given Dr. Parhar's opinion flows from his view that the pre-existing condition of the plaintiff was asymptomatic, which is contrary to my finding that it was in fact symptomatic. Dr. Werry's opinion is more in accord with the evidence of the plaintiff and the findings of this Court. I am of the view that the plaintiff has failed to establish that there is a substantial possibility of a future event leading to an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claim for loss of future earning capacity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 plaintiff seeks reimbursement for the following out-of-pocket expenses:</w:t>
      </w:r>
      <w:r>
        <w:rPr>
          <w:rFonts w:ascii="arial" w:eastAsia="arial" w:hAnsi="arial" w:cs="arial"/>
          <w:sz w:val="20"/>
          <w:lang w:val="en-US" w:eastAsia="en-US" w:bidi="ar-SA"/>
        </w:rPr>
        <w:cr/>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$112 for damage to his laptop;</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$2,310 for gardening expenses;</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$44.37 for Ibuprofen, Advil and Platinum Muscle &amp; Back Pain Relief;</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$770 for physiotherapy treatment from Flora Lee Physiotherapy;</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$11,565 for chiropractic treatments from Dr. Adam Chan;</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$1,205 for chiropractic treatments from Dr. Navchaiten Dosanjh.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 defendants take no issue with respect to the laptop damage. With respect to item (b) they accept that the gardening expenses in 2009 are recoverable but submit that thereafter they are not, on the basis that the plaintiff had recovered to his pre-accident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With respect to item (c) the defendants deny liability on the basis that the plaintiff took the same medications prior to the First Accident and there is no evidence that his need for them increased after either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 defendants also submit that no award should be made for item (d) as the plaintiff failed to lead any evidence with respect to the necessity for the physiotherapy treatment. He also did not lead any evidence that these treatments were related to the First or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The defendants submit that any chiropractic treatment provided after October 8, 2011, the date when Dr. Chan indicated that the plaintiff had been symptom free for "awhile", relates to the plaintiff's pre-existing condition and is therefore not compensable. They say that by that date he had returned to his pre-accident baseline and any future maintenance treatments would have been required to treat the existing condition, absent the accidents. According to the defendants' calculations, the chiropractic expenses from the 2009 Accident to October 8, 2011 amount to $3,765.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The defendants also point out that the majority of the chiropractic treatments were undertaken without being recommended by the plaintiff's family doctor. They refer to </w:t>
      </w:r>
      <w:r>
        <w:rPr>
          <w:rFonts w:ascii="arial" w:eastAsia="arial" w:hAnsi="arial" w:cs="arial"/>
          <w:i/>
          <w:color w:val="000000"/>
          <w:sz w:val="20"/>
          <w:lang w:val="en-US" w:eastAsia="en-US" w:bidi="ar-SA"/>
        </w:rPr>
        <w:t>Redl v. Sellin,</w:t>
      </w:r>
      <w:r>
        <w:rPr>
          <w:rFonts w:ascii="arial" w:eastAsia="arial" w:hAnsi="arial" w:cs="arial"/>
          <w:color w:val="000000"/>
          <w:sz w:val="20"/>
          <w:lang w:val="en-US" w:eastAsia="en-US" w:bidi="ar-SA"/>
        </w:rPr>
        <w:t xml:space="preserve"> </w:t>
      </w:r>
      <w:hyperlink r:id="rId492" w:history="1">
        <w:r>
          <w:rPr>
            <w:rFonts w:ascii="arial" w:eastAsia="arial" w:hAnsi="arial" w:cs="arial"/>
            <w:i/>
            <w:color w:val="0077CC"/>
            <w:sz w:val="20"/>
            <w:u w:val="single"/>
            <w:shd w:val="clear" w:color="auto" w:fill="FFFFFF"/>
            <w:lang w:val="en-US" w:eastAsia="en-US" w:bidi="ar-SA"/>
          </w:rPr>
          <w:t>2013 BCSC 581</w:t>
        </w:r>
      </w:hyperlink>
      <w:r>
        <w:rPr>
          <w:rFonts w:ascii="arial" w:eastAsia="arial" w:hAnsi="arial" w:cs="arial"/>
          <w:color w:val="000000"/>
          <w:sz w:val="20"/>
          <w:lang w:val="en-US" w:eastAsia="en-US" w:bidi="ar-SA"/>
        </w:rPr>
        <w:t>, where Mr. Justice Saunders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[55] Generally speaking, claims for special damages are subject only to the standard of reasonableness. However, as with claims for the cost of future care ... when a claimed expense has been incurred in relation to treatment aimed at promotion of a plaintiff's physical or mental well-being, evidence of the medical justification for the expense is a factor in determining reasonableness.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 plaintiff shall recover the cost of $112 for damage to his laptop computer. With respect to the claim for gardening expenses I accept the need for those incurred between 2009 and 2012 in the sum of $2,310. It is appropriate that they be reduced by the same contingency of 25% as I applied respecting the non-pecuniary damages, in order to recognize the possibility that Mr. Pan may have needed assistance with the gardening as a result of his pre-existing issues even absent the accidents in 2009 and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The claim for the over-the-counter medications in the sum of $44.37 is dismissed, as the plaintiff has not shown that the use of such increased after the 2009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The claim for $770 for physiotherapy treatment from Flora Lee Physiotherapy is dismissed, as the plaintiff led no evidence that those treatments in 2012 related to either of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With respect to the chiropractic treatments from Dr. Chan, the treatments from the First Accident until October 2011 are recoverable in the sum of $3,765 less 25%. While they include treatment of the unproven neck injury they also include treatment for the plaintiff's lower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However with respect to the claim for chiropractic and massage treatments after October 2011 the medical evidence does not establish the need for them. Dr. Werry recommended as noted earlier that the plaintiff's low back stiffness and discomfort would be best treated not by passive therapies but by "maintenance of a self-directed regular exercise program ... designed and initially supervised by an exercise-oriented physiotherapist or kinesiologist". In all of the circumstances I am not satisfied that the chiropractic and massage treatments claimed and in particular any additional such treatments in excess of those prior to 2009 are reasonable. The claim for future chiropractic treatments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The plaintiff advances a claim for costs of rehabilitation treatments and medications in the future based on his current use. He provided an expert report from Alison Henry, an occupational therapist. The lump sum present value of the cost of future care items was the subject of a report from an economist, Darren Benning.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Ms. Henry noted that "determining the extent to which Mr. Pan's current costs are related directly to injuries sustained in the motor vehicle accidents in question does not form part of [the]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The future care items claimed include chiropractic treatments, massage therapy, medication, a neck pillow, a sacroiliac belt, a back support cushion and ice packs.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The claim for chiropractic treatments is for maintenance treatments every 10 days to two weeks at $45 a visit and massage therapy every two weeks at $30 per visit. In addition while the plaintiff claims for additional treatments when he has flare ups this was the situation before 2009. He has not established on the medical evidence justification for such treatments. As noted earlier the opinion of Dr. Werry was that exercise rather than passive treatments was recommended.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While I appreciate that the plaintiff may continue to receive chiropractic "maintenance" treatments and massage that is a matter of his choice. I note as well that both Dr. Parhar and Dr. Werry agreed that while such may be helpful in any acute phase of post-accident symptoms they are unlikely to affect the plaintiff's future 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The claim for future chiropractic and massage treatments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No evidence was led of the need for a neck pillow. The claim is not proven.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The plaintiff also has not proven that his need for ice packs, a sacroiliac belt or back support is due to the accidents. I note that no such expenses have been claimed as special damages, which suggests that such items were not necessary for treatment immediately following the accidents. There was no medical evidence tendered to show that these items are necessary, even if the need is due to the accidents. The claim for these items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With respect to the medications claimed, some do not relate to the treatment of pain. The remainder have not been shown to exceed those already in use prior to the First Accident. The claim for such future care costs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Depreciation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The plaintiff purchased the 2004 BMW M3 for $30,000 US in March 2008. As noted above, the vehicle required $18,421 in repairs following the First Accident. After that accident the plaintiff attempted to sell the BMW. He listed it on Craigslist for three months at an asking price of $27,000. It was his evidence that he had a few inquiries but no offers after advising prospective buyers of the damage caused by the First Accident. He made similar attempts to sell it in 2011 but received no response. As a result, he still owns and drives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The plaintiff provided an expert report from Carey Scarrow, who was qualified as an expert in the field of automotive appraisals and automotive collision repairs. He opined that as a result of the 2009 accident the vehicle sustained an accelerated depreciation of $4,000 due to the stigma associated with the BMW having been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In examining the vehicle Mr. Scarrow noted uneven body panel alignment in the front of the vehicle and other minor deficiencies including flaws in the refinished body panels with inconsistent coating thickness. He commented that the overall repair quality was of acceptable industry standards for the calibre of car but not representative of its previous pre-accident factory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Mr. Scarrow noted that it was mandatory for the seller to declare any damage over $2,000 to a prospective purchaser. He stated that the repaired areas will deteriorate at varying rates, making the repairs more evident as the vehicle 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He then provided his opinion that the collision repairs resulted in a value of $15,000, an accelerated depreciation of $4,000 when compared with an estimated value of $19,000 for a BMW of that make, age, and mileage but without the accident damage. In his report Mr. Scarrow indicated that he based this opinion on his inspection of the vehicle itself, references to the Sanford Gold Book, July 2013 edition (a used car valuation guide), as well as what he referred to as "local market comparable research." In cross-examination he expanded somewhat on this methodology, noting that he relies on his years of experience in used car valuation and sales to determine the valuation numbers. In this case he said that he also posted the car for sale for a period of three to four days and gauged the response from potential buyers. He noted that potential buyers for vehicles of this type are particularly "fussy" about the details of previous damage and repairs.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xml:space="preserve">  The plaintiff relies on </w:t>
      </w:r>
      <w:r>
        <w:rPr>
          <w:rFonts w:ascii="arial" w:eastAsia="arial" w:hAnsi="arial" w:cs="arial"/>
          <w:i/>
          <w:color w:val="000000"/>
          <w:sz w:val="20"/>
          <w:lang w:val="en-US" w:eastAsia="en-US" w:bidi="ar-SA"/>
        </w:rPr>
        <w:t>Signorello v. Khan,</w:t>
      </w:r>
      <w:r>
        <w:rPr>
          <w:rFonts w:ascii="arial" w:eastAsia="arial" w:hAnsi="arial" w:cs="arial"/>
          <w:color w:val="000000"/>
          <w:sz w:val="20"/>
          <w:lang w:val="en-US" w:eastAsia="en-US" w:bidi="ar-SA"/>
        </w:rPr>
        <w:t xml:space="preserve"> </w:t>
      </w:r>
      <w:hyperlink r:id="rId493" w:history="1">
        <w:r>
          <w:rPr>
            <w:rFonts w:ascii="arial" w:eastAsia="arial" w:hAnsi="arial" w:cs="arial"/>
            <w:i/>
            <w:color w:val="0077CC"/>
            <w:sz w:val="20"/>
            <w:u w:val="single"/>
            <w:shd w:val="clear" w:color="auto" w:fill="FFFFFF"/>
            <w:lang w:val="en-US" w:eastAsia="en-US" w:bidi="ar-SA"/>
          </w:rPr>
          <w:t>2010 BCSC 1448</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Cummings v. 565204 B.C. LTD.</w:t>
      </w:r>
      <w:r>
        <w:rPr>
          <w:rFonts w:ascii="arial" w:eastAsia="arial" w:hAnsi="arial" w:cs="arial"/>
          <w:color w:val="000000"/>
          <w:sz w:val="20"/>
          <w:lang w:val="en-US" w:eastAsia="en-US" w:bidi="ar-SA"/>
        </w:rPr>
        <w:t xml:space="preserve">, </w:t>
      </w:r>
      <w:hyperlink r:id="rId494" w:history="1">
        <w:r>
          <w:rPr>
            <w:rFonts w:ascii="arial" w:eastAsia="arial" w:hAnsi="arial" w:cs="arial"/>
            <w:i/>
            <w:color w:val="0077CC"/>
            <w:sz w:val="20"/>
            <w:u w:val="single"/>
            <w:shd w:val="clear" w:color="auto" w:fill="FFFFFF"/>
            <w:lang w:val="en-US" w:eastAsia="en-US" w:bidi="ar-SA"/>
          </w:rPr>
          <w:t>2009 BCSC 1009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Signorello</w:t>
      </w:r>
      <w:r>
        <w:rPr>
          <w:rFonts w:ascii="arial" w:eastAsia="arial" w:hAnsi="arial" w:cs="arial"/>
          <w:color w:val="000000"/>
          <w:sz w:val="20"/>
          <w:lang w:val="en-US" w:eastAsia="en-US" w:bidi="ar-SA"/>
        </w:rPr>
        <w:t xml:space="preserve"> stands for the proposition that a vehicle need not be sold in order to demonstrate an accelerated depreciation loss (para. 29); see also </w:t>
      </w:r>
      <w:r>
        <w:rPr>
          <w:rFonts w:ascii="arial" w:eastAsia="arial" w:hAnsi="arial" w:cs="arial"/>
          <w:i/>
          <w:color w:val="000000"/>
          <w:sz w:val="20"/>
          <w:lang w:val="en-US" w:eastAsia="en-US" w:bidi="ar-SA"/>
        </w:rPr>
        <w:t>Cummings</w:t>
      </w:r>
      <w:r>
        <w:rPr>
          <w:rFonts w:ascii="arial" w:eastAsia="arial" w:hAnsi="arial" w:cs="arial"/>
          <w:color w:val="000000"/>
          <w:sz w:val="20"/>
          <w:lang w:val="en-US" w:eastAsia="en-US" w:bidi="ar-SA"/>
        </w:rPr>
        <w:t>, at para. 73.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xml:space="preserve">  The defendants acknowledge that claims for accelerated depreciation are good in law. However, they submit there is a heavy burden on a plaintiff to adduce sufficient evidence to prove that accelerated depreciation has actually taken place. They rely on </w:t>
      </w:r>
      <w:r>
        <w:rPr>
          <w:rFonts w:ascii="arial" w:eastAsia="arial" w:hAnsi="arial" w:cs="arial"/>
          <w:i/>
          <w:color w:val="000000"/>
          <w:sz w:val="20"/>
          <w:lang w:val="en-US" w:eastAsia="en-US" w:bidi="ar-SA"/>
        </w:rPr>
        <w:t>Miles v</w:t>
      </w: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 xml:space="preserve"> Mendoza,</w:t>
      </w:r>
      <w:r>
        <w:rPr>
          <w:rFonts w:ascii="arial" w:eastAsia="arial" w:hAnsi="arial" w:cs="arial"/>
          <w:color w:val="000000"/>
          <w:sz w:val="20"/>
          <w:lang w:val="en-US" w:eastAsia="en-US" w:bidi="ar-SA"/>
        </w:rPr>
        <w:t xml:space="preserve"> </w:t>
      </w:r>
      <w:hyperlink r:id="rId495" w:history="1">
        <w:r>
          <w:rPr>
            <w:rFonts w:ascii="arial" w:eastAsia="arial" w:hAnsi="arial" w:cs="arial"/>
            <w:i/>
            <w:color w:val="0077CC"/>
            <w:sz w:val="20"/>
            <w:u w:val="single"/>
            <w:shd w:val="clear" w:color="auto" w:fill="FFFFFF"/>
            <w:lang w:val="en-US" w:eastAsia="en-US" w:bidi="ar-SA"/>
          </w:rPr>
          <w:t>1994 CanLII 419</w:t>
        </w:r>
      </w:hyperlink>
      <w:r>
        <w:rPr>
          <w:rFonts w:ascii="arial" w:eastAsia="arial" w:hAnsi="arial" w:cs="arial"/>
          <w:color w:val="000000"/>
          <w:sz w:val="20"/>
          <w:lang w:val="en-US" w:eastAsia="en-US" w:bidi="ar-SA"/>
        </w:rPr>
        <w:t xml:space="preserve"> (B.C.S.C.), and </w:t>
      </w:r>
      <w:r>
        <w:rPr>
          <w:rFonts w:ascii="arial" w:eastAsia="arial" w:hAnsi="arial" w:cs="arial"/>
          <w:i/>
          <w:color w:val="000000"/>
          <w:sz w:val="20"/>
          <w:lang w:val="en-US" w:eastAsia="en-US" w:bidi="ar-SA"/>
        </w:rPr>
        <w:t>Burrard Import Ltd. v. Budget Rent-A-Car of B.C. Ltd</w:t>
      </w:r>
      <w:r>
        <w:rPr>
          <w:rFonts w:ascii="arial" w:eastAsia="arial" w:hAnsi="arial" w:cs="arial"/>
          <w:color w:val="000000"/>
          <w:sz w:val="20"/>
          <w:lang w:val="en-US" w:eastAsia="en-US" w:bidi="ar-SA"/>
        </w:rPr>
        <w:t xml:space="preserve">, </w:t>
      </w:r>
      <w:hyperlink r:id="rId496" w:history="1">
        <w:r>
          <w:rPr>
            <w:rFonts w:ascii="arial" w:eastAsia="arial" w:hAnsi="arial" w:cs="arial"/>
            <w:i/>
            <w:color w:val="0077CC"/>
            <w:sz w:val="20"/>
            <w:u w:val="single"/>
            <w:shd w:val="clear" w:color="auto" w:fill="FFFFFF"/>
            <w:lang w:val="en-US" w:eastAsia="en-US" w:bidi="ar-SA"/>
          </w:rPr>
          <w:t>2001 BCPC 75</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Miles</w:t>
      </w:r>
      <w:r>
        <w:rPr>
          <w:rFonts w:ascii="arial" w:eastAsia="arial" w:hAnsi="arial" w:cs="arial"/>
          <w:color w:val="000000"/>
          <w:sz w:val="20"/>
          <w:lang w:val="en-US" w:eastAsia="en-US" w:bidi="ar-SA"/>
        </w:rPr>
        <w:t>, the court noted that "difficulties of proof" arise where the car is not sold after the accident, as the depreciating effect of the accident declines over time. The court also said that expert evidence of that only spoke to the general "stigma" attaching to damaged vehicles was not sufficiently persuasive proof to award damages for accelerated depreciation: "it cannot be "assumed", by virtue of the occurrence of an accident requiring extensive repairs, that a properly repaired vehicle has suffered accelerated depreciation" (para. 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Burrard</w:t>
      </w:r>
      <w:r>
        <w:rPr>
          <w:rFonts w:ascii="arial" w:eastAsia="arial" w:hAnsi="arial" w:cs="arial"/>
          <w:color w:val="000000"/>
          <w:sz w:val="20"/>
          <w:lang w:val="en-US" w:eastAsia="en-US" w:bidi="ar-SA"/>
        </w:rPr>
        <w:t xml:space="preserve"> followed </w:t>
      </w:r>
      <w:r>
        <w:rPr>
          <w:rFonts w:ascii="arial" w:eastAsia="arial" w:hAnsi="arial" w:cs="arial"/>
          <w:i/>
          <w:color w:val="000000"/>
          <w:sz w:val="20"/>
          <w:lang w:val="en-US" w:eastAsia="en-US" w:bidi="ar-SA"/>
        </w:rPr>
        <w:t>Miles</w:t>
      </w:r>
      <w:r>
        <w:rPr>
          <w:rFonts w:ascii="arial" w:eastAsia="arial" w:hAnsi="arial" w:cs="arial"/>
          <w:color w:val="000000"/>
          <w:sz w:val="20"/>
          <w:lang w:val="en-US" w:eastAsia="en-US" w:bidi="ar-SA"/>
        </w:rPr>
        <w:t xml:space="preserve"> in finding that the evidence did not meet the necessary standard given the claimant's expert's opinion amounted to no more than a simple proposition and as a result was not the type of persuasive evidence contemplated by the jurisprudence.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The defendants submit that the plaintiff must prove that the accelerated depreciation actually occurred by adducing evidence that goes over and above the simple proposition that a car which has been in an accident, even though properly repaired, carries a stigma. They say that in this case the plaintiff's evidence does not go beyond asserting the existence of such a stigma.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xml:space="preserve">  I cannot accept this submission, for two reasons. First, in my view, the evidentiary standard as described in </w:t>
      </w:r>
      <w:r>
        <w:rPr>
          <w:rFonts w:ascii="arial" w:eastAsia="arial" w:hAnsi="arial" w:cs="arial"/>
          <w:i/>
          <w:color w:val="000000"/>
          <w:sz w:val="20"/>
          <w:lang w:val="en-US" w:eastAsia="en-US" w:bidi="ar-SA"/>
        </w:rPr>
        <w:t>Miles</w:t>
      </w:r>
      <w:r>
        <w:rPr>
          <w:rFonts w:ascii="arial" w:eastAsia="arial" w:hAnsi="arial" w:cs="arial"/>
          <w:color w:val="000000"/>
          <w:sz w:val="20"/>
          <w:lang w:val="en-US" w:eastAsia="en-US" w:bidi="ar-SA"/>
        </w:rPr>
        <w:t xml:space="preserve"> has not been applied quite so strictly in recent decisions. In </w:t>
      </w:r>
      <w:r>
        <w:rPr>
          <w:rFonts w:ascii="arial" w:eastAsia="arial" w:hAnsi="arial" w:cs="arial"/>
          <w:i/>
          <w:color w:val="000000"/>
          <w:sz w:val="20"/>
          <w:lang w:val="en-US" w:eastAsia="en-US" w:bidi="ar-SA"/>
        </w:rPr>
        <w:t>Cummings</w:t>
      </w:r>
      <w:r>
        <w:rPr>
          <w:rFonts w:ascii="arial" w:eastAsia="arial" w:hAnsi="arial" w:cs="arial"/>
          <w:color w:val="000000"/>
          <w:sz w:val="20"/>
          <w:lang w:val="en-US" w:eastAsia="en-US" w:bidi="ar-SA"/>
        </w:rPr>
        <w:t>, for example, Madam Justice Gerow awarded $7,600 in damages for accelerated depreciation. There the evidence consisted of an automobile valuation expert's opinion that the plaintiff's vehicle had suffered an accelerated depreciation of 20% following the accident. There is no comment in the decision as to the factual basis for this opinion and no suggestion that it went beyond the expert's experience of the "stigma" in the marketplace. The owner had also attempted to trade the vehicle in but was informed by the dealership that they did not accept trade-ins on vehicles with more than $5,000 in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In</w:t>
      </w:r>
      <w:r>
        <w:rPr>
          <w:rFonts w:ascii="arial" w:eastAsia="arial" w:hAnsi="arial" w:cs="arial"/>
          <w:i/>
          <w:color w:val="000000"/>
          <w:sz w:val="20"/>
          <w:lang w:val="en-US" w:eastAsia="en-US" w:bidi="ar-SA"/>
        </w:rPr>
        <w:t xml:space="preserve"> Signorello</w:t>
      </w:r>
      <w:r>
        <w:rPr>
          <w:rFonts w:ascii="arial" w:eastAsia="arial" w:hAnsi="arial" w:cs="arial"/>
          <w:color w:val="000000"/>
          <w:sz w:val="20"/>
          <w:lang w:val="en-US" w:eastAsia="en-US" w:bidi="ar-SA"/>
        </w:rPr>
        <w:t xml:space="preserve"> the car was an extremely rare exotic high-performance luxury sports car, manufactured by Mercedes-Benz. The valuation expert set a value based on conversations he had with various Mercedes-Benz dealers in the province. The court identified some concerns with this evidence, noting that the defendant had argued that the expert's opinion was based on hearsay and opinion evidence itself. Justice Grauer then said at para. 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 ... the starting point for any vehicle appraisal is the Canadian </w:t>
      </w:r>
      <w:r>
        <w:rPr>
          <w:rFonts w:ascii="arial" w:eastAsia="arial" w:hAnsi="arial" w:cs="arial"/>
          <w:i/>
          <w:color w:val="000000"/>
          <w:sz w:val="20"/>
          <w:lang w:val="en-US" w:eastAsia="en-US" w:bidi="ar-SA"/>
        </w:rPr>
        <w:t>Black Book</w:t>
      </w:r>
      <w:r>
        <w:rPr>
          <w:rFonts w:ascii="arial" w:eastAsia="arial" w:hAnsi="arial" w:cs="arial"/>
          <w:color w:val="000000"/>
          <w:sz w:val="20"/>
          <w:lang w:val="en-US" w:eastAsia="en-US" w:bidi="ar-SA"/>
        </w:rPr>
        <w:t xml:space="preserve">, a guide to the wholesale value of used vehicles in Canada relied upon by dealers across the country. This car is so rare, however, that it does not appear in the </w:t>
      </w:r>
      <w:r>
        <w:rPr>
          <w:rFonts w:ascii="arial" w:eastAsia="arial" w:hAnsi="arial" w:cs="arial"/>
          <w:i/>
          <w:color w:val="000000"/>
          <w:sz w:val="20"/>
          <w:lang w:val="en-US" w:eastAsia="en-US" w:bidi="ar-SA"/>
        </w:rPr>
        <w:t>Black Book</w:t>
      </w:r>
      <w:r>
        <w:rPr>
          <w:rFonts w:ascii="arial" w:eastAsia="arial" w:hAnsi="arial" w:cs="arial"/>
          <w:color w:val="000000"/>
          <w:sz w:val="20"/>
          <w:lang w:val="en-US" w:eastAsia="en-US" w:bidi="ar-SA"/>
        </w:rPr>
        <w:t>. Of course the figures in that book could also be described as opinion evidence ... In the particular circumstances of the case, it is my conclusion that it was not an inappropriate way for Mr. Cogbill to approach the problem, although it would have been preferable had he included the specifics of his conversations. As it was, he did indicate the dealers whom he consulted,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From this I take that the expert may rely on the Black Book or similar valuation guides in coming to an opinion as to the value of the vehicle. It also suggests that the "difficulties of proof" that may arise if the car is not sold can be overcome by an expert's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xml:space="preserve">  Second, even if one accepts that the standard from </w:t>
      </w:r>
      <w:r>
        <w:rPr>
          <w:rFonts w:ascii="arial" w:eastAsia="arial" w:hAnsi="arial" w:cs="arial"/>
          <w:i/>
          <w:color w:val="000000"/>
          <w:sz w:val="20"/>
          <w:lang w:val="en-US" w:eastAsia="en-US" w:bidi="ar-SA"/>
        </w:rPr>
        <w:t>Miles</w:t>
      </w:r>
      <w:r>
        <w:rPr>
          <w:rFonts w:ascii="arial" w:eastAsia="arial" w:hAnsi="arial" w:cs="arial"/>
          <w:color w:val="000000"/>
          <w:sz w:val="20"/>
          <w:lang w:val="en-US" w:eastAsia="en-US" w:bidi="ar-SA"/>
        </w:rPr>
        <w:t xml:space="preserve"> still applies, I am of the view that the evidence tendered here does go beyond a "bare" opinion that the car has suffered depreciation due to a "stigma." Mr. Scarrow based his valuation on a long history of appraising cars, including BMWs. He also relied on the Gold Book, a valuation guide, and market research that he described in cross-examination. The plaintiff also provided evidence that he had attempted to sell the vehicle at a reduced price following the accident and received no offers.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I conclude that the plaintiff's evidence is sufficient to establish accelerated depreciation in value for the BMW. I accept Mr. Scarrow's figures and award damages of $4,000.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Unless there are matters that I am not aware of the plaintiff shall have his costs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R.D. PUNNETT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2" style="position:absolute;z-index:251783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7"/>
          <w:headerReference w:type="default" r:id="rId498"/>
          <w:footerReference w:type="even" r:id="rId499"/>
          <w:footerReference w:type="default" r:id="rId500"/>
          <w:headerReference w:type="first" r:id="rId501"/>
          <w:footerReference w:type="first" r:id="rId50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503" w:history="1">
        <w:r>
          <w:rPr>
            <w:rFonts w:ascii="arial" w:eastAsia="arial" w:hAnsi="arial" w:cs="arial"/>
            <w:b/>
            <w:bCs/>
            <w:i/>
            <w:color w:val="0077CC"/>
            <w:kern w:val="32"/>
            <w:sz w:val="28"/>
            <w:szCs w:val="32"/>
            <w:u w:val="single"/>
            <w:shd w:val="clear" w:color="auto" w:fill="FFFFFF"/>
            <w:lang w:val="en-US" w:eastAsia="en-US" w:bidi="ar-SA"/>
          </w:rPr>
          <w:t>Pearlman v. Insurance Corp. of British Columbia, [2009] B.C.J. No. 2849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N.H. Smith J.</w:t>
      </w:r>
    </w:p>
    <w:p>
      <w:pPr>
        <w:spacing w:before="120" w:line="260" w:lineRule="atLeast"/>
        <w:jc w:val="center"/>
        <w:rPr>
          <w:lang w:val="en-US" w:eastAsia="en-US" w:bidi="ar-SA"/>
        </w:rPr>
      </w:pPr>
      <w:r>
        <w:rPr>
          <w:rFonts w:ascii="arial" w:eastAsia="arial" w:hAnsi="arial" w:cs="arial"/>
          <w:color w:val="000000"/>
          <w:sz w:val="20"/>
          <w:lang w:val="en-US" w:eastAsia="en-US" w:bidi="ar-SA"/>
        </w:rPr>
        <w:t>Heard: April 20-24, 2009.</w:t>
      </w:r>
    </w:p>
    <w:p>
      <w:pPr>
        <w:spacing w:before="120" w:line="260" w:lineRule="atLeast"/>
        <w:jc w:val="center"/>
        <w:rPr>
          <w:lang w:val="en-US" w:eastAsia="en-US" w:bidi="ar-SA"/>
        </w:rPr>
      </w:pPr>
      <w:r>
        <w:rPr>
          <w:rFonts w:ascii="arial" w:eastAsia="arial" w:hAnsi="arial" w:cs="arial"/>
          <w:color w:val="000000"/>
          <w:sz w:val="20"/>
          <w:lang w:val="en-US" w:eastAsia="en-US" w:bidi="ar-SA"/>
        </w:rPr>
        <w:t>Oral judgment: April 24, 2009.</w:t>
      </w:r>
    </w:p>
    <w:p>
      <w:pPr>
        <w:spacing w:before="120" w:line="260" w:lineRule="atLeast"/>
        <w:jc w:val="center"/>
        <w:rPr>
          <w:lang w:val="en-US" w:eastAsia="en-US" w:bidi="ar-SA"/>
        </w:rPr>
      </w:pPr>
      <w:r>
        <w:rPr>
          <w:rFonts w:ascii="arial" w:eastAsia="arial" w:hAnsi="arial" w:cs="arial"/>
          <w:color w:val="000000"/>
          <w:sz w:val="20"/>
          <w:lang w:val="en-US" w:eastAsia="en-US" w:bidi="ar-SA"/>
        </w:rPr>
        <w:t>Docket: S064665</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Vancouver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[2009] B.C.J. No. 2849</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2009 BCSC 1907</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195 A.C.W.S. (3d) 384</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92 C.C.L.I. (4th) 258</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2009 CarswellBC 3865</w:t>
      </w:r>
    </w:p>
    <w:p>
      <w:pPr>
        <w:spacing w:before="120" w:line="260" w:lineRule="atLeast"/>
        <w:rPr>
          <w:lang w:val="en-US" w:eastAsia="en-US" w:bidi="ar-SA"/>
        </w:rPr>
      </w:pPr>
      <w:r>
        <w:rPr>
          <w:rFonts w:ascii="arial" w:eastAsia="arial" w:hAnsi="arial" w:cs="arial"/>
          <w:color w:val="000000"/>
          <w:sz w:val="20"/>
          <w:lang w:val="en-US" w:eastAsia="en-US" w:bidi="ar-SA"/>
        </w:rPr>
        <w:t>Between David Pearlman, Plaintiff, and Insurance Corporation of British Columbia and Kelly Winn,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(48 paras.)</w:t>
      </w:r>
    </w:p>
    <w:p>
      <w:pPr>
        <w:jc w:val="both"/>
        <w:rPr>
          <w:lang w:val="en-US" w:eastAsia="en-US" w:bidi="ar-SA"/>
        </w:rPr>
      </w:pPr>
      <w:bookmarkStart w:id="78" w:name="Counsel_22"/>
      <w:bookmarkEnd w:id="78"/>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03" style="position:absolute;z-index:25168281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Plaintiff: Appearing on his own behalf.</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Defendants: V.G. Critchley, A. Mosher (Articled Student).</w:t>
      </w:r>
      <w:r>
        <w:rPr>
          <w:lang w:val="en-US" w:eastAsia="en-US" w:bidi="ar-SA"/>
        </w:rPr>
        <w:cr/>
      </w:r>
    </w:p>
    <w:p>
      <w:pPr>
        <w:spacing w:after="240"/>
        <w:rPr>
          <w:lang w:val="en-US" w:eastAsia="en-US" w:bidi="ar-SA"/>
        </w:rPr>
      </w:pPr>
      <w:bookmarkStart w:id="79" w:name="Judgment_22"/>
      <w:bookmarkEnd w:id="79"/>
      <w:r>
        <w:pict>
          <v:line id="_x0000_s1104" style="position:absolute;z-index:251734016"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Oral 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3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80" w:name="N.H. SMITH J. (orally)"/>
            <w:bookmarkEnd w:id="80"/>
            <w:r>
              <w:rPr>
                <w:rFonts w:ascii="arial" w:eastAsia="arial" w:hAnsi="arial" w:cs="arial"/>
                <w:b/>
                <w:color w:val="000000"/>
                <w:sz w:val="30"/>
                <w:lang w:val="en-US" w:eastAsia="en-US" w:bidi="ar-SA"/>
              </w:rPr>
              <w:t>N.H. SMITH J. (orally)</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claims damages from the Insurance Corporation of British Columbia ("ICBC") arising out of what he says was the Corporation's wrongful conduct in obtaining a medical report from his family physician. The report was obtained after the plaintiff withdrew an authorization he had previously given the Corporation to obtain such information.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At the close of the plaintiff's case before a jury, the defendant makes an application under Rule 40(8) for dismissal of the action on the grounds that there is no evidence to support the plaintiff's case. As the Court of Appeal made clear in </w:t>
      </w:r>
      <w:r>
        <w:rPr>
          <w:rFonts w:ascii="arial" w:eastAsia="arial" w:hAnsi="arial" w:cs="arial"/>
          <w:b/>
          <w:i/>
          <w:color w:val="000000"/>
          <w:sz w:val="20"/>
          <w:lang w:val="en-US" w:eastAsia="en-US" w:bidi="ar-SA"/>
        </w:rPr>
        <w:t>Roberge v. Huberman</w:t>
      </w:r>
      <w:r>
        <w:rPr>
          <w:rFonts w:ascii="arial" w:eastAsia="arial" w:hAnsi="arial" w:cs="arial"/>
          <w:color w:val="000000"/>
          <w:sz w:val="20"/>
          <w:lang w:val="en-US" w:eastAsia="en-US" w:bidi="ar-SA"/>
        </w:rPr>
        <w:t xml:space="preserve">, </w:t>
      </w:r>
      <w:hyperlink r:id="rId504" w:history="1">
        <w:r>
          <w:rPr>
            <w:rFonts w:ascii="arial" w:eastAsia="arial" w:hAnsi="arial" w:cs="arial"/>
            <w:i/>
            <w:color w:val="0077CC"/>
            <w:sz w:val="20"/>
            <w:u w:val="single"/>
            <w:shd w:val="clear" w:color="auto" w:fill="FFFFFF"/>
            <w:lang w:val="en-US" w:eastAsia="en-US" w:bidi="ar-SA"/>
          </w:rPr>
          <w:t>1999 BCCA 196</w:t>
        </w:r>
      </w:hyperlink>
      <w:r>
        <w:rPr>
          <w:rFonts w:ascii="arial" w:eastAsia="arial" w:hAnsi="arial" w:cs="arial"/>
          <w:color w:val="000000"/>
          <w:sz w:val="20"/>
          <w:lang w:val="en-US" w:eastAsia="en-US" w:bidi="ar-SA"/>
        </w:rPr>
        <w:t>, it is not for me on a motion of this kind to weigh the evidence in support of the plaintiff's case or to express any views on its sufficiency. Such questions must be left to the jury. It is only for me to determine as a matter of law whether there is any evidence on which a jury acting reasonably could find for the plaintiff and whether such evidence exists for each element of the cause of action that must be proved.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facts of this case briefly are as follows.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was involved in a motor vehicle accident on November 25, 2004. He says that, in addition to neck and back injuries, he suffered dental injuries, which ultimately required extensive and costly restorative work. Following the accident and for more than a year after it, he was seen on several occasions by his family physician, Dr. Lubin, or by other doctors in Dr. Lubin's office. He also met with Ms. Winn, an ICBC adjuster, who obtained his authorization to obtain medical information. That authorization was signed by the plaintiff and dated December 1, 2004. The authorization states that the plaintiff was authorizing any medical practitioner to prepare a report or certificate including, but not limited to, the diagnosis, treatment, current condition, and prognosis in any format specified by ICBC relating to issues raised by his claim for injuries in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ICBC form states that the information is collected in accordance with s. 26 of the </w:t>
      </w:r>
      <w:r>
        <w:rPr>
          <w:rFonts w:ascii="arial" w:eastAsia="arial" w:hAnsi="arial" w:cs="arial"/>
          <w:b/>
          <w:i/>
          <w:color w:val="000000"/>
          <w:sz w:val="20"/>
          <w:lang w:val="en-US" w:eastAsia="en-US" w:bidi="ar-SA"/>
        </w:rPr>
        <w:t>Freedom of Information and Protection of Privacy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165</w:t>
      </w:r>
      <w:r>
        <w:rPr>
          <w:rFonts w:ascii="arial" w:eastAsia="arial" w:hAnsi="arial" w:cs="arial"/>
          <w:color w:val="000000"/>
          <w:sz w:val="20"/>
          <w:lang w:val="en-US" w:eastAsia="en-US" w:bidi="ar-SA"/>
        </w:rPr>
        <w:t xml:space="preserve">, and s. 9 of the </w:t>
      </w:r>
      <w:r>
        <w:rPr>
          <w:rFonts w:ascii="arial" w:eastAsia="arial" w:hAnsi="arial" w:cs="arial"/>
          <w:b/>
          <w:i/>
          <w:color w:val="000000"/>
          <w:sz w:val="20"/>
          <w:lang w:val="en-US" w:eastAsia="en-US" w:bidi="ar-SA"/>
        </w:rPr>
        <w:t>Insurance Corporation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228</w:t>
      </w:r>
      <w:r>
        <w:rPr>
          <w:rFonts w:ascii="arial" w:eastAsia="arial" w:hAnsi="arial" w:cs="arial"/>
          <w:color w:val="000000"/>
          <w:sz w:val="20"/>
          <w:lang w:val="en-US" w:eastAsia="en-US" w:bidi="ar-SA"/>
        </w:rPr>
        <w:t xml:space="preserve">. Section 26 of the </w:t>
      </w:r>
      <w:r>
        <w:rPr>
          <w:rFonts w:ascii="arial" w:eastAsia="arial" w:hAnsi="arial" w:cs="arial"/>
          <w:b/>
          <w:i/>
          <w:color w:val="000000"/>
          <w:sz w:val="20"/>
          <w:lang w:val="en-US" w:eastAsia="en-US" w:bidi="ar-SA"/>
        </w:rPr>
        <w:t>Freedom of Information Act</w:t>
      </w:r>
      <w:r>
        <w:rPr>
          <w:rFonts w:ascii="arial" w:eastAsia="arial" w:hAnsi="arial" w:cs="arial"/>
          <w:color w:val="000000"/>
          <w:sz w:val="20"/>
          <w:lang w:val="en-US" w:eastAsia="en-US" w:bidi="ar-SA"/>
        </w:rPr>
        <w:t xml:space="preserve"> relates to the ability of public bodies to obtain personal information and the circumstances under which they can do so.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Approximately one year later, the plaintiff retained counsel, who advised Ms. Winn that any previous authorizations had been revoked. However, on April 4, 2006, Ms. Winn wrote to Dr. Lubin seeking a narrative medical report and enclosed the authorization of December 1, 2004.</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It is well established that, in matters of this kind, ICBC may act in two different capacities: as the plaintiff's own insurer for the purpose of benefits payable under Part 7 of the regulations to the </w:t>
      </w:r>
      <w:r>
        <w:rPr>
          <w:rFonts w:ascii="arial" w:eastAsia="arial" w:hAnsi="arial" w:cs="arial"/>
          <w:b/>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and as the insurer of other drivers or vehicle owners who may be liable to the plaintiff in tort for injuries suffered in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letter to Dr. Lubin and the authorization do not state in which capacity ICBC was requesting the report, but it could only have been as the insurer for defendants in an extant or anticipated tort action. The plaintiff had been driving a vehicle registered in the State of Washington and insured by an American insurer. ICBC therefore did not accept the plaintiff's claim for Part 7 benefits and said he must look to the American insurer.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Dr. Lubin prepared a report which briefly discussed the plaintiff's medical history prior to November 25, 2004, including the results of a physical examination that happened to take place the day before the accident. It then describes 12 occasions between November 27, 2004, and April 4, 2006 at which Dr. Lubin or one of his colleagues dealt with matters related to the motor vehicle accident. One of those visits was on January 14, 2005, of which Dr. Lubin said: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 diagnosed whiplash-associated disorder grade 2 of the cervical and lumbar spine. I again recommended neck exercise and physiotherapy. Mr. Pearlman also complained of a problem with his upper teeth, which he attributed to the motor vehicle accident. On examination there was some looseness of the upper front tooth. I felt his dental problem was not likely connected to the motor vehicle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comment about dental injuries repeated a note Dr. Lubin had made in his clinical records for that date. Dr. Lubin's report to ICBC ended with a summary paragraph which said, in effect, that the plaintiff had suffered a whiplash injury that aggravated a pre-existing condition and that his ongoing neck and back pain was partly caused by the motor vehicle accident. No further comment about the dental injuries was made in the summary.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at some point commenced an action against the driver and owner of the other vehicle involved in the accident. The plaintiff believed that by stating an opinion on the cause of his dental injuries, Dr. Lubin had "sabotaged" his claim and that he could not use Dr. Lubin as a witness. That case went to trial before a jury in September 2008 and was dismissed. Dr. Lubin's report to Ms. Winn was not put into evidence at that trial, and no evidence from Dr. Lubin was put before the jury in any form by either party. The plaintiff also did not call dentists and dental specialists who had treated him and who had expressed the opinion that his dental injuries had in fact been caused by the accident. The plaintiff says he could not afford to pay the fees those dentists would have charged for attending in court.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In addition to the accident claim, which was dismissed, there have been a number of other court decisions in this and other actions. On May 4, 2007, Mr. Justice Cullen struck out most of the plaintiff's claim in this action. The only exception, as stated in the formal order, was "an allegation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based on the alleged unauthorized use" of the authorization.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commenced an action against his American insurer, the American Commerce Insurance Company ("ACIC"). That action was dismissed by a judgment of the Court of Appeal in February 2009. The court reversed a decision of this court which declined to dismiss the plaintiff's case on an application under Rule 18A.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plaintiff also sued Dr. Lubin, alleging a number of causes of action, including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confidence. That action went to trial before Madam Justice Morrison and was dismissed in reasons for judgment dated March 11, 2009. Madam Justice Morrison held that when ICBC requested the report, Dr. Lubin was obliged to provide it. She found that obligation arose out of s. 28 of the </w:t>
      </w:r>
      <w:r>
        <w:rPr>
          <w:rFonts w:ascii="arial" w:eastAsia="arial" w:hAnsi="arial" w:cs="arial"/>
          <w:b/>
          <w:i/>
          <w:color w:val="000000"/>
          <w:sz w:val="20"/>
          <w:lang w:val="en-US" w:eastAsia="en-US" w:bidi="ar-SA"/>
        </w:rPr>
        <w:t>Insurance (Vehicle) Act</w:t>
      </w:r>
      <w:r>
        <w:rPr>
          <w:rFonts w:ascii="arial" w:eastAsia="arial" w:hAnsi="arial" w:cs="arial"/>
          <w:color w:val="000000"/>
          <w:sz w:val="20"/>
          <w:lang w:val="en-US" w:eastAsia="en-US" w:bidi="ar-SA"/>
        </w:rPr>
        <w:t>, which reads: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If any of the following persons attends to, diagnoses, treats or is consulted by a person injured in a motor vehicle accident in British Columbia, he or she must, whenever the corporation requests, provide the corporation, as soon as reasonably practicable, with a report of the injuries and their diagnosis and treatment and a prognosis, in the form the corporation prescribes ...</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persons then listed include a medical practitioner.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Madam Justice Morrison also found that the plaintiff had failed to prove that Dr. Lubin, in providing a report to ICBC, caused the plaintiff to lose his motor vehicle accident action.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Before considering the issues that arise on this application, it is important that I make clear what is not at issue in this case. It is not as a matter of law open to the jury in this case to reconsider the question of whether Dr. Lubin was obliged to provide the report when Ms. Winn requested it. Madam Justice Morrison found that he was.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It is also not open to this jury to decide whether or not Dr. Lubin honestly believed what he wrote in his report. Madam Justice Morrison found that he did.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Those matters are not, strictly speaking,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by virtue of issue estoppel. One of the requirements for operation of that doctrine is that it must arise out of a prior proceeding involving the same parties or their privies. That requirement is not met in this case. The requirements are set out by the Supreme Court of Canada in </w:t>
      </w:r>
      <w:r>
        <w:rPr>
          <w:rFonts w:ascii="arial" w:eastAsia="arial" w:hAnsi="arial" w:cs="arial"/>
          <w:b/>
          <w:i/>
          <w:color w:val="000000"/>
          <w:sz w:val="20"/>
          <w:lang w:val="en-US" w:eastAsia="en-US" w:bidi="ar-SA"/>
        </w:rPr>
        <w:t>Danyluk v. Ainsworth Technologies</w:t>
      </w:r>
      <w:r>
        <w:rPr>
          <w:rFonts w:ascii="arial" w:eastAsia="arial" w:hAnsi="arial" w:cs="arial"/>
          <w:color w:val="000000"/>
          <w:sz w:val="20"/>
          <w:lang w:val="en-US" w:eastAsia="en-US" w:bidi="ar-SA"/>
        </w:rPr>
        <w:t xml:space="preserve">, </w:t>
      </w:r>
      <w:hyperlink r:id="rId505" w:history="1">
        <w:r>
          <w:rPr>
            <w:rFonts w:ascii="arial" w:eastAsia="arial" w:hAnsi="arial" w:cs="arial"/>
            <w:i/>
            <w:color w:val="0077CC"/>
            <w:sz w:val="20"/>
            <w:u w:val="single"/>
            <w:shd w:val="clear" w:color="auto" w:fill="FFFFFF"/>
            <w:lang w:val="en-US" w:eastAsia="en-US" w:bidi="ar-SA"/>
          </w:rPr>
          <w:t>[2001] 2 S.C.R. 460</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However, the Supreme Court of Canada also made clear in </w:t>
      </w:r>
      <w:r>
        <w:rPr>
          <w:rFonts w:ascii="arial" w:eastAsia="arial" w:hAnsi="arial" w:cs="arial"/>
          <w:b/>
          <w:i/>
          <w:color w:val="000000"/>
          <w:sz w:val="20"/>
          <w:lang w:val="en-US" w:eastAsia="en-US" w:bidi="ar-SA"/>
        </w:rPr>
        <w:t>Toronto (City) v. C.U.P.E., Local 79</w:t>
      </w:r>
      <w:r>
        <w:rPr>
          <w:rFonts w:ascii="arial" w:eastAsia="arial" w:hAnsi="arial" w:cs="arial"/>
          <w:color w:val="000000"/>
          <w:sz w:val="20"/>
          <w:lang w:val="en-US" w:eastAsia="en-US" w:bidi="ar-SA"/>
        </w:rPr>
        <w:t xml:space="preserve">, </w:t>
      </w:r>
      <w:hyperlink r:id="rId506" w:history="1">
        <w:r>
          <w:rPr>
            <w:rFonts w:ascii="arial" w:eastAsia="arial" w:hAnsi="arial" w:cs="arial"/>
            <w:i/>
            <w:color w:val="0077CC"/>
            <w:sz w:val="20"/>
            <w:u w:val="single"/>
            <w:shd w:val="clear" w:color="auto" w:fill="FFFFFF"/>
            <w:lang w:val="en-US" w:eastAsia="en-US" w:bidi="ar-SA"/>
          </w:rPr>
          <w:t>[2003] 3 S.C.R. 77</w:t>
        </w:r>
      </w:hyperlink>
      <w:r>
        <w:rPr>
          <w:rFonts w:ascii="arial" w:eastAsia="arial" w:hAnsi="arial" w:cs="arial"/>
          <w:color w:val="000000"/>
          <w:sz w:val="20"/>
          <w:lang w:val="en-US" w:eastAsia="en-US" w:bidi="ar-SA"/>
        </w:rPr>
        <w:t>, that even where the strict requirements of issue estoppel are not met, the court has discretion to prevent abuse of process and such abuse can include an attempt to relitigate factual matters that the court has already decided.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Madam Justice Morrison's findings regarding Dr. Lubin's conduct were made on the same or very similar evidence that is before the Court in this case, and I conclude it would indeed be an abuse of process to invite this jury to make contrary findings.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It is also not an issue in this case whether Dr. Lubin was right or wrong in his opinion about the dental injuries. The question of what injuries if any the plaintiff suffered in the accident was the very issue before the previous jury, which clearly decided on the basis of the evidence before it that there were no such injuries. Some or all of the earlier decisions which I have referred to are, the plaintiff says, at various stages of appeal, but unless and until they are reversed, they are binding on this Court.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question in this case is whether, as a result of ICBC's conduct, the plaintiff was denied the opportunity to present evidence that, on a balance of probabilities, the jury would have found persuasive in the earlier case and which would, on a balance of probabilities, have led that jury to a different conclusion.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Madam Justice Morrison's finding that Dr. Lubin was required to provide a report when ICBC asked for it is not necessarily determinative of this case. Although s. 28 required Dr. Lubin to provide the report when asked, that does not address the circumstances under which ICBC, having regard to its own duties and responsibilities, may properly make such a request.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As I have said, in seeking the report, ICBC was acting in its capacity as insurer of the defendants in the tort action or in a possible tort action. The rights of a litigant or a litigant's agents to obtain otherwise private and confidential information about an adverse party are governed by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Those rules apply to all parties before the court, and I am not persuaded that, in enacting s. 28, the legislature intended to give ICBC, and through ICBC its insureds, an avenue of discovery not open to other litigants.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ICBC points out that the only claim before the Court is based 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plaintiff has failed to present evidence on which a jury could find any of the elements necessary to succeed in such an action. Those well-known elements are the existence of a duty, the breach of that duty, damages suffered by the plaintiff, and a causal link between the breach of the duty and the damages. I prefer to begin my analysis with the last issue.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the case against Dr. Lubin, Madam Justice Morrison made an express finding that in providing his report to ICBC, Dr. Lubin did not cause the plaintiff to lose his accident case. As Madam Justice Morrison found there was no breach of duty by Dr. Lubin, it could be argued that her comments on the issue of causation and damages were not essential to her decision and therefore </w:t>
      </w:r>
      <w:r>
        <w:rPr>
          <w:rFonts w:ascii="arial" w:eastAsia="arial" w:hAnsi="arial" w:cs="arial"/>
          <w:i/>
          <w:color w:val="000000"/>
          <w:sz w:val="20"/>
          <w:lang w:val="en-US" w:eastAsia="en-US" w:bidi="ar-SA"/>
        </w:rPr>
        <w:t>obiter dicta</w:t>
      </w:r>
      <w:r>
        <w:rPr>
          <w:rFonts w:ascii="arial" w:eastAsia="arial" w:hAnsi="arial" w:cs="arial"/>
          <w:color w:val="000000"/>
          <w:sz w:val="20"/>
          <w:lang w:val="en-US" w:eastAsia="en-US" w:bidi="ar-SA"/>
        </w:rPr>
        <w:t>. However, she did arrive at a considered decision based on the evidence before her. But the plaintiff has been given the opportunity to present evidence in this case, so I prefer to begin by considering that evidence or lack thereof.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question is whether there is any evidence on which this jury could reasonably conclude that ICBC's requesting the report caused the plaintiff to lose either his accident case or his case against the American insurer. In the accident case, the plaintiff had to prove a causal link between the accident and both his orthopaedic and his dental conditions. Dr. Lubin was a necessary witness on the orthopaedic injuries. His opinion on that issue would clearly have been helpful to the plaintiff, and his evidence was in fact the best evidence available on the nature of those injuries and their causal link to the accident. No evidence from Dr. Lubin was put before the jury in the accident case; that was because of the plaintiff's belief that Dr. Lubin's passing comment about his dental injuries destroyed his case on that issue.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must prove that but for ICBC obtaining the report from Dr. Lubin the result of his accident case would have been different. If ICBC had not obtained that report, the plaintiff could have and indeed would have had to obtain a medical report from Dr. Lubin for use in that trial. There is no evidence before this jury that such a report would have been any different from the one that was produced. Indeed, the only evidence is from Dr. Lubin, who says he would have written the same report and expressed the same opinions no matter who requested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Even if the plaintiff could have somehow persuaded Dr. Lubin to omit his comment on the cause of the dental injuries from his report, the same comment appeared in his clinical records written long before ICBC requested a report. Such clinical records are subject to orders for production and are routinely entered into evidence in personal injury cases. There is no evidence in this case from which this jury could conclude that the plaintiff could have proven his neck and back injuries without Dr. Lubin's views on the dental injuries also coming before the jury in the accident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As for Dr. Lubin's view regarding the dental injuries, that was never put before the jury in the accident case and could not in any way have led to that jury's negative conclusion on that issue. That conclusion flowed from the plaintiff's failure to call dental experts who could have supported him on that point. The plaintiff says he could not afford to call those witnesses. While I sympathize with the financial predicament in which the plaintiff found himself, that does not lessen the legal burden on him to prove his case. In any event, there is no evidence that his failure to call the dental experts was the result of ICBC obtaining a report from Dr. Lubin.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If Dr. Lubin had been called to support the plaintiff's claim for neck and back injuries and had also given his adverse opinion on the dental injuries, it would have been even more important for the plaintiff to balance that opinion with the views of the dental experts, who the jury may well have considered to be more qualified on that point. However, these are the same dental experts who the plaintiff chose not to call even in the absence of any evidence from Dr. Lubin.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only conclusion open on the evidence is that the plaintiff lost the tort case because of what I would characterize as his unfortunate overreaction to a passing comment by Dr. Lubin that would have inevitably come before the jury in any event and because of a separate and unrelated decision not to call the necessary dental experts. I therefore must conclude there is no evidence on which the jury can find that ICBC's request for a report from Dr. Lubin had any causal connection to the outcome of his accident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has presented some evidence to suggest that ICBC had set a reserve of $25,000 for the accident case and that after receiving Dr. Lubin's report had made an offer of $7,100. However, the plaintiff has not given any evidence to the effect that even if $25,000 had been offered he would have accepted that offer.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Similarly, there is no evidence that ICBC requesting a report from Dr. Lubin caused the plaintiff to lose his case against the American insurer. It appears Dr. Lubin's report did come to the attention of ACIC and that may indeed have been improper, but there is nothing to suggest it played any role in the outcome of his claim. The Court of Appeal in dealing with that case said at para. 33:</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[33] In the proceeding by the plaintiff against ACIC, the latter obtained an independent medical examination of the plaintiff, and a report of 15 July 2008, from Dr. Burton H. Goldstein, a certified oral and maxillofacial surgeon. This report, which was also before the judge, contains an extensive review of the plaintiff's dentition prior to the accident of 25 November 2004, and of the many and various treatments the plaintiff received for his dental problems both before and after the accident. Dr. Goldstein concludes that most, if not all, of the various dental expenses which the plaintiff claimed from the defendant and the defendant paid in full, "were not required because of any injury or injuries suffered by Mr. Pearlman in the accident of November 4, 2004, and were related to the patient's pre-existing dental status".</w:t>
      </w:r>
    </w:p>
    <w:p>
      <w:pPr>
        <w:spacing w:before="120" w:line="260" w:lineRule="atLeast"/>
        <w:ind w:left="720"/>
        <w:rPr>
          <w:lang w:val="en-US" w:eastAsia="en-US" w:bidi="ar-SA"/>
        </w:rPr>
      </w:pPr>
      <w:r>
        <w:rPr>
          <w:rFonts w:ascii="arial" w:eastAsia="arial" w:hAnsi="arial" w:cs="arial"/>
          <w:color w:val="000000"/>
          <w:sz w:val="20"/>
          <w:lang w:val="en-US" w:eastAsia="en-US" w:bidi="ar-SA"/>
        </w:rPr>
        <w:t>[34] There was no evidence before the judge contradicting this opinion.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That finding by the Court of Appeal does not permit any conclusion other than that the plaintiff lost that case because of his failure to present evidence of dental experts, the same dental experts that he failed to call in the tort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 therefore must conclude that there is no evidence of causation on which the jury could properly conclude that ICBC's action in requesting a report from Dr. Lubin caused the plaintiff's loss. There is therefore no evidence on an essential element of the tort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I need not consider ICBC's submissions on the presence or absence of evidence for the other elements of the tort. The plaintiff's case, therefore, must be dismissed and the jury must be excused.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PEARLMAN: My Lord, may I?</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COURT: Yes.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PEARLMAN: I have provided Your Lordship with legislation.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COURT: Yes.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PEARLMAN: It seems to me that on the legislation there are protections for a party from whom ICBC received information. They did not comply with the legislation there. They have to provide me with certain information so I can correct certain things. That was not done. I think Your Lordship should deal with that.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COURT: I have read that. What I have said earlier is that I do not need to consider that because even if you succeed on that point, you still have not proven the cause of your loss.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PEARLMAN: I should point out that in the motor vehicle tort action Dr. Levinson gave evidence of the effect that the tooth is fractured.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COURT: The jury did not seem to accept it. Mr. Pearlman, I am not going to argue with you. If you think I am wrong, you have to -- and you have done it before -- go to the Court of Appeal.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PEARLMAN: Thank you, My Lord.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COURT: All right.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CRITCHLEY: My Lord, just one matter arising obviously is the matter of costs. I would simply ask that the defendant be entitled to their costs of the action.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COURT: Costs follow the event, yes.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N.H. SMITH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5" style="position:absolute;z-index:2517841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07"/>
          <w:headerReference w:type="default" r:id="rId508"/>
          <w:footerReference w:type="even" r:id="rId509"/>
          <w:footerReference w:type="default" r:id="rId510"/>
          <w:headerReference w:type="first" r:id="rId511"/>
          <w:footerReference w:type="first" r:id="rId51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59" w:history="1">
        <w:r>
          <w:rPr>
            <w:rFonts w:ascii="arial" w:eastAsia="arial" w:hAnsi="arial" w:cs="arial"/>
            <w:b/>
            <w:bCs/>
            <w:i/>
            <w:color w:val="0077CC"/>
            <w:kern w:val="32"/>
            <w:sz w:val="28"/>
            <w:szCs w:val="32"/>
            <w:u w:val="single"/>
            <w:shd w:val="clear" w:color="auto" w:fill="FFFFFF"/>
            <w:lang w:val="en-US" w:eastAsia="en-US" w:bidi="ar-SA"/>
          </w:rPr>
          <w:t>Rabiee v. Rendleman, [2015] B.C.J. No. 701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Nanaimo,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 Sharma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28-31, August 1 and November 24,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16,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M66595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Nanaimo</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701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595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Nahid Rabiee, Plaintiff, and Joshua Donald William Rendleman, a.k.a. Joshua D. Rendleman, and Jerrit Onley,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(99 paras.)</w:t>
      </w:r>
    </w:p>
    <w:p>
      <w:pPr>
        <w:jc w:val="both"/>
        <w:rPr>
          <w:rFonts w:ascii="arial" w:eastAsia="arial" w:hAnsi="arial" w:cs="arial"/>
          <w:sz w:val="20"/>
          <w:lang w:val="en-US" w:eastAsia="en-US" w:bidi="ar-SA"/>
        </w:rPr>
      </w:pPr>
      <w:bookmarkStart w:id="81" w:name="Counsel_23"/>
      <w:bookmarkEnd w:id="8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6" style="position:absolute;z-index:2516838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G.E. Beaubier.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E. Wagner.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82" w:name="Judgment_23"/>
      <w:bookmarkEnd w:id="82"/>
      <w:r>
        <w:pict>
          <v:line id="_x0000_s1107" style="position:absolute;z-index:25173504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r>
        <w:rPr>
          <w:rFonts w:ascii="arial" w:eastAsia="arial" w:hAnsi="arial" w:cs="arial"/>
          <w:sz w:val="20"/>
          <w:lang w:val="en-US" w:eastAsia="en-US" w:bidi="ar-SA"/>
        </w:rPr>
        <w:cr/>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FACTS</w:t>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Ms. Rabiee before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Employment History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Ms. Rabiee's Health after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 Changes to Ms. Rabiee's Lifestyle after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 Medical Evidence</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follow medical advice</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Pre-accident conditions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consistency between Ms. Rabiee's symptoms and the nature of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 Findings of Fact</w:t>
      </w:r>
    </w:p>
    <w:p>
      <w:pPr>
        <w:numPr>
          <w:numId w:val="3"/>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ISSUES</w:t>
      </w:r>
    </w:p>
    <w:p>
      <w:pPr>
        <w:numPr>
          <w:numId w:val="4"/>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ANALYSIS</w:t>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Causation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Non-Pecuniary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Other Damages</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Future Earning Capacity</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 Mitigation</w:t>
      </w:r>
    </w:p>
    <w:p>
      <w:pPr>
        <w:numPr>
          <w:numId w:val="6"/>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w:t>
      </w:r>
    </w:p>
    <w:p>
      <w:pPr>
        <w:numPr>
          <w:numId w:val="7"/>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COSTS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3" w:name="N. SHARMA J."/>
            <w:bookmarkEnd w:id="83"/>
            <w:r>
              <w:rPr>
                <w:rFonts w:ascii="arial" w:eastAsia="arial" w:hAnsi="arial" w:cs="arial"/>
                <w:b/>
                <w:color w:val="000000"/>
                <w:sz w:val="30"/>
                <w:lang w:val="en-US" w:eastAsia="en-US" w:bidi="ar-SA"/>
              </w:rPr>
              <w:t>N. SHARMA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case is about a low velocity motor vehicle accident. The defendants admit liability but dispute whether the accident injured the plaintiff and, if so, the degree and extent of any injury. They also say that the plaintiff has failed to mitigate her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accident happened on October 7, 2008. The plaintiff, Ms. Nahid Rabiee, was rear-ended by a vehicle driven by the defendant, Mr. Jerrit Onley. She says that she heard a "bang", lurched forward in her seat and immediately felt nauseous. She says two days later her whole body felt "achy".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Onley says the collision was no more than a "tap". He says he was stopped behind Ms. Rabiee's vehicle at a red light when he noticed he bumped into her car. He was distracted and looking away from his line of travel. He says he never took his foot off the brake pedal but must have eased up on it, during which time his car travelled approximately 10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Coincidentally, after exchanging information, Mr. Onley ended up directly behind Ms. Rabiee in a drive-through lane of a nearby Tim Horton's. Mr. Onley says he noticed a plastic "plug" was loose on the plaintiff's rear license plate holder so, while both were stopped, he got out of his vehicle and pushed it back in. It is agreed by the parties that that was the only damage to the plaintiff's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accident in this case was very minor. The parties agree that an injury justifying compensation may result from even the most minor motor vehicle accidents. But the defendants also say that, while the degree of damage to a vehicle is not determinative of the degree of the plaintiff's injury, it is a relevant consideration.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Ms. Rabiee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Many witnesses testified that Ms. Rabiee was a gregarious, caring, very hardworking and fun person. She seemed to have endless energy and capacious generosity. She was physically active and kept in good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Rabiee was born in Iran and moved to Canada in 1972. She graduated from high school in 1982. At the time of the accident she was 44 years old. She was first married in 1987 and had two sons: the first in May 1988, the second in July 1990. Her first marriage ended in about 2000 and she married for a second time in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Rabiee, her first husband and their children moved a number of times over the years but, by September 2000, they settled in Nanaimo where Ms. Rabiee became active with the local Baha'i community. Her faith has always been important to her. She has always been involved administratively and socially, often holding important positions within Baha'i organizations over the years. In Nanaimo she also volunteered at workshops which addressed drug and alcohol problems and she was on the board of a local charity.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Rabiee loved playing soccer and played regularly on an "official team" (which I infer was at a level higher than purely recreational play). Her sons also played soccer and she was very committed to their sport, sometimes coaching their teams. She also swam long distances, regularly attended the gym and enjoyed walking and running. She loved dancing and, I get the impression, she was often the life of a party. Ms. Rabiee did not just socialize; she organized and hosted many social events in the Baha'i community at her house and at larger venues. In particular, she helped organize a Baha'i New Year's celebration, an event attended by about 500 people. The Baha'i faith recognizes a "feast" every 19 days, which typically involves families coming together, and Ms. Rabiee frequently hosted and cooked for these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She and her first husband separated in December 2000. She met her second husband (Mr. Faramarz Rabiee) in Nanaimo and he operated a video store when they met. They were married in September 2003. Mr. Rabiee also had two children, about the same age as Ms. Rabiee's sons. The family was very active and socialized a lot. Mr. Rabiee's son, Nabil, testified at trial and said Ms. Rabiee was the glue that held the family together. They enjoyed travelling to California, Arizona and Chicago a few times as a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Upon marriage, Mr. and Ms. Rabiee, along with their respective teenage children, lived in a house near Departure Bay but moved in August 2004 to a house on Kestrel Drive in Nanaimo. That house was described as being "like a train station" because of the number of people coming and going. This included her and her husband's sons and their friends, Ms. Rabiee's large extended family and, very often, friends and members of the Baha'i community. Ms. Rabiee's parents lived in Nanaimo, as did her brothers, one of whom has 10 children. Her life was full and vibrant.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Employment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Her history of employment reveals her to be a very industrious person. She started working at age 15 (at a senior's home, working full day shifts). After completing high school, she trained to be a legal secretary but did not like that work so she then worked in retail. In 1985, she began working at an auto dealership in the accounting department.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It was during this time she met and married her first husband and the family moved a lot. They moved from Pitt Meadows to Campbell River in 1989. While in Campbell River, Ms. Rabiee attended college taking business courses. She got hired at an auto dealership and in 1992 also opened a food kiosk business ("Mr. Kabob") which, unfortunately, did not survive the economic downturn. In 1994, she worked at Superstore in Courtenay in its Industrial Relations Department.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family moved to Vernon for a year in 1995 where Ms. Rabiee took some computer courses. Eventually they moved to Prince George where she found a job in accounting at an auto dealership. They stayed in Prince George for about four years and Ms. Rabiee attended a local college while working. She also worked for the Elizabeth Fry Society from 1998 - 2000, initially as an assistant to the executive director but eventually as the organization's financial comptroller.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2000, the family moved back to Nanaimo. Ms. Rabiee took a one-year commercial accounting course at Vancouver Island University. For about one year after completing that course, she worked as an administrator and finance manager with an organization involved in drug and alcohol prevention and treatment. In 2003, she began working for her brothers' residential and commercial construction business (Nur Enterprises Ltd.) as the comptroller until about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2007, she got hired to work with a division of Home Depot called 3D Interior Fashions Inc. ("3D"). Initially she was hired as an interior decorator for window treatments. At the same time, she studied for and obtained her realtor's license and set up first with Re/Max and then Royal LePage. Although qualified, she did not really pursue a career in real estate and, as a result, she was not successful at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July 2008, she was offered the position of regional sales manager with 3D. She was responsible for the window treatment design and installation departments of 28 Home Depot stores across the province. She often needed to visit the stores to train associates, hire local installers, review displays and deal with vendors. In addition, she was responsible for the associated administrative tasks and paperwork. She travelled about 70% of her employment time and the balance of her time was spent on the phone and computer. Most of her travel involved driving. The job was demanding but rewarding for her. She said she loved her work.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Ms. Rabiee's Health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Immediately after impact, Ms. Rabiee says she felt nauseated. Ms. Rabiee says she went to see a doctor on October 10, 2008, where she was given a referral for physiotherapy. She saw a physiotherapist on October 28, 2008, but missed her next appointment because she had to travel to Vancouver for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Rabiee says she suffered neck and lower back pain for the first two years after the accident. She also had leg pain and difficulty raising and keeping her arms up (for instance, to put her hair up), although that pain did resolve with time. She says the other symptoms increased over time such that, by about 2010, she was suffering chronic pain. Over the two years, she said she also developed upper back pain, as well as headaches, difficulty sleeping and reduced energy. She frequently took sleeping pills to help her sleep and ibuprofen for pain, something she did not do before the accident. She felt depressed and frustrated by her pain and the impact it was having on her life.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Changes to Ms. Rabiee's Lifestyle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Rabiee says that as her pain became chronic and she developed more symptoms, her social life diminished. She was no longer able to manage, plan or host the number of Baha'i events that she used to. She could not perform the same administrative duties for the community. Her participation in soccer, hosting of dinner parties, dancing, swimming and walking were all reduced or ceased completely. This represented a huge change in her lifestyle. Many witnesses testified they saw a noticeable difference in Ms. Rabiee's demeanour and energy level during this time and that evidence was not contradicted.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There is also no doubt that, beginning in 2010, Ms. Rabiee had many stressors in her life. She says she was experiencing more pain and, at the same time, her husband's video store closed down, meaning she became the sole bread winner for the family. They had to do some re-financing to make ends meet, adding to the financial stress on the family. To further add to her burden, her parents moved in with her and her family because her brothers' business collapsed and the home her parents lived in had to be sold. She was also dealing with an audit by the Canada Revenue Agency.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June 2011, Ms. Rabiee joined with a friend (Odet Aljian) and her friend's daughter (Melina Simonian) to open a soup and sandwich business at the ferry terminal. She said they had always talked about trying to go into business together and during one of her trips to the mainland she had noticed the ad for a food stall at the ferry terminal. She invested her own money in the business but never intended to work in the shop; she viewed herself as a silent partner. Ms. Aljian was an excellent cook who took care of the operations and her daughter oversaw the financial aspects and bookkeeping.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By early 2014, Ms. Rabiee became aware that the business was struggling. Unfortunately, Ms. Aljian suffered a reoccurrence of cancer. Ms. Rabiee moved back to Nanaimo for a number of months in order to handle the situation by getting rid of excess inventory, reducing the number of employees, advertising the business for sale and eventually finding a buyer. Although she did work at the store during this time, she did not take on tasks requiring any heavy lifting.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Ms. Rabiee separated from her husband in March 2013. He refused to move out of the house so Ms. Rabiee, together with her parents, her children, one of Mr. Rabiee's sons and a family friend all relocated to a rental home. This was clearly a very difficult time in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Her extended family took a big holiday together in California in July 2013. This was an opportunity for them to discuss their situation given the collapse of the brothers' business and Ms. Rabiee's health. It was decided that one of her brothers would take their parents to live in Prince George.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With her family's encouragement, Ms. Rabiee resolved to directly address her chronic pain. She made the difficult decision to quit her job, a job that she loved. She testified that she would have stayed with 3D had it not been for the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Ms. Rabiee knew the company would need time to find a replacement so she agreed to work until December 2013. Her plan was to move to Prince George after that. Because her parents moved up to Prince George, the family moved out of the rental accommodation and Ms. Rabiee stayed with friends for part of the fall of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When she moved to Prince George in early 2014 (after the return to Nanaimo to assist in selling the food kiosk business), she obtained medical employment insurance benefits and she decided to focus on her health. Within two weeks she began exercising. She commenced an exercise regime of swimming and going to the gym. She focussed on healthy eating. Her efforts were successful because she lost 25 pounds and dropped a number of dress sizes.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Ms. Rabiee admits that while she was working at 3D and after the accident, her doctors told her to slow down, attend physiotherapy and do more exercise. She says she did try swimming and walking and could not do as much as she would have liked. She only attended physiotherapy about four times. She said with her job, she was constantly on the go, travelling 70% of the time, and it was very difficult to depend upon regular and frequent physiotherapy appointments. She was also worried about the cost since her husband was not earning any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have no doubt that Ms. Rabiee experienced a profound change to her lifestyle in the years after the accident. She had many witnesses testify on her behalf and their evidence was consistent on this point. Those witnesses were: her son, Vahid Mathiscyk; her second husband's son, Nabil Rabiee; a family friend, Isaac Zebaida; her former business partner and friend, Odet Aljian; Ms. Aljian's husband, Hamid Bejhati; Ms. Aljian's daughter, Melina Simonian; and Ms. Rabiee's friends who had known her for about seven years, Tayyebeh Shir Koobi and Ellen Murrell.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defendants called Ms. Rabiee's husband, Faramarz Rabiee, whom I do not find to be a credible witness. He was defensive during his cross-examination. He testified that Ms. Rabiee and her family kept him in the dark about the accident. He claimed he knew nothing about it at the time even though he admitted he signed a letter acknowledging the accident. His evidence about Ms. Rabiee's condition was vague, and in general, his testimony was internally inconsistent and inconsistent with the testimony of other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and Ms. Rabiee are currently involved in litigation about the dissolution of their marriage. I find it more likely than not that Mr. Rabiee's testimony was a misguided attempt to discredit Ms. Rabiee thinking it would assist his position in the matrimonial case. Given the existence of this litigation, which I understand to be contentious, it is difficult to understand why the defendants would call the plaintiff's ex-spouse as a witness. In any event, I find his evidence to have minimal, if any, reliability. Given that, along with the poor quality of his evidence and his defensiveness on the stand, I place no weight on his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Dr. Pillay, who was Ms. Rabiee's doctor from about May 2010 until she moved to Prince George (he was proffered as an expert in family medicine and the defendants did not challenge his expertise to give opinion evidence), testified at trial as did, Dr. Piper, an orthopedic surgeon called by the defendants to give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defendants also called Dr. Schulson who was Ms. Rabiee's doctor at the time of the accident and for a short time thereafter. The defendants remark it is curious that the plaintiff did not elicit an opinion from Dr. Schulson and point out the evidence seems clear that Ms. Rabiee was dissatisfied with Dr. Schulson. That may be true, but it is immaterial to any issue before me. The only relevant information provided by Dr. Schulson was: (i) Ms. Rabiee reported low back pain on a pre-accident visit (June 16, 2007); (ii) at the first visit with Dr. Schulson after the accident in November 2008, Ms. Rabiee reported the following symptoms happened immediately or very shortly after the accident - nausea, neck and upper back pain, feeling "achy", having low energy and headaches. His clinical notes also reveal that Ms. Rabiee reported an increase in pain throughout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 also relied on two "reports" sent to Dr. Pillay by Dr. Hawkesworth, a physiatrist. Dr. Hawkesworth did not testify. Dr. Pillay testified that he did not speak with Dr. Hawkesworth. For those reasons I place no weight on these two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will discuss the doctors' evidence as it relates to the contentious issues between the parties.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1. Failure to follow medical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 received medical advice from Drs. Pillay and Piper that she should attend physiotherapy, get more exercise and slow down generally in order to address her pain. But she said the travelling she had to do for her job made it impossible for her to attend physiotherapy, which requires consistent and frequent appointments to be effective. She did attempt to swim or walk for exercise after the accident, but she was not successful in doing so regularly. Ms. Rabiee also agreed she preferred not to take anti-depressant medication prescribed by doctors but, instead, to address her low mood through exercise and self-help.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defendants point out that Ms. Rabiee's own expert (Dr. Pillay) agreed that non-compliance with medical advice would have a negative impact on a person's recovery from injury, a view shared by Dr. Piper.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2. Pre-accident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defendants submit that the medical records reveal the plaintiff suffered from conditions she did not reveal to all the doctors she saw that are relevant to her current injuries. The defendants say this calls into question the plaintiff's credibility and is material to the issue of causation. Those conditions were:</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apparently fell on her head as a child. That injury is still evident and showed up on a CT scan performed on Ms. Rabiee as an adult in October of 2011.</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had migraine headaches in the early 1990's while living in Campbell River, sometimes receiving injections for the pain at the hospital.</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had breast reduction surgery in 1998, in part, because of back pain.</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1998, she was in a motor vehicle accident in Prince George which apparently resulted in a diagnoses of cervical strain at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There was considerable controversy about a page of Dr. Schulson's July 2007 clinical notes. The notes on that page indicate complaints of a low back sprain, a skin problem (rosacea), medication to assist smoking cessation and consultation about "mother". However, both Ms. Rabiee and her son, Vahid, testified that they believed those notes pertained to Dr. Schulson's consultation with Vahid and not Ms. Rabiee.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name "Vahid" appeared at the top of the page that was sent to both counsel by the doctor and which was first put into evidence. However, when Dr. Schulson took the stand, he had his files and the original of that page clearly shows the name at the top to be "Nahid". Dr. Schulson explained that someone folded over the original document to prevent copying of notes outside the requested date range and in so doing, obscured the left line of the "N".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Ms. Rabiee was recalled to react to this testimony, but she maintained her belief that the notes did not record a consultation that she had with Dr. Schulson. She claimed she never reported a skin problem and does not believe she would have spoken to the doctor about her mother. However, another medical record was put into evidence showing that she did receive a prescription for a skin rash at about the same time. Vahid Rabiee was not recalled. Based on all the evidence, I find it more likely than not that the July 2007 notes do relate to Ms. Rabiee and, thus, there was an incident in July 2007 of her complaining about low back pain.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3. The consistency between Ms. Rabiee's symptoms and the nature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defendants challenge whether Ms. Rabiee was injured by the accident and, if so, the extent of her injuries. The doctors' evidence on this issue differed.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 relies on Dr. Pillay's November 21, 2013 report and his testimony. He concluded that Ms. Rabiee suffered a grade II whiplash injury to her cervical spine and mechanical and myofascial pain in the trapezial and mid-scapular regions. Dr. Pillay concludes Ms. Rabiee has reached the point that her condition will not improve since it has been at least five years since the accident. He also says Ms. Rabiee "will require regular medical care particularly in addressing her chronic fatigue and mood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 emphasizes the consistency amongst the medical documents of the timing and description of her symptoms; she says those documents buttress her testimony about the nausea she felt upon impact, the nature and location of her pain immediately following the accident, her headaches and fatigue. There is also evidence that Ms. Rabiee consistently reported that her pain increased over the first two or three years and that she had complaints about her range of motion in her arms.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Ms. Rabiee also became depressed. She had less energy and withdrew from many social activities that she used to enjoy. Both Dr. Pillay and Dr. Piper confirmed she described these symptoms to them. I also note that these changes were corroborated by every lay witness who testified on her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defendants rely on Dr. Piper. In his report dated October 3, 2013, Dr. Piper found no orthopedic pathology and said he noted no "muscle spasm" which he said is present with most soft tissue injuries. During cross-examination he maintained that a muscle spasm is a completely objective measure. In his view, at most, Ms. Rabiee may have suffered very mild soft tissue injuries to the neck and perhaps to the low back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defendants say Ms. Rabiee exaggerated her pain, relying on two points in Dr. Piper's evidence. First, Dr. Piper said, in his mind, Ms. Rabiee was trying to convince him that she was in pain by making facial grimaces during her examination. He said this was unusual behaviour. Dr. Piper also testified that most patients are most symptomatic sooner after an accident than later and then they improve with time. He did accept, however, that it is possible to exacerbate a mild soft tissue injury but usually pain prevents this. What he meant by that is, if a patient experiences pain from certain movements because of the injury, those movements will be avoided (consciously or unconsciously), allowing the injury to heal. If those movements are not avoided, the injury may become worse. He also testified that any exacerbation is most likely to resolve within months, rather than years, after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doctors disagreed on Ms. Rabiee's prognosis. Unlike Dr. Pillay, Dr. Piper suggested Ms. Rabiee had not reached the maximum point of recovery. In his report he states there is "certainly no evidence that she is unable to continue to work at the present time in any capacity for which she has appropriate training." He did acknowledge her age would make recovery more difficult.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With regard to the medical evidence, the defendants submit Dr. Pillay's report should get minimal weight because of its poor quality. They say the medical history is scant and does not specify if it refers to pre and/or post-accident history. Dr. Pillay was unaware of and did not review Dr. Schulson's records, meaning he had only the plaintiff's report of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defendants also say Dr. Pillay's clinical records are inconsistent with statements in his report, the plaintiff's testimony and other clinical records. In his first report Dr. Pillay states Ms. Rabiee was "normal with the exception of the cervical region"; yet his clinical notes record a "backache" but no mention of neck (cervical) pain. In later clinical notes he does refer to lower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His notes refer to "chronic tension headaches" and investigations into chronic fatigue and depression, but there are no documents or notes recording the results of these investigations. Also, his clinical notes and report are inconsistent with regard to Ms. Rabiee's range of motion at different points in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defendants say the only basis for Dr. Pillay's conclusion that Ms. Rabiee has reached the point of maximum medical improvement is the fact that it has been five years since the accident. Dr. Piper specifically disagreed with that conclusion opining that Ms. Rabiee's condition could improve.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agree with the defendants that Dr. Pillay's reports have some weaknesses. Overall, I find Dr. Pillay to be a credible witness, but I do consider the reliability of his opinion to be diminished for two reasons: the inconsistencies between his notes and his report, and the failure to review previous clinical notes.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Overall I found Dr. Piper to be credible but I note that, as an orthopedic surgeon, his expertise is not diagnosing or treating soft tissue injuries. In particular, I found his insistence on the "objectivity" of detecting muscle spasms to reflect a rigidity that is consistent with skepticism that soft tissue injuries can be serious. This contributed to some minimization of Ms. Rabiee's symptoms. In my mind, that impacted the reliability of his allegation that Ms. Rabiee was exaggerating her symptoms. He was the only witness (other than Ms. Rabiee's ex-spouse whose evidence I reject) to suggest any kind of deception, exaggeration or malingering by Ms. Rabiee. I find his evidence about exaggeration to be an unreliable outlier and I do not place any weight on that aspect.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 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Based on my assessment of all the evidence presented, I make the following findings of fact:</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accident caused soft tissue injuries to Ms. Rabiee's neck and lower back.</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Rabiee's symptoms got worse over time until they became chronic in about 2010. During that time period she also experienced other symptoms including headaches, upper back pain, fatigue, difficulty sleeping and depressed mood.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demands of her job, particularly the long hours driving and being on the computer, interfered with her recovery from the soft tissue injuries and, more likely than not, exacerbated them.</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injuries, their impact on her life and the demands of her job negatively affected her energy, mood and ability to enjoy social activities.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evidence to link Ms. Rabiee's childhood head injury to her soft tissue injuries or headaches.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insufficient evidence to link her migraines or any pre-accident back pain to the soft tissue injuries because the former both resolved prior to the accident.</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her job made it difficult for Ms. Rabiee to devote time to exercise and attend regular and frequent physiotherapy sessions to help her recover. However, I also find that Ms. Rabiee did not try hard enough to fit those activities into her schedule.</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Rabiee had significant stress in her life in the years after the accident that contributed to her depressed mood and energy levels and, more likely than not, contributed to the development of new symptoms and continuation of the soft tissue injuries from the accident. Those stressors included the failure of her husband's and her brothers' businesses, her deteriorating marriage, her parents moving in to live with her and the Canada Revenue Agency audit.</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Regular and consistent physiotherapy sessions and regular exercise would have, more likely than not, reduced the aggravating impact that her job had on her soft tissue injuries.</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Rabiee's condition can still improve with regular exercise and physiotherapy. However, I do think it is more likely than not that she will continue to have some minor, lingering pain in her neck and back because of her age and the fact that those injuries were not treated (with physiotherapy and exercise) for a relatively long period of time.</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Any lingering neck and back pain will not prevent Ms. Rabiee's ability to earn income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There are four issues in this case:</w:t>
      </w:r>
      <w:r>
        <w:rPr>
          <w:rFonts w:ascii="arial" w:eastAsia="arial" w:hAnsi="arial" w:cs="arial"/>
          <w:sz w:val="20"/>
          <w:lang w:val="en-US" w:eastAsia="en-US" w:bidi="ar-SA"/>
        </w:rPr>
        <w:cr/>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accident cause Ms. Rabiee's injuries?</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Ms. Rabiee entitled to non-pecuniary damages as a result of the accident and, if so, in what amount?</w:t>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 Ms. Rabiee entitled to any other damages as a result of the accident?</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Ms. Rabiee fail to mitigate her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 legal test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well established and was conveniently summarized by Voith J. in </w:t>
      </w:r>
      <w:r>
        <w:rPr>
          <w:rFonts w:ascii="arial" w:eastAsia="arial" w:hAnsi="arial" w:cs="arial"/>
          <w:i/>
          <w:color w:val="000000"/>
          <w:sz w:val="20"/>
          <w:lang w:val="en-US" w:eastAsia="en-US" w:bidi="ar-SA"/>
        </w:rPr>
        <w:t>Brewster v. Li</w:t>
      </w:r>
      <w:r>
        <w:rPr>
          <w:rFonts w:ascii="arial" w:eastAsia="arial" w:hAnsi="arial" w:cs="arial"/>
          <w:color w:val="000000"/>
          <w:sz w:val="20"/>
          <w:lang w:val="en-US" w:eastAsia="en-US" w:bidi="ar-SA"/>
        </w:rPr>
        <w:t xml:space="preserve">, </w:t>
      </w:r>
      <w:hyperlink r:id="rId513" w:history="1">
        <w:r>
          <w:rPr>
            <w:rFonts w:ascii="arial" w:eastAsia="arial" w:hAnsi="arial" w:cs="arial"/>
            <w:i/>
            <w:color w:val="0077CC"/>
            <w:sz w:val="20"/>
            <w:u w:val="single"/>
            <w:shd w:val="clear" w:color="auto" w:fill="FFFFFF"/>
            <w:lang w:val="en-US" w:eastAsia="en-US" w:bidi="ar-SA"/>
          </w:rPr>
          <w:t>2013 BCSC 774</w:t>
        </w:r>
      </w:hyperlink>
      <w:r>
        <w:rPr>
          <w:rFonts w:ascii="arial" w:eastAsia="arial" w:hAnsi="arial" w:cs="arial"/>
          <w:color w:val="000000"/>
          <w:sz w:val="20"/>
          <w:lang w:val="en-US" w:eastAsia="en-US" w:bidi="ar-SA"/>
        </w:rPr>
        <w:t xml:space="preserve"> at paras. 77 - 84. From his judgment, I have summarized the points most relevant to this case:</w:t>
      </w:r>
      <w:r>
        <w:rPr>
          <w:rFonts w:ascii="arial" w:eastAsia="arial" w:hAnsi="arial" w:cs="arial"/>
          <w:sz w:val="20"/>
          <w:lang w:val="en-US" w:eastAsia="en-US" w:bidi="ar-SA"/>
        </w:rPr>
        <w:cr/>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must establish that the defendant was both the "cause in fact" and a proximate cause of any damage suffered.</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test for causation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the "but for" test. The court must determine if, without the tortious act, the plaintiff's injury would have resulted. If the answer is "yes", the defendant is not liable for the injury or the losses. If the answer is "no", however, the defendant is liable to the plaintiff for the whole of the losses flowing from the injury.</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must prove causation for both injury and loss, but the loss must be caused by the injury. In this context, "injury" refers to the initial physical or mental impairment of the plaintiff's person as a result of the defendant's act, while "loss" refers to the pecuniary or non-pecuniary consequences of that impairment.</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burden is on the plaintiff to prove, on a balance of probabilities, both the injury and the loss.</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Generally, the defendant must put the plaintiff back in the same (but not better) position he or she would have been in had the tortious act not occurred.</w:t>
      </w:r>
    </w:p>
    <w:p>
      <w:pPr>
        <w:numPr>
          <w:numId w:val="3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must take the plaintiff as he finds her, even if her injuries are unexpectedly severe or more dramatic than ordinarily suffered because of a pre-existing condition (the "thin skull" principle).</w:t>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But the defendant is not liable for the debilitating effects of a pre-existing condition that the plaintiff would have experienced regardless of the accident (the "crumbling skull" principle). In other words, compensation is not for the loss from the pre-existing condition, only for the increased loss caused by the negligent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addition to those principles, the following are particularly important in this case:</w:t>
      </w:r>
      <w:r>
        <w:rPr>
          <w:rFonts w:ascii="arial" w:eastAsia="arial" w:hAnsi="arial" w:cs="arial"/>
          <w:sz w:val="20"/>
          <w:lang w:val="en-US" w:eastAsia="en-US" w:bidi="ar-SA"/>
        </w:rPr>
        <w:cr/>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only needs to show that the accident was "a" cause of her injuries. The defendant is not excused from liability merely because there were other factors contributing to injury for which the defendant is not responsible: </w:t>
      </w:r>
      <w:r>
        <w:rPr>
          <w:rFonts w:ascii="arial" w:eastAsia="arial" w:hAnsi="arial" w:cs="arial"/>
          <w:i/>
          <w:color w:val="000000"/>
          <w:sz w:val="20"/>
          <w:lang w:val="en-US" w:eastAsia="en-US" w:bidi="ar-SA"/>
        </w:rPr>
        <w:t>Gabbard v. Hung</w:t>
      </w:r>
      <w:r>
        <w:rPr>
          <w:rFonts w:ascii="arial" w:eastAsia="arial" w:hAnsi="arial" w:cs="arial"/>
          <w:color w:val="000000"/>
          <w:sz w:val="20"/>
          <w:lang w:val="en-US" w:eastAsia="en-US" w:bidi="ar-SA"/>
        </w:rPr>
        <w:t xml:space="preserve">, 1999 B.C.J. No. 1907 at para. 21, citing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30"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paras. 16 - 19 (S.C.C.).</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Although there was no damage to Ms. Rabiee's vehicle, and the impact in this case was very minor, it is well established that the assessment of a person's injuries is based on evidence presented in court and not according to the amount of vehicle damage: </w:t>
      </w:r>
      <w:r>
        <w:rPr>
          <w:rFonts w:ascii="arial" w:eastAsia="arial" w:hAnsi="arial" w:cs="arial"/>
          <w:i/>
          <w:color w:val="000000"/>
          <w:sz w:val="20"/>
          <w:lang w:val="en-US" w:eastAsia="en-US" w:bidi="ar-SA"/>
        </w:rPr>
        <w:t>Gordon v. Palmer</w:t>
      </w:r>
      <w:r>
        <w:rPr>
          <w:rFonts w:ascii="arial" w:eastAsia="arial" w:hAnsi="arial" w:cs="arial"/>
          <w:color w:val="000000"/>
          <w:sz w:val="20"/>
          <w:lang w:val="en-US" w:eastAsia="en-US" w:bidi="ar-SA"/>
        </w:rPr>
        <w:t xml:space="preserve"> </w:t>
      </w:r>
      <w:hyperlink r:id="rId514" w:history="1">
        <w:r>
          <w:rPr>
            <w:rFonts w:ascii="arial" w:eastAsia="arial" w:hAnsi="arial" w:cs="arial"/>
            <w:i/>
            <w:color w:val="0077CC"/>
            <w:sz w:val="20"/>
            <w:u w:val="single"/>
            <w:shd w:val="clear" w:color="auto" w:fill="FFFFFF"/>
            <w:lang w:val="en-US" w:eastAsia="en-US" w:bidi="ar-SA"/>
          </w:rPr>
          <w:t>(1993), 78 B.C.L.R. (2d) 236</w:t>
        </w:r>
      </w:hyperlink>
      <w:r>
        <w:rPr>
          <w:rFonts w:ascii="arial" w:eastAsia="arial" w:hAnsi="arial" w:cs="arial"/>
          <w:color w:val="000000"/>
          <w:sz w:val="20"/>
          <w:lang w:val="en-US" w:eastAsia="en-US" w:bidi="ar-SA"/>
        </w:rPr>
        <w:t xml:space="preserve"> (S.C.) and </w:t>
      </w:r>
      <w:r>
        <w:rPr>
          <w:rFonts w:ascii="arial" w:eastAsia="arial" w:hAnsi="arial" w:cs="arial"/>
          <w:i/>
          <w:color w:val="000000"/>
          <w:sz w:val="20"/>
          <w:lang w:val="en-US" w:eastAsia="en-US" w:bidi="ar-SA"/>
        </w:rPr>
        <w:t>Christoffersen v. Howarth</w:t>
      </w:r>
      <w:r>
        <w:rPr>
          <w:rFonts w:ascii="arial" w:eastAsia="arial" w:hAnsi="arial" w:cs="arial"/>
          <w:color w:val="000000"/>
          <w:sz w:val="20"/>
          <w:lang w:val="en-US" w:eastAsia="en-US" w:bidi="ar-SA"/>
        </w:rPr>
        <w:t xml:space="preserve">, </w:t>
      </w:r>
      <w:hyperlink r:id="rId515" w:history="1">
        <w:r>
          <w:rPr>
            <w:rFonts w:ascii="arial" w:eastAsia="arial" w:hAnsi="arial" w:cs="arial"/>
            <w:i/>
            <w:color w:val="0077CC"/>
            <w:sz w:val="20"/>
            <w:u w:val="single"/>
            <w:shd w:val="clear" w:color="auto" w:fill="FFFFFF"/>
            <w:lang w:val="en-US" w:eastAsia="en-US" w:bidi="ar-SA"/>
          </w:rPr>
          <w:t>2013 BCSC 144</w:t>
        </w:r>
      </w:hyperlink>
      <w:r>
        <w:rPr>
          <w:rFonts w:ascii="arial" w:eastAsia="arial" w:hAnsi="arial" w:cs="arial"/>
          <w:color w:val="000000"/>
          <w:sz w:val="20"/>
          <w:lang w:val="en-US" w:eastAsia="en-US" w:bidi="ar-SA"/>
        </w:rPr>
        <w:t xml:space="preserve"> at paras. 53 - 60.</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not improper, however, for a defendant to make the argument that the nature of the accident is a relevant consideration when assessing damages: </w:t>
      </w:r>
      <w:r>
        <w:rPr>
          <w:rFonts w:ascii="arial" w:eastAsia="arial" w:hAnsi="arial" w:cs="arial"/>
          <w:i/>
          <w:color w:val="000000"/>
          <w:sz w:val="20"/>
          <w:lang w:val="en-US" w:eastAsia="en-US" w:bidi="ar-SA"/>
        </w:rPr>
        <w:t>Makara v. Weihmann</w:t>
      </w:r>
      <w:r>
        <w:rPr>
          <w:rFonts w:ascii="arial" w:eastAsia="arial" w:hAnsi="arial" w:cs="arial"/>
          <w:color w:val="000000"/>
          <w:sz w:val="20"/>
          <w:lang w:val="en-US" w:eastAsia="en-US" w:bidi="ar-SA"/>
        </w:rPr>
        <w:t xml:space="preserve">, </w:t>
      </w:r>
      <w:hyperlink r:id="rId516" w:history="1">
        <w:r>
          <w:rPr>
            <w:rFonts w:ascii="arial" w:eastAsia="arial" w:hAnsi="arial" w:cs="arial"/>
            <w:i/>
            <w:color w:val="0077CC"/>
            <w:sz w:val="20"/>
            <w:u w:val="single"/>
            <w:shd w:val="clear" w:color="auto" w:fill="FFFFFF"/>
            <w:lang w:val="en-US" w:eastAsia="en-US" w:bidi="ar-SA"/>
          </w:rPr>
          <w:t>2005 BCSC 1757</w:t>
        </w:r>
      </w:hyperlink>
      <w:r>
        <w:rPr>
          <w:rFonts w:ascii="arial" w:eastAsia="arial" w:hAnsi="arial" w:cs="arial"/>
          <w:color w:val="000000"/>
          <w:sz w:val="20"/>
          <w:lang w:val="en-US" w:eastAsia="en-US" w:bidi="ar-SA"/>
        </w:rPr>
        <w:t xml:space="preserve"> at para. 7.</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defendants question the plaintiff's reliability and credibility (as discussed above). Combined with what they say is the very weak evidence of Dr. Pillay and the minor nature of the collision, the defendants say in their written submissions that "the evidence in support of the Plaintiff's allegations of severe limitations is quite shaky and ought to be regarded with a great deal of skepticism."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found Ms. Rabiee to be a forthright and credible witness. She was calm during her testimony and cross-examination and she struck me as being genuine and honest. She was not defensive or evasive in her testimony and would readily agree with statements if true even though they were not in favour of her claim. There are some inconsistencies in her evidence about her pre-accident medical history. Certainly her insistence that Dr. Schulson's July 2007 notes were not about her was odd. However, overall I find her description of her symptoms and the impact of those on her life to be reliable and credible.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Given the findings of fact above, I am satisfied that the plaintiff has established on a balance of probabilities that the accident caused soft tissue injuries. The accident was clearly "a cause" of the soft tissue injuries. The demands of her job contributed to the longevity and severity of her injuries, but I will discuss that later with regard to mitigation.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Non-pecuniary damages compensate plaintiffs for pain, suffering, loss of enjoyment of life and loss of amenities; each award must be assessed specific to the particular circumstances of the plaintiff and is intended to ameliorate the plaintiff's condition: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102"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45, leave to appeal ref'd </w:t>
      </w:r>
      <w:hyperlink r:id="rId345" w:history="1">
        <w:r>
          <w:rPr>
            <w:rFonts w:ascii="arial" w:eastAsia="arial" w:hAnsi="arial" w:cs="arial"/>
            <w:i/>
            <w:color w:val="0077CC"/>
            <w:sz w:val="20"/>
            <w:u w:val="single"/>
            <w:shd w:val="clear" w:color="auto" w:fill="FFFFFF"/>
            <w:lang w:val="en-US" w:eastAsia="en-US" w:bidi="ar-SA"/>
          </w:rPr>
          <w:t>[2006] S.C.C.A. No. 100</w:t>
        </w:r>
      </w:hyperlink>
      <w:r>
        <w:rPr>
          <w:rFonts w:ascii="arial" w:eastAsia="arial" w:hAnsi="arial" w:cs="arial"/>
          <w:color w:val="000000"/>
          <w:sz w:val="20"/>
          <w:lang w:val="en-US" w:eastAsia="en-US" w:bidi="ar-SA"/>
        </w:rPr>
        <w:t xml:space="preserve">. The parties agree on the approach and refer to para. 46 of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where the Court of Appeal outlines a list of non-exhaustive factors that influence an award of pecuniary damages, which I summarize as including: the plaintiff's age; the nature of her injuries, including the severity and duration of her pain; the degree of the impairment of physical and mental ability and/or disability; emotional suffering; loss or impairment of life or lifestyle; impairment of family, marital and social relationships; and the plaintiff's stoicism (in the sense that it should not be held against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The defendants emphasize that Ms. Rabiee's injuries were very mild and that there is little "objective" evidence of her injuries. They rely on </w:t>
      </w:r>
      <w:r>
        <w:rPr>
          <w:rFonts w:ascii="arial" w:eastAsia="arial" w:hAnsi="arial" w:cs="arial"/>
          <w:i/>
          <w:color w:val="000000"/>
          <w:sz w:val="20"/>
          <w:lang w:val="en-US" w:eastAsia="en-US" w:bidi="ar-SA"/>
        </w:rPr>
        <w:t>Price v. Kostryba</w:t>
      </w:r>
      <w:r>
        <w:rPr>
          <w:rFonts w:ascii="arial" w:eastAsia="arial" w:hAnsi="arial" w:cs="arial"/>
          <w:color w:val="000000"/>
          <w:sz w:val="20"/>
          <w:lang w:val="en-US" w:eastAsia="en-US" w:bidi="ar-SA"/>
        </w:rPr>
        <w:t xml:space="preserve"> </w:t>
      </w:r>
      <w:hyperlink r:id="rId156" w:history="1">
        <w:r>
          <w:rPr>
            <w:rFonts w:ascii="arial" w:eastAsia="arial" w:hAnsi="arial" w:cs="arial"/>
            <w:i/>
            <w:color w:val="0077CC"/>
            <w:sz w:val="20"/>
            <w:u w:val="single"/>
            <w:shd w:val="clear" w:color="auto" w:fill="FFFFFF"/>
            <w:lang w:val="en-US" w:eastAsia="en-US" w:bidi="ar-SA"/>
          </w:rPr>
          <w:t>(1982), 70 B.C.L.R. 397</w:t>
        </w:r>
      </w:hyperlink>
      <w:r>
        <w:rPr>
          <w:rFonts w:ascii="arial" w:eastAsia="arial" w:hAnsi="arial" w:cs="arial"/>
          <w:color w:val="000000"/>
          <w:sz w:val="20"/>
          <w:lang w:val="en-US" w:eastAsia="en-US" w:bidi="ar-SA"/>
        </w:rPr>
        <w:t xml:space="preserve"> at 399 (S.C.) where McEachern C.J. quoted his own words in </w:t>
      </w:r>
      <w:r>
        <w:rPr>
          <w:rFonts w:ascii="arial" w:eastAsia="arial" w:hAnsi="arial" w:cs="arial"/>
          <w:i/>
          <w:color w:val="000000"/>
          <w:sz w:val="20"/>
          <w:lang w:val="en-US" w:eastAsia="en-US" w:bidi="ar-SA"/>
        </w:rPr>
        <w:t>Butler v. Blaylock</w:t>
      </w:r>
      <w:r>
        <w:rPr>
          <w:rFonts w:ascii="arial" w:eastAsia="arial" w:hAnsi="arial" w:cs="arial"/>
          <w:color w:val="000000"/>
          <w:sz w:val="20"/>
          <w:lang w:val="en-US" w:eastAsia="en-US" w:bidi="ar-SA"/>
        </w:rPr>
        <w:t xml:space="preserve">, </w:t>
      </w:r>
      <w:hyperlink r:id="rId517" w:history="1">
        <w:r>
          <w:rPr>
            <w:rFonts w:ascii="arial" w:eastAsia="arial" w:hAnsi="arial" w:cs="arial"/>
            <w:i/>
            <w:color w:val="0077CC"/>
            <w:sz w:val="20"/>
            <w:u w:val="single"/>
            <w:shd w:val="clear" w:color="auto" w:fill="FFFFFF"/>
            <w:lang w:val="en-US" w:eastAsia="en-US" w:bidi="ar-SA"/>
          </w:rPr>
          <w:t>[1981] B.C.J. No. 31</w:t>
        </w:r>
      </w:hyperlink>
      <w:r>
        <w:rPr>
          <w:rFonts w:ascii="arial" w:eastAsia="arial" w:hAnsi="arial" w:cs="arial"/>
          <w:color w:val="000000"/>
          <w:sz w:val="20"/>
          <w:lang w:val="en-US" w:eastAsia="en-US" w:bidi="ar-SA"/>
        </w:rPr>
        <w:t xml:space="preserve"> (B.C.S.C.) that "the court should be exceedingly careful when there is little or no objective evidence of continuing injury and when complaints of pain persist for long periods extending beyond the normal or usual recovery" and that no one can expect citizens to be responsible for compensating a plaintiff "in the absence of convincing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I do not take these quotes to mean that a stricter standard of proof applies where the main evidence about injury comes from a plaintiff's subjective reports to doctors and testimony in court. The standard of proof does not change and it does not matter if the evidence is "objective" or "subjective". In fact, after considering the above quotation, the Court of Appeal in </w:t>
      </w:r>
      <w:r>
        <w:rPr>
          <w:rFonts w:ascii="arial" w:eastAsia="arial" w:hAnsi="arial" w:cs="arial"/>
          <w:i/>
          <w:color w:val="000000"/>
          <w:sz w:val="20"/>
          <w:lang w:val="en-US" w:eastAsia="en-US" w:bidi="ar-SA"/>
        </w:rPr>
        <w:t>Butler v. Blaylock</w:t>
      </w:r>
      <w:r>
        <w:rPr>
          <w:rFonts w:ascii="arial" w:eastAsia="arial" w:hAnsi="arial" w:cs="arial"/>
          <w:color w:val="000000"/>
          <w:sz w:val="20"/>
          <w:lang w:val="en-US" w:eastAsia="en-US" w:bidi="ar-SA"/>
        </w:rPr>
        <w:t xml:space="preserve">, </w:t>
      </w:r>
      <w:hyperlink r:id="rId518" w:history="1">
        <w:r>
          <w:rPr>
            <w:rFonts w:ascii="arial" w:eastAsia="arial" w:hAnsi="arial" w:cs="arial"/>
            <w:i/>
            <w:color w:val="0077CC"/>
            <w:sz w:val="20"/>
            <w:u w:val="single"/>
            <w:shd w:val="clear" w:color="auto" w:fill="FFFFFF"/>
            <w:lang w:val="en-US" w:eastAsia="en-US" w:bidi="ar-SA"/>
          </w:rPr>
          <w:t>[1983] B.C.J. No. 1490</w:t>
        </w:r>
      </w:hyperlink>
      <w:r>
        <w:rPr>
          <w:rFonts w:ascii="arial" w:eastAsia="arial" w:hAnsi="arial" w:cs="arial"/>
          <w:color w:val="000000"/>
          <w:sz w:val="20"/>
          <w:lang w:val="en-US" w:eastAsia="en-US" w:bidi="ar-SA"/>
        </w:rPr>
        <w:t xml:space="preserve"> (B.C.C.A.) clarified: "It is not the law that if a plaintiff cannot show objective evidence of continuing injury that he cannot recover. If the pain suffered by the plaintiff is real and continuing and resulted from the injuries suffered in the accident, the plaintiff is entitled to recover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 key consideration is whether the evidence, as a whole, establishes that the plaintiff's injuries were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a balance of probabilities. I have concluded that Ms. Rabiee has met that burden. Thus, the fact that the evidence of her injuries is based largely on subjective reports does not detract from the application of the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xml:space="preserve">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With regard to those factors, Ms. Rabiee's injuries were mild in severity but had a longer duration than expected. The medical evidence suggested her age may account for at least part of that lengthened duration. I have also found that the demands of her job combined with her failure to attend physiotherapy and exercise aggravated her soft tissue injuries, increasing the pain she experienced and the duration of her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It is also clear that the injuries contributed to a stark change in Ms. Rabiee's lifestyle; she reported feeling depressed and frustrated by the limitations her injuries had on her ability to be active physically and socially. Given how vibrant and enriched her social life was before the accident, the change would feel that much more dramatic to her. However, I have also found that it is unlikely the injuries will negatively impact Ms. Rabiee's ability to work and, combined with her industrious nature, I find that the accident did not disable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my view, taking all of these factors into account, I conclude damages in the low range are appropriate. I reviewed all the cases presented by the parties in support of their suggested award for non-pecuniary damages but will only refer to those that I have found to be the most relevant. The plaintiff seeks damages of $70,000. The plaintiff's cases I found most helpful have a range of $45,000 to $75,000 for non-pecuniary damages as summarized below:</w:t>
      </w:r>
      <w:r>
        <w:rPr>
          <w:rFonts w:ascii="arial" w:eastAsia="arial" w:hAnsi="arial" w:cs="arial"/>
          <w:sz w:val="20"/>
          <w:lang w:val="en-US" w:eastAsia="en-US" w:bidi="ar-SA"/>
        </w:rPr>
        <w:cr/>
      </w:r>
    </w:p>
    <w:p>
      <w:pPr>
        <w:numPr>
          <w:numId w:val="4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Aubin v. Ball</w:t>
      </w:r>
      <w:r>
        <w:rPr>
          <w:rFonts w:ascii="arial" w:eastAsia="arial" w:hAnsi="arial" w:cs="arial"/>
          <w:color w:val="000000"/>
          <w:sz w:val="20"/>
          <w:lang w:val="en-US" w:eastAsia="en-US" w:bidi="ar-SA"/>
        </w:rPr>
        <w:t xml:space="preserve">, </w:t>
      </w:r>
      <w:hyperlink r:id="rId519" w:history="1">
        <w:r>
          <w:rPr>
            <w:rFonts w:ascii="arial" w:eastAsia="arial" w:hAnsi="arial" w:cs="arial"/>
            <w:i/>
            <w:color w:val="0077CC"/>
            <w:sz w:val="20"/>
            <w:u w:val="single"/>
            <w:shd w:val="clear" w:color="auto" w:fill="FFFFFF"/>
            <w:lang w:val="en-US" w:eastAsia="en-US" w:bidi="ar-SA"/>
          </w:rPr>
          <w:t>2013 BCSC 962</w:t>
        </w:r>
      </w:hyperlink>
      <w:r>
        <w:rPr>
          <w:rFonts w:ascii="arial" w:eastAsia="arial" w:hAnsi="arial" w:cs="arial"/>
          <w:color w:val="000000"/>
          <w:sz w:val="20"/>
          <w:lang w:val="en-US" w:eastAsia="en-US" w:bidi="ar-SA"/>
        </w:rPr>
        <w:t xml:space="preserve"> - The plaintiff in this case was 23 years old at the time of the accident and suffered a grade II whiplash, lumbar sprain and muscular pain in the hip and buttock which the trial judge found would likely be permanent and have a negative impact on earning capacity. Non-pecuniary damages of $75,000 were awarded, although this included an amount for loss of housekeeping.</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Warkentin v. Riggs</w:t>
      </w:r>
      <w:r>
        <w:rPr>
          <w:rFonts w:ascii="arial" w:eastAsia="arial" w:hAnsi="arial" w:cs="arial"/>
          <w:color w:val="000000"/>
          <w:sz w:val="20"/>
          <w:lang w:val="en-US" w:eastAsia="en-US" w:bidi="ar-SA"/>
        </w:rPr>
        <w:t xml:space="preserve">, </w:t>
      </w:r>
      <w:hyperlink r:id="rId520" w:history="1">
        <w:r>
          <w:rPr>
            <w:rFonts w:ascii="arial" w:eastAsia="arial" w:hAnsi="arial" w:cs="arial"/>
            <w:i/>
            <w:color w:val="0077CC"/>
            <w:sz w:val="20"/>
            <w:u w:val="single"/>
            <w:shd w:val="clear" w:color="auto" w:fill="FFFFFF"/>
            <w:lang w:val="en-US" w:eastAsia="en-US" w:bidi="ar-SA"/>
          </w:rPr>
          <w:t>2010 BCSC 1706</w:t>
        </w:r>
      </w:hyperlink>
      <w:r>
        <w:rPr>
          <w:rFonts w:ascii="arial" w:eastAsia="arial" w:hAnsi="arial" w:cs="arial"/>
          <w:color w:val="000000"/>
          <w:sz w:val="20"/>
          <w:lang w:val="en-US" w:eastAsia="en-US" w:bidi="ar-SA"/>
        </w:rPr>
        <w:t xml:space="preserve"> - The plaintiff was 36 and suffered soft tissue injuries to her neck and back and "widespread" pain. These injuries were aggravated by increased muscle tension which led to headaches. The trial judge awarded $50,000 in non-pecuniary damages.</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Cartwright v. Cartwright</w:t>
      </w:r>
      <w:r>
        <w:rPr>
          <w:rFonts w:ascii="arial" w:eastAsia="arial" w:hAnsi="arial" w:cs="arial"/>
          <w:color w:val="000000"/>
          <w:sz w:val="20"/>
          <w:lang w:val="en-US" w:eastAsia="en-US" w:bidi="ar-SA"/>
        </w:rPr>
        <w:t xml:space="preserve">, </w:t>
      </w:r>
      <w:hyperlink r:id="rId521" w:history="1">
        <w:r>
          <w:rPr>
            <w:rFonts w:ascii="arial" w:eastAsia="arial" w:hAnsi="arial" w:cs="arial"/>
            <w:i/>
            <w:color w:val="0077CC"/>
            <w:sz w:val="20"/>
            <w:u w:val="single"/>
            <w:shd w:val="clear" w:color="auto" w:fill="FFFFFF"/>
            <w:lang w:val="en-US" w:eastAsia="en-US" w:bidi="ar-SA"/>
          </w:rPr>
          <w:t>2012 BCSC 1140</w:t>
        </w:r>
      </w:hyperlink>
      <w:r>
        <w:rPr>
          <w:rFonts w:ascii="arial" w:eastAsia="arial" w:hAnsi="arial" w:cs="arial"/>
          <w:color w:val="000000"/>
          <w:sz w:val="20"/>
          <w:lang w:val="en-US" w:eastAsia="en-US" w:bidi="ar-SA"/>
        </w:rPr>
        <w:t xml:space="preserve"> - The plaintiff was only 15 at the time of the accident but the injuries were of similar nature to Ms. Rabiee's. The trial judge concluded the plaintiff had been moderately affected by chronic back pain and would continue to suffer in the future although there was a substantial possibility the pain would diminish with rehabilitation and exercise. She was awarded non-pecuniary damages in the amount of $60,000.</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Jiwani v. Borodi</w:t>
      </w:r>
      <w:r>
        <w:rPr>
          <w:rFonts w:ascii="arial" w:eastAsia="arial" w:hAnsi="arial" w:cs="arial"/>
          <w:color w:val="000000"/>
          <w:sz w:val="20"/>
          <w:lang w:val="en-US" w:eastAsia="en-US" w:bidi="ar-SA"/>
        </w:rPr>
        <w:t xml:space="preserve">, </w:t>
      </w:r>
      <w:hyperlink r:id="rId522" w:history="1">
        <w:r>
          <w:rPr>
            <w:rFonts w:ascii="arial" w:eastAsia="arial" w:hAnsi="arial" w:cs="arial"/>
            <w:i/>
            <w:color w:val="0077CC"/>
            <w:sz w:val="20"/>
            <w:u w:val="single"/>
            <w:shd w:val="clear" w:color="auto" w:fill="FFFFFF"/>
            <w:lang w:val="en-US" w:eastAsia="en-US" w:bidi="ar-SA"/>
          </w:rPr>
          <w:t>2014 BCSC 1164</w:t>
        </w:r>
      </w:hyperlink>
      <w:r>
        <w:rPr>
          <w:rFonts w:ascii="arial" w:eastAsia="arial" w:hAnsi="arial" w:cs="arial"/>
          <w:color w:val="000000"/>
          <w:sz w:val="20"/>
          <w:lang w:val="en-US" w:eastAsia="en-US" w:bidi="ar-SA"/>
        </w:rPr>
        <w:t xml:space="preserve"> - The 52 year old plaintiff suffered soft tissue injuries to his neck and back. The neck pain and resulting headaches resolved after about six months but the back pain remained. The trial judge awarded $65,000 in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defendants submit $20,000 is an appropriate award but the range of non-pecuniary damages in the most relevant cases they cited to me is $20,000 to $45,000. Those cases are:</w:t>
      </w:r>
      <w:r>
        <w:rPr>
          <w:rFonts w:ascii="arial" w:eastAsia="arial" w:hAnsi="arial" w:cs="arial"/>
          <w:sz w:val="20"/>
          <w:lang w:val="en-US" w:eastAsia="en-US" w:bidi="ar-SA"/>
        </w:rPr>
        <w:cr/>
      </w:r>
    </w:p>
    <w:p>
      <w:pPr>
        <w:numPr>
          <w:numId w:val="4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Johal v. Conron</w:t>
      </w:r>
      <w:r>
        <w:rPr>
          <w:rFonts w:ascii="arial" w:eastAsia="arial" w:hAnsi="arial" w:cs="arial"/>
          <w:color w:val="000000"/>
          <w:sz w:val="20"/>
          <w:lang w:val="en-US" w:eastAsia="en-US" w:bidi="ar-SA"/>
        </w:rPr>
        <w:t xml:space="preserve">, </w:t>
      </w:r>
      <w:hyperlink r:id="rId483" w:history="1">
        <w:r>
          <w:rPr>
            <w:rFonts w:ascii="arial" w:eastAsia="arial" w:hAnsi="arial" w:cs="arial"/>
            <w:i/>
            <w:color w:val="0077CC"/>
            <w:sz w:val="20"/>
            <w:u w:val="single"/>
            <w:shd w:val="clear" w:color="auto" w:fill="FFFFFF"/>
            <w:lang w:val="en-US" w:eastAsia="en-US" w:bidi="ar-SA"/>
          </w:rPr>
          <w:t>2013 BCSC 1924</w:t>
        </w:r>
      </w:hyperlink>
      <w:r>
        <w:rPr>
          <w:rFonts w:ascii="arial" w:eastAsia="arial" w:hAnsi="arial" w:cs="arial"/>
          <w:color w:val="000000"/>
          <w:sz w:val="20"/>
          <w:lang w:val="en-US" w:eastAsia="en-US" w:bidi="ar-SA"/>
        </w:rPr>
        <w:t xml:space="preserve"> - The plaintiff was 57 and suffered injuries to the neck and lumbar spine, although there were some pre-existing conditions that contributed to the injuries. She was awarded $35,000 in non-pecuniary damages.</w:t>
      </w:r>
    </w:p>
    <w:p>
      <w:pPr>
        <w:numPr>
          <w:numId w:val="4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Lees v. Compton</w:t>
      </w:r>
      <w:r>
        <w:rPr>
          <w:rFonts w:ascii="arial" w:eastAsia="arial" w:hAnsi="arial" w:cs="arial"/>
          <w:color w:val="000000"/>
          <w:sz w:val="20"/>
          <w:lang w:val="en-US" w:eastAsia="en-US" w:bidi="ar-SA"/>
        </w:rPr>
        <w:t xml:space="preserve">, </w:t>
      </w:r>
      <w:hyperlink r:id="rId523" w:history="1">
        <w:r>
          <w:rPr>
            <w:rFonts w:ascii="arial" w:eastAsia="arial" w:hAnsi="arial" w:cs="arial"/>
            <w:i/>
            <w:color w:val="0077CC"/>
            <w:sz w:val="20"/>
            <w:u w:val="single"/>
            <w:shd w:val="clear" w:color="auto" w:fill="FFFFFF"/>
            <w:lang w:val="en-US" w:eastAsia="en-US" w:bidi="ar-SA"/>
          </w:rPr>
          <w:t>2013 BCSC 1015</w:t>
        </w:r>
      </w:hyperlink>
      <w:r>
        <w:rPr>
          <w:rFonts w:ascii="arial" w:eastAsia="arial" w:hAnsi="arial" w:cs="arial"/>
          <w:color w:val="000000"/>
          <w:sz w:val="20"/>
          <w:lang w:val="en-US" w:eastAsia="en-US" w:bidi="ar-SA"/>
        </w:rPr>
        <w:t xml:space="preserve"> - The plaintiff was 25 and suffered soft tissue injuries for which she received $45,000.</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Sun v. Sukhan</w:t>
      </w:r>
      <w:r>
        <w:rPr>
          <w:rFonts w:ascii="arial" w:eastAsia="arial" w:hAnsi="arial" w:cs="arial"/>
          <w:color w:val="000000"/>
          <w:sz w:val="20"/>
          <w:lang w:val="en-US" w:eastAsia="en-US" w:bidi="ar-SA"/>
        </w:rPr>
        <w:t xml:space="preserve">, </w:t>
      </w:r>
      <w:hyperlink r:id="rId524" w:history="1">
        <w:r>
          <w:rPr>
            <w:rFonts w:ascii="arial" w:eastAsia="arial" w:hAnsi="arial" w:cs="arial"/>
            <w:i/>
            <w:color w:val="0077CC"/>
            <w:sz w:val="20"/>
            <w:u w:val="single"/>
            <w:shd w:val="clear" w:color="auto" w:fill="FFFFFF"/>
            <w:lang w:val="en-US" w:eastAsia="en-US" w:bidi="ar-SA"/>
          </w:rPr>
          <w:t>2012 BCSC 365</w:t>
        </w:r>
      </w:hyperlink>
      <w:r>
        <w:rPr>
          <w:rFonts w:ascii="arial" w:eastAsia="arial" w:hAnsi="arial" w:cs="arial"/>
          <w:color w:val="000000"/>
          <w:sz w:val="20"/>
          <w:lang w:val="en-US" w:eastAsia="en-US" w:bidi="ar-SA"/>
        </w:rPr>
        <w:t xml:space="preserve"> - The plaintiff was found to have suffered for just less than two years from soft tissue injuries to the back and neck caused by a low velocity accident and received $20,000.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Taking into account all of the cases and my conclusions about the evidence in this case, I find Ms. Rabiee is entitled to $40,000 for non-pecuniary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Other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plaintiff seeks only two other awards: (i) loss of future earning capacity equivalent to two years' salary she was earning at 3D ($140,000); and (ii) $500 for attendance at a gymnasium or aquatic centre. She makes no claim for loss of past income and earning capacity, cost of future care or retraining.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1.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The guiding principles for loss of future earning capacity are set out in </w:t>
      </w:r>
      <w:r>
        <w:rPr>
          <w:rFonts w:ascii="arial" w:eastAsia="arial" w:hAnsi="arial" w:cs="arial"/>
          <w:i/>
          <w:color w:val="000000"/>
          <w:sz w:val="20"/>
          <w:lang w:val="en-US" w:eastAsia="en-US" w:bidi="ar-SA"/>
        </w:rPr>
        <w:t>Langille v. Nguyen</w:t>
      </w:r>
      <w:r>
        <w:rPr>
          <w:rFonts w:ascii="arial" w:eastAsia="arial" w:hAnsi="arial" w:cs="arial"/>
          <w:color w:val="000000"/>
          <w:sz w:val="20"/>
          <w:lang w:val="en-US" w:eastAsia="en-US" w:bidi="ar-SA"/>
        </w:rPr>
        <w:t xml:space="preserve">, </w:t>
      </w:r>
      <w:hyperlink r:id="rId525" w:history="1">
        <w:r>
          <w:rPr>
            <w:rFonts w:ascii="arial" w:eastAsia="arial" w:hAnsi="arial" w:cs="arial"/>
            <w:i/>
            <w:color w:val="0077CC"/>
            <w:sz w:val="20"/>
            <w:u w:val="single"/>
            <w:shd w:val="clear" w:color="auto" w:fill="FFFFFF"/>
            <w:lang w:val="en-US" w:eastAsia="en-US" w:bidi="ar-SA"/>
          </w:rPr>
          <w:t>2013 BCSC 1460</w:t>
        </w:r>
      </w:hyperlink>
      <w:r>
        <w:rPr>
          <w:rFonts w:ascii="arial" w:eastAsia="arial" w:hAnsi="arial" w:cs="arial"/>
          <w:color w:val="000000"/>
          <w:sz w:val="20"/>
          <w:lang w:val="en-US" w:eastAsia="en-US" w:bidi="ar-SA"/>
        </w:rPr>
        <w:t xml:space="preserve"> at paras. 200 - 206, aff'd </w:t>
      </w:r>
      <w:hyperlink r:id="rId526" w:history="1">
        <w:r>
          <w:rPr>
            <w:rFonts w:ascii="arial" w:eastAsia="arial" w:hAnsi="arial" w:cs="arial"/>
            <w:i/>
            <w:color w:val="0077CC"/>
            <w:sz w:val="20"/>
            <w:u w:val="single"/>
            <w:shd w:val="clear" w:color="auto" w:fill="FFFFFF"/>
            <w:lang w:val="en-US" w:eastAsia="en-US" w:bidi="ar-SA"/>
          </w:rPr>
          <w:t>2014 BCCA 430</w:t>
        </w:r>
      </w:hyperlink>
      <w:r>
        <w:rPr>
          <w:rFonts w:ascii="arial" w:eastAsia="arial" w:hAnsi="arial" w:cs="arial"/>
          <w:color w:val="000000"/>
          <w:sz w:val="20"/>
          <w:lang w:val="en-US" w:eastAsia="en-US" w:bidi="ar-SA"/>
        </w:rPr>
        <w:t xml:space="preserve">. Insofar as possible, compensation for lost earning capacity should put the plaintiff in the position she would have been but for the injuries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This requires a comparison of two future events: the likely future of the plaintiff's working life as if the accident never happened versus the plaintiff's likely future after the accident. Because future events are being assessed the burden of proof is simple probability rather than a balance of probabilities. There are two different approaches -- the earnings approach and the capital asset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A summary of the principles regarding this analysis was provided by Savage J. in </w:t>
      </w:r>
      <w:r>
        <w:rPr>
          <w:rFonts w:ascii="arial" w:eastAsia="arial" w:hAnsi="arial" w:cs="arial"/>
          <w:i/>
          <w:color w:val="000000"/>
          <w:sz w:val="20"/>
          <w:lang w:val="en-US" w:eastAsia="en-US" w:bidi="ar-SA"/>
        </w:rPr>
        <w:t>Parker v. Lemmon</w:t>
      </w:r>
      <w:r>
        <w:rPr>
          <w:rFonts w:ascii="arial" w:eastAsia="arial" w:hAnsi="arial" w:cs="arial"/>
          <w:color w:val="000000"/>
          <w:sz w:val="20"/>
          <w:lang w:val="en-US" w:eastAsia="en-US" w:bidi="ar-SA"/>
        </w:rPr>
        <w:t xml:space="preserve">, </w:t>
      </w:r>
      <w:hyperlink r:id="rId376" w:history="1">
        <w:r>
          <w:rPr>
            <w:rFonts w:ascii="arial" w:eastAsia="arial" w:hAnsi="arial" w:cs="arial"/>
            <w:i/>
            <w:color w:val="0077CC"/>
            <w:sz w:val="20"/>
            <w:u w:val="single"/>
            <w:shd w:val="clear" w:color="auto" w:fill="FFFFFF"/>
            <w:lang w:val="en-US" w:eastAsia="en-US" w:bidi="ar-SA"/>
          </w:rPr>
          <w:t>2012 BCSC 27</w:t>
        </w:r>
      </w:hyperlink>
      <w:r>
        <w:rPr>
          <w:rFonts w:ascii="arial" w:eastAsia="arial" w:hAnsi="arial" w:cs="arial"/>
          <w:color w:val="000000"/>
          <w:sz w:val="20"/>
          <w:lang w:val="en-US" w:eastAsia="en-US" w:bidi="ar-SA"/>
        </w:rPr>
        <w:t xml:space="preserve"> at para. 42: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[42] The approach to such claims is well set out in the decision of Garson J.A. in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116"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paras. 25-32, which I summarize as follows:</w:t>
      </w:r>
    </w:p>
    <w:p>
      <w:pPr>
        <w:numPr>
          <w:numId w:val="4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plaintiff must first prove there is a real and substantial possibility of a future event leading to an income loss before the Court will embark on an assessment of the loss;</w:t>
      </w:r>
    </w:p>
    <w:p>
      <w:pPr>
        <w:numPr>
          <w:numId w:val="4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future or hypothetical possibility will be taken into consideration as long as it is a real and substantial possibility and not mere speculation;</w:t>
      </w:r>
    </w:p>
    <w:p>
      <w:pPr>
        <w:numPr>
          <w:numId w:val="5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plaintiff may be able to prove that there is a substantial possibility of a future income loss despite having returned to his or her employment;</w:t>
      </w:r>
    </w:p>
    <w:p>
      <w:pPr>
        <w:numPr>
          <w:numId w:val="52"/>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inability to perform an occupation that is not a realistic alternative occupation is not proof of a future loss;</w:t>
      </w:r>
    </w:p>
    <w:p>
      <w:pPr>
        <w:numPr>
          <w:numId w:val="5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not the loss of earnings but rather the loss of earning capacity for which compensation must be made;</w:t>
      </w:r>
    </w:p>
    <w:p>
      <w:pPr>
        <w:numPr>
          <w:numId w:val="5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plaintiff discharges the burden of proof, then there must be quantification of that loss;</w:t>
      </w:r>
    </w:p>
    <w:p>
      <w:pPr>
        <w:numPr>
          <w:numId w:val="5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Two available methods of quantifying the loss are (a) an earnings approach or (b) a capital asset approach;</w:t>
      </w:r>
    </w:p>
    <w:p>
      <w:pPr>
        <w:numPr>
          <w:numId w:val="56"/>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earnings approach will be more useful when the loss is more easily measurable;</w:t>
      </w:r>
    </w:p>
    <w:p>
      <w:pPr>
        <w:numPr>
          <w:numId w:val="57"/>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capital asset approach will be more useful when the loss is not easily measurable.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plaintiff does not identify which approach she is proposing but I assume it is the earnings approach. However, she adduced no expert evidence specific to earning capacity in the future and I have found the medical evidence does not support a finding that her earning capacity will be diminished. The evidence establishes that Ms. Rabiee is a hard-working person with initiative who has a variety of experience (accounting, charity work, counselling, human resources, supervision, food industry). I do not find her injuries or other stressors in her life has diminished her capability to find enjoyable and remuneratively rewarding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The plaintiff's written submissions make a bare assertion that she meets the criteria cited in </w:t>
      </w:r>
      <w:r>
        <w:rPr>
          <w:rFonts w:ascii="arial" w:eastAsia="arial" w:hAnsi="arial" w:cs="arial"/>
          <w:i/>
          <w:color w:val="000000"/>
          <w:sz w:val="20"/>
          <w:lang w:val="en-US" w:eastAsia="en-US" w:bidi="ar-SA"/>
        </w:rPr>
        <w:t>McCreight v. Currie</w:t>
      </w:r>
      <w:r>
        <w:rPr>
          <w:rFonts w:ascii="arial" w:eastAsia="arial" w:hAnsi="arial" w:cs="arial"/>
          <w:color w:val="000000"/>
          <w:sz w:val="20"/>
          <w:lang w:val="en-US" w:eastAsia="en-US" w:bidi="ar-SA"/>
        </w:rPr>
        <w:t xml:space="preserve">, </w:t>
      </w:r>
      <w:hyperlink r:id="rId527" w:history="1">
        <w:r>
          <w:rPr>
            <w:rFonts w:ascii="arial" w:eastAsia="arial" w:hAnsi="arial" w:cs="arial"/>
            <w:i/>
            <w:color w:val="0077CC"/>
            <w:sz w:val="20"/>
            <w:u w:val="single"/>
            <w:shd w:val="clear" w:color="auto" w:fill="FFFFFF"/>
            <w:lang w:val="en-US" w:eastAsia="en-US" w:bidi="ar-SA"/>
          </w:rPr>
          <w:t>2007 BCSC 127</w:t>
        </w:r>
      </w:hyperlink>
      <w:r>
        <w:rPr>
          <w:rFonts w:ascii="arial" w:eastAsia="arial" w:hAnsi="arial" w:cs="arial"/>
          <w:color w:val="000000"/>
          <w:sz w:val="20"/>
          <w:lang w:val="en-US" w:eastAsia="en-US" w:bidi="ar-SA"/>
        </w:rPr>
        <w:t xml:space="preserve">, varied on other grounds </w:t>
      </w:r>
      <w:hyperlink r:id="rId528" w:history="1">
        <w:r>
          <w:rPr>
            <w:rFonts w:ascii="arial" w:eastAsia="arial" w:hAnsi="arial" w:cs="arial"/>
            <w:i/>
            <w:color w:val="0077CC"/>
            <w:sz w:val="20"/>
            <w:u w:val="single"/>
            <w:shd w:val="clear" w:color="auto" w:fill="FFFFFF"/>
            <w:lang w:val="en-US" w:eastAsia="en-US" w:bidi="ar-SA"/>
          </w:rPr>
          <w:t>2008 BCCA 150</w:t>
        </w:r>
      </w:hyperlink>
      <w:r>
        <w:rPr>
          <w:rFonts w:ascii="arial" w:eastAsia="arial" w:hAnsi="arial" w:cs="arial"/>
          <w:color w:val="000000"/>
          <w:sz w:val="20"/>
          <w:lang w:val="en-US" w:eastAsia="en-US" w:bidi="ar-SA"/>
        </w:rPr>
        <w:t>, namely that: (1) the plaintiff has been rendered less capable overall from earning income from all types of employment; (2) the plaintiff is less marketable or attractive as an employee to potential employers; (3) the plaintiff has lost the ability to take advantage of all job opportunities which might otherwise have been open to her had she not been injured; and (4) the plaintiff is less valuable to herself as a person capable of earning income in a competitive labour market. The only explanation provided is that she is less capable and marketable overall as an employee because she cannot work telephones and computers uninterrupted for a steady period of time. I assume she relies on Dr. Pillay's opinion that she may be somewhat restricted in her working capacity in the future. That opinion is premised on an assumption that she has reached her maximum recovery which, as I discuss above, is not a conclusion that has been proven on the balance of probabilities. Instead, I prefer the evidence of Dr. Piper on this point who opined that, with exercise, he expects her condition to improve.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further note that in Dr. Pillay's report which was written on November 21, 2013, he noted that at Ms. Rabiee's August 7, 2013 consultation, they had discussed Ms. Rabiee "ending her job with Home Depot". Despite this knowledge, Dr. Pillay did not recommend that but instead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states that her work is affected by her injuries. I agree that this is most likely the case, particularly involving physical type of work. In conjunction with this statement, she will require regular medical care particularly in addressing her chronic fatigue and mood symptoms.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Otherwise she will be able to continue working and I do not anticipate that she would have to stop working because of injuries sustained in this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defendants say that Ms. Rabiee is not entitled to any compensation under this head because, among other reasons, she did not pursue being a realtor, claiming her physical limitations negatively impacted her ability to do the job. That is not quite right; Ms. Rabiee did mention some difficult carrying "open house" signs, but I did not understand that to be the primary reason she did not pursue that profession. Ms. Rabiee explained that she did not like the self-promoting, hierarchical structure of the realty business. This is reflected in the fact that she was not successful at it and, in my view, it is reasonable for her not to have pursued that as a profession. She was not well-suited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defendants also say "when a person is injured but wants to continue working, they explore the possibility of accommodation" and since the plaintiff did not approach her employer to seek limited duties, she failed to mitigate. There was no evidence whatsoever that Ms. Rabiee did not "want to work". She continued to do so with pain. It was only when she felt she could not continue at a job she loved that she made, what she called, a very difficult decision to quit in order to focus on her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defendants refer to the "duty to accommodate" under human rights legislation to say she ought to have challenged her employer to reduce her work duties. That submission is Pollyannaish, speculative and based on nothing more than words in a statute. It has no merit.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In my view, the plaintiff has failed to adduce reliable evidence to demonstrate it is probable that she will earn less in the future because of the injuries from the accident. This claim is, therefore, dismissed.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2.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Although not specifically identified as compensation for future care, the claim for $500 for use of gym and/or aquatic facilities is modest and reasonable. It is well established on the evidence that exercise is recommended to address her injuries and, therefore, I order this award.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The parties agree in general on the test to prove mitigation. The onus is on the defendants to establish that a qualified medical expert recommended a specific course of treatment and the plaintiff unreasonably failed or refused to follow that treatment, although it was available to her: </w:t>
      </w:r>
      <w:r>
        <w:rPr>
          <w:rFonts w:ascii="arial" w:eastAsia="arial" w:hAnsi="arial" w:cs="arial"/>
          <w:i/>
          <w:color w:val="000000"/>
          <w:sz w:val="20"/>
          <w:lang w:val="en-US" w:eastAsia="en-US" w:bidi="ar-SA"/>
        </w:rPr>
        <w:t>Chiu v. Chiu</w:t>
      </w:r>
      <w:r>
        <w:rPr>
          <w:rFonts w:ascii="arial" w:eastAsia="arial" w:hAnsi="arial" w:cs="arial"/>
          <w:color w:val="000000"/>
          <w:sz w:val="20"/>
          <w:lang w:val="en-US" w:eastAsia="en-US" w:bidi="ar-SA"/>
        </w:rPr>
        <w:t xml:space="preserve">, </w:t>
      </w:r>
      <w:hyperlink r:id="rId529" w:history="1">
        <w:r>
          <w:rPr>
            <w:rFonts w:ascii="arial" w:eastAsia="arial" w:hAnsi="arial" w:cs="arial"/>
            <w:i/>
            <w:color w:val="0077CC"/>
            <w:sz w:val="20"/>
            <w:u w:val="single"/>
            <w:shd w:val="clear" w:color="auto" w:fill="FFFFFF"/>
            <w:lang w:val="en-US" w:eastAsia="en-US" w:bidi="ar-SA"/>
          </w:rPr>
          <w:t>2002 BCCA 618</w:t>
        </w:r>
      </w:hyperlink>
      <w:r>
        <w:rPr>
          <w:rFonts w:ascii="arial" w:eastAsia="arial" w:hAnsi="arial" w:cs="arial"/>
          <w:color w:val="000000"/>
          <w:sz w:val="20"/>
          <w:lang w:val="en-US" w:eastAsia="en-US" w:bidi="ar-SA"/>
        </w:rPr>
        <w:t xml:space="preserve"> at para. 57 and </w:t>
      </w:r>
      <w:r>
        <w:rPr>
          <w:rFonts w:ascii="arial" w:eastAsia="arial" w:hAnsi="arial" w:cs="arial"/>
          <w:i/>
          <w:color w:val="000000"/>
          <w:sz w:val="20"/>
          <w:lang w:val="en-US" w:eastAsia="en-US" w:bidi="ar-SA"/>
        </w:rPr>
        <w:t>Borgfjord v. Penner</w:t>
      </w:r>
      <w:r>
        <w:rPr>
          <w:rFonts w:ascii="arial" w:eastAsia="arial" w:hAnsi="arial" w:cs="arial"/>
          <w:color w:val="000000"/>
          <w:sz w:val="20"/>
          <w:lang w:val="en-US" w:eastAsia="en-US" w:bidi="ar-SA"/>
        </w:rPr>
        <w:t xml:space="preserve">, </w:t>
      </w:r>
      <w:hyperlink r:id="rId530" w:history="1">
        <w:r>
          <w:rPr>
            <w:rFonts w:ascii="arial" w:eastAsia="arial" w:hAnsi="arial" w:cs="arial"/>
            <w:i/>
            <w:color w:val="0077CC"/>
            <w:sz w:val="20"/>
            <w:u w:val="single"/>
            <w:shd w:val="clear" w:color="auto" w:fill="FFFFFF"/>
            <w:lang w:val="en-US" w:eastAsia="en-US" w:bidi="ar-SA"/>
          </w:rPr>
          <w:t>2010 BCSC 1809</w:t>
        </w:r>
      </w:hyperlink>
      <w:r>
        <w:rPr>
          <w:rFonts w:ascii="arial" w:eastAsia="arial" w:hAnsi="arial" w:cs="arial"/>
          <w:color w:val="000000"/>
          <w:sz w:val="20"/>
          <w:lang w:val="en-US" w:eastAsia="en-US" w:bidi="ar-SA"/>
        </w:rPr>
        <w:t xml:space="preserve"> at para. 118.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defendants say the plaintiff's failure to mitigate is established by four things: her failure to take medication (anti-depressants); failure to participate in physiotherapy; failure to pursue counselling for non-physical injuries; and her continuing to work at 3D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With regard to medication, the defendants' position is confused. They say, on the one hand, that there was no "diagnosis" of depression so damages should not be awarded for that, yet they also say she should be faulted for not taking anti-depressants. This is untenable. Ms. Rabiee did try anti-depressants but preferred to address her mood difficulties in other ways. The medical evidence, in my view, proves that there was a relationship between her physical injuries impacting her social life and work capacity and her depressed mood. In other words, it was reasonable for her to choose not to take anti-depressants, believing the improvement of her injury would also improve her mood.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 make the same finding with regard to "counselling". There was no psychiatric diagnosis. Ms. Rabiee is fully immersed in the Baha'i faith and I have no doubt that she would have received emotional support through that community. The inability to participate as fully in her spiritual and social community undoubtedly had a negative effect on her mood. It seems to me the antidote to that was her improvement to the point of being able to participate again. I do not accept that it was unreasonable for her to reject the notion of entering a costly intervention (counselling) based on a vague recommendation but no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However, the evidence is consistent that had she engaged in a consistent regime of exercise and undertaken physiotherapy, her condition would have improved. Ms. Rabiee admitted that she was unable to be as active as she would have liked. But she said the nature of her job and other responsibilities made it extremely difficult to engage in a consistent exercise regime or physiotherapy treatment plan. The dispute is whether it was reasonable for her not to follow that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defendants must take the plaintiff as they find her. While Ms. Rabiee continued to deal with her injuries, she also had to deal with:</w:t>
      </w:r>
      <w:r>
        <w:rPr>
          <w:rFonts w:ascii="arial" w:eastAsia="arial" w:hAnsi="arial" w:cs="arial"/>
          <w:sz w:val="20"/>
          <w:lang w:val="en-US" w:eastAsia="en-US" w:bidi="ar-SA"/>
        </w:rPr>
        <w:cr/>
      </w:r>
    </w:p>
    <w:p>
      <w:pPr>
        <w:numPr>
          <w:numId w:val="58"/>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increased burden on her to earn income for her family because her husband's video store shut down;</w:t>
      </w:r>
    </w:p>
    <w:p>
      <w:pPr>
        <w:numPr>
          <w:numId w:val="59"/>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disintegration of her marriage over a few years;</w:t>
      </w:r>
    </w:p>
    <w:p>
      <w:pPr>
        <w:numPr>
          <w:numId w:val="60"/>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burdens of taking on the regional sales manager role with 3D;</w:t>
      </w:r>
    </w:p>
    <w:p>
      <w:pPr>
        <w:numPr>
          <w:numId w:val="6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her decreased ability to participate and host in as many Baha'i activities as she was accustomed to;</w:t>
      </w:r>
    </w:p>
    <w:p>
      <w:pPr>
        <w:numPr>
          <w:numId w:val="6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failure of her brothers' construction company with which she had some involvement;</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move of her parents into her home; and</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tax dispute with Canada Revenue Agency.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Ms. Rabiee's failure to follow physiotherapy is unfortunate. I find she did not make a serious attempt to follow the advice to exercise and seek physiotherapy. She only attended four physiotherapy sessions after the accident. It may be that a physiotherapist could tailor a treatment program knowing of her difficult schedule. More importantly, there may have been exercises she could do on her own. But she made no effort to find that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 also find that she did not make a concerted effort to return to exercise. I believe that she was extremely busy and it may have been difficult to find time, but she did not question the beneficial impact exercise would likely have given her. In my view, she did not place a high enough priority on her own recovery. Prior to the accident she was a very active person so she had the experience of being dedicated to exercise.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Because the evidence was unequivocal that she would have benefited from physiotherapy and exercise, and because of the lack of evidence that she did make her best effort to participate, I do think a reduction to the damages award is appropriate for this failure to mitigate and I would reduce the award by 5%. I have chosen a percentage on the low end in recognition that Ms. Rabiee was under enormous stress and her behaviour is compelling and understandable.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defendants also question Ms. Rabiee's choice to remain working at 3D. Ms. Rabiee is clearly a hard-working person. I find no evidence that she would malinger or be lazy. The defendants suggest, instead, that she probably worked too hard and ought to have slowed down, pursued real estate or found another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 disagree with the defendants. I accept Ms. Rabiee's evidence that "slowing down" was not a realistic option in the job she was doing. I note the plaintiff also responds to the defendants' position that she did eventually "slow down"; she quit her job and moved to Prince George to focus on her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Although qualified, it was clear that Ms. Rabiee did not enjoy working in real estate. The defendants suggested her personality was well suited to that profession because she is a "people person". I accept Ms. Rabiee's evidence that the "people" skills required for a successful real estate agent were not her skill set; the industry is very competitive and requires self-promotion. She was not able to cover her over-head. Perhaps she was not very successful at it because she did not enjoy the work. Even if she had been suited to the job, it can take a few years of working very long hours to earn a good income. That would not have been a prudent choice given her family's financial situation. Nor would it have been consistent with advice to "slow down". I do not find her failure to pursue a real estate profession to impact her damages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Given her industrious nature, I do find it likely Ms. Rabiee could have found other work, but I am not satisfied it was likely she could have found one that paid as much as the job at 3D. At 3D, Ms. Rabiee was earning a good income. She clearly loved her job. She envisioned a future with her job, saying she thought she might move to Vancouver at some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In view of all of these factors, I find it was reasonable for her to continue working at 3D rather than adding the uncertainty of trying to find a new job to her burden when she was the only adult earning an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In summary, I award Ms. Rabiee $40,000 for non-pecuniary damages, reduced by 5% for a failure to mitigate. I also award $500 for future care. I dismiss her claim to damages for loss of earning capacity based on insufficiency and lack of reliable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If the parties cannot agree on an order for costs, they may contact the registry no later than 30 days from the date of this decision to schedule an appearance no longer than one hour to present submissions. Alternatively, within 30 days of the date of this decision, counsel may inform the registry that they will provide written submissions addressing costs according to the following: (i) no later than 45 days after the date of this decision, the plaintiff will provide written submissions on costs; (ii) no later than 60 days after this decision, the respondent will provide submissions; and (iii) no later than 70 days after this decision, the plaintiff may provide a brief reply.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Whether appearing in person or providing written submissions only, no party's written submissions shall exceed 5 pages at no less than 1.5 spacing. The reply shall be no more than two pages.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 SHARMA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8" style="position:absolute;z-index:2517852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31"/>
          <w:headerReference w:type="default" r:id="rId532"/>
          <w:footerReference w:type="even" r:id="rId533"/>
          <w:footerReference w:type="default" r:id="rId534"/>
          <w:headerReference w:type="first" r:id="rId535"/>
          <w:footerReference w:type="first" r:id="rId53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37" w:history="1">
        <w:r>
          <w:rPr>
            <w:rFonts w:ascii="arial" w:eastAsia="arial" w:hAnsi="arial" w:cs="arial"/>
            <w:b/>
            <w:bCs/>
            <w:i/>
            <w:color w:val="0077CC"/>
            <w:kern w:val="32"/>
            <w:sz w:val="28"/>
            <w:szCs w:val="32"/>
            <w:u w:val="single"/>
            <w:shd w:val="clear" w:color="auto" w:fill="FFFFFF"/>
            <w:lang w:val="en-US" w:eastAsia="en-US" w:bidi="ar-SA"/>
          </w:rPr>
          <w:t>Randhawa v. Evans, [2019] B.C.J. No. 904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 Iyer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15-17,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21,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M094370, M106016, M194426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904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787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Sarbjit Randhawa, Plaintiff, and Linda Lee Evans, Ocean Park Ford Sales Ltd., SCK Motor Company Limited, Sukhvir Paul and Randeep Paul, Defendants And between Sukhvir Kaur Paul, Plaintiff, and Ocean Park Ford Sales Ltd., SCK Motor Company Limited and Linda L. Evans, Defendants And between Linda Lee Evans, Plaintiff, and Sukhvir Paul and Randeep Paul,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(32 paras.)</w:t>
      </w:r>
    </w:p>
    <w:p>
      <w:pPr>
        <w:jc w:val="both"/>
        <w:rPr>
          <w:rFonts w:ascii="arial" w:eastAsia="arial" w:hAnsi="arial" w:cs="arial"/>
          <w:sz w:val="20"/>
          <w:lang w:val="en-US" w:eastAsia="en-US" w:bidi="ar-SA"/>
        </w:rPr>
      </w:pPr>
      <w:bookmarkStart w:id="84" w:name="Counsel_24"/>
      <w:bookmarkEnd w:id="8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9" style="position:absolute;z-index:2516848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Sarbjit Randhawa [VA M094370]: E. Poyner.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Plaintiff, Sukhvir Kaur Paul [VA M106016]: B. Sanghera.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Plaintiff, Linda Lee Evans [VA M194426]: R. Taneda.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Linda Lee Evans and SCK Motor Company Ltd. [VA M094370 and M106016]: T. Tsang.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Ocean Park Ford Sales Ltd. [VA M094370 and M106016]: J.C. Moulton.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Sukhvir Paul and Randeep Paul [VA M094370 and 194426]: M. Booth.</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85" w:name="Judgment_24"/>
      <w:bookmarkEnd w:id="85"/>
      <w:r>
        <w:pict>
          <v:line id="_x0000_s1110" style="position:absolute;z-index:25173606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ACCIDENT RECONSTRUCTION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IV. CONTRIBUTORY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CONCLUSION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6" w:name="N. IYER J."/>
            <w:bookmarkEnd w:id="86"/>
            <w:r>
              <w:rPr>
                <w:rFonts w:ascii="arial" w:eastAsia="arial" w:hAnsi="arial" w:cs="arial"/>
                <w:b/>
                <w:color w:val="000000"/>
                <w:sz w:val="30"/>
                <w:lang w:val="en-US" w:eastAsia="en-US" w:bidi="ar-SA"/>
              </w:rPr>
              <w:t>N. IYER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These three actions arise from a motor vehicle accident that occurred over 10 years ago at the intersection of Oak Street and Wolfe Avenue in Vancouver. Linda Lee Evans was driving northbound on Oak Street in a red Mercedes-Benz SL 500 coupe. She made a left turn onto Wolfe Avenue. At the same time, Sukhvir Paul was driving a blue Dodge minivan in the curb lane southbound on Oak Street. She had two passengers with her, Sarbjit Randhawa and Rajwinder Samra. The front of Ms. Paul's Dodge hit the passenger side of Ms. Evans' Mercedes.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Ms. Evans sued Ms. Paul and her husband, Randeep Paul, who owns the Dodge [Court File No. M194426]. Ms. Paul sued Ms. Evans, SCK Motor Company Limited ("SCK"), which is the lessee of the Mercedes and is owned by Ms. Evans' husband, and Ocean Park Ford Sales Ltd. ("Ocean Park"), the lessor of the Mercedes [Court File No. M106016]. Ms. Randhawa sued Ms. Paul and Mr. Paul, Ms. Evans, SCK and Ocean Park [Court File No. M094370]. Each driver claims the other is 100% at fault. Ms. Randhawa claims that both drivers were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main reason for the long period of time that has elapsed since the accident is that there was litigation over Ms. Evans' insurance coverage that went to the court of appeal: </w:t>
      </w:r>
      <w:hyperlink r:id="rId538" w:history="1">
        <w:r>
          <w:rPr>
            <w:rFonts w:ascii="arial" w:eastAsia="arial" w:hAnsi="arial" w:cs="arial"/>
            <w:i/>
            <w:color w:val="0077CC"/>
            <w:sz w:val="20"/>
            <w:u w:val="single"/>
            <w:shd w:val="clear" w:color="auto" w:fill="FFFFFF"/>
            <w:lang w:val="en-US" w:eastAsia="en-US" w:bidi="ar-SA"/>
          </w:rPr>
          <w:t>2016 BCCA 337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trials before me only concern liability: who as between Ms. Evans and Ms. Paul is responsible for the accident or, if they are both at fault, in what proportions?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SCK and Mr. Paul have admitted vicarious liability. Ocean Park did not participate in the hearing. I accept Ms. Randhawa's submission that under ss. 86(1.1) and (1.2)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("Act"), Ms. Evans was driving the Mercedes with the implied consent of Ocean Park, as Ocean Park had leased the Mercedes to her husband's company and would have known it would be driven by an individual with SCK's permission: </w:t>
      </w:r>
      <w:r>
        <w:rPr>
          <w:rFonts w:ascii="arial" w:eastAsia="arial" w:hAnsi="arial" w:cs="arial"/>
          <w:i/>
          <w:color w:val="000000"/>
          <w:sz w:val="20"/>
          <w:lang w:val="en-US" w:eastAsia="en-US" w:bidi="ar-SA"/>
        </w:rPr>
        <w:t>Prasad v. Bell</w:t>
      </w:r>
      <w:r>
        <w:rPr>
          <w:rFonts w:ascii="arial" w:eastAsia="arial" w:hAnsi="arial" w:cs="arial"/>
          <w:color w:val="000000"/>
          <w:sz w:val="20"/>
          <w:lang w:val="en-US" w:eastAsia="en-US" w:bidi="ar-SA"/>
        </w:rPr>
        <w:t xml:space="preserve">, </w:t>
      </w:r>
      <w:hyperlink r:id="rId539" w:history="1">
        <w:r>
          <w:rPr>
            <w:rFonts w:ascii="arial" w:eastAsia="arial" w:hAnsi="arial" w:cs="arial"/>
            <w:i/>
            <w:color w:val="0077CC"/>
            <w:sz w:val="20"/>
            <w:u w:val="single"/>
            <w:shd w:val="clear" w:color="auto" w:fill="FFFFFF"/>
            <w:lang w:val="en-US" w:eastAsia="en-US" w:bidi="ar-SA"/>
          </w:rPr>
          <w:t>2001 BCSC 685</w:t>
        </w:r>
      </w:hyperlink>
      <w:r>
        <w:rPr>
          <w:rFonts w:ascii="arial" w:eastAsia="arial" w:hAnsi="arial" w:cs="arial"/>
          <w:color w:val="000000"/>
          <w:sz w:val="20"/>
          <w:lang w:val="en-US" w:eastAsia="en-US" w:bidi="ar-SA"/>
        </w:rPr>
        <w:t xml:space="preserve"> at para. 16; </w:t>
      </w:r>
      <w:r>
        <w:rPr>
          <w:rFonts w:ascii="arial" w:eastAsia="arial" w:hAnsi="arial" w:cs="arial"/>
          <w:i/>
          <w:color w:val="000000"/>
          <w:sz w:val="20"/>
          <w:lang w:val="en-US" w:eastAsia="en-US" w:bidi="ar-SA"/>
        </w:rPr>
        <w:t>Yeung (Guardian ad litem of) v. Au</w:t>
      </w:r>
      <w:r>
        <w:rPr>
          <w:rFonts w:ascii="arial" w:eastAsia="arial" w:hAnsi="arial" w:cs="arial"/>
          <w:color w:val="000000"/>
          <w:sz w:val="20"/>
          <w:lang w:val="en-US" w:eastAsia="en-US" w:bidi="ar-SA"/>
        </w:rPr>
        <w:t xml:space="preserve">, </w:t>
      </w:r>
      <w:hyperlink r:id="rId540" w:history="1">
        <w:r>
          <w:rPr>
            <w:rFonts w:ascii="arial" w:eastAsia="arial" w:hAnsi="arial" w:cs="arial"/>
            <w:i/>
            <w:color w:val="0077CC"/>
            <w:sz w:val="20"/>
            <w:u w:val="single"/>
            <w:shd w:val="clear" w:color="auto" w:fill="FFFFFF"/>
            <w:lang w:val="en-US" w:eastAsia="en-US" w:bidi="ar-SA"/>
          </w:rPr>
          <w:t>2006 BCCA 217</w:t>
        </w:r>
      </w:hyperlink>
      <w:r>
        <w:rPr>
          <w:rFonts w:ascii="arial" w:eastAsia="arial" w:hAnsi="arial" w:cs="arial"/>
          <w:color w:val="000000"/>
          <w:sz w:val="20"/>
          <w:lang w:val="en-US" w:eastAsia="en-US" w:bidi="ar-SA"/>
        </w:rPr>
        <w:t>. Ocean Park is therefore also vicariously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For the reasons that follow, I find that Ms. Paul is 90% at fault and Ms. Evans is 10% at fault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II.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Most of the evidence I heard about the accident was uncontradicted and neither driver was shaken on cross-examination. Although counsel invited me to consider alternatives, for example that Ms. Evans did not make the left turn in the way she said she did, or that Ms. Paul changed lanes even though she said she did not, I decline to do so as the evidence does not support either possibility.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Oak Street has three northbound lanes and three southbound lanes. During the afternoon rush hour starting at 3:00 p.m., no parking is permitted in the southbound curb lane. Wolfe Avenue intersects perpendicularly with the west side of Oak Street. It continues on the east side of Oak Street as West 21st Avenue. Wolfe Avenue is a residential street. The intersection is uncontrolled.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accident occurred between 3:00 and 4:00 p.m. on December 10, 2008. The weather was clear and the roads were dry. Ms. Evans had just taken possession of the Mercedes from SCK in Richmond and was driving into downtown Vancouver to do some shopping. She intended to turn left onto Wolfe Avenue, and stopped in the left lane on Oak Street to wait for a break in the traffic. She estimated that she waited a couple of minutes for a gap in the southbound traffic. When the traffic stopped, a car in each of the left and middle lanes stopped so as to leave a gap for Ms. Evans to make her turn. Ms. Evans said that three or four other vehicles stopped in each lane behind the lead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Evans turned into the gap, stopping on the eastern edge of the curb lane to check for oncoming traffic in that lane. She said she looked ahead to check that there was no pedestrian crossing across Wolfe Avenue, and then looked to her right. She said she could probably see about three car-lengths north into the curb lane and it appeared clear. She applied gas and pulled out so that the front of her car was "probably about two feet" into the curb lane and stopped again. She said that, "there was nothing in that lane coming at me at all" and that she had "a perfect view." However, Ms. Evans also said that she could only see "a few car lengths down." She then applied gas and proceeded across the curb lane. The front of the Mercedes was almost into Wolfe Avenue when it was struck by the Dodge. Ms. Evans said she did not see the Dodge at all until after the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Beverley Schultz was also driving in the left northbound lane of Oak Street. She pulled up behind Ms. Evans because she also wanted to turn left onto Wolfe Avenue. She agreed that it was a couple of minutes before there was a gap in the traffic. That occurred because the light at the intersection of Oak Street and 22nd Avenue turned red and traffic backed up. Ms. Schultz did not turn left after Ms. Evans because the traffic had started moving again. She waited a couple of minutes until the light changed again. She said that she did not observe Ms. Evans's left turn because she was watching the southbound traffic. She did not see or even hear the collision and became aware of it only when she turned left onto Wolfe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Paul and her passengers all worked at a restaurant on West 15th Avenue near Granville. They routinely carpooled to work into Vancouver, taking turns to drive, and followed the same route. On the day of the accident, they worked their usual 6:30 a.m. to 3:00 p.m. shift and they left shortly after that. Ms. Paul was driving, Ms. Randhawa was in the front passenger seat and Ms. Samra was in the rear seat behind Ms. Randhawa.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Paul drove east on West 15th Avenue and turned right into the curb lane of Oak Street, heading south. She noticed that the traffic was busy. She testified that she was driving at 40-45 km/hour and was focussing only on the lane ahead of her. She said that she did not observe the traffic in the other southbound lanes and did not see cars slowing and stopping in those lanes or notice their brake lights as she approached the intersection with Wolfe Avenue. Ms. Paul said there was traffic ahead of her in the curb lane, but could not recall how far in front of her the next vehicle was. Ms. Paul said she did not see the Mercedes until the collision occurred. She said she did not hit her brakes and did not try to veer or swerve.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Randhawa and Ms. Samra also testified. I place little weight on their evidence. As she was sitting in the rear, Ms. Samra was not in a position to observe Ms. Paul's speed. It was clear that she had little recollection of the events of that day as distinguished from the many other similar carpool trips home. The same is true of Ms. Randhawa. Although she was sitting in the front passenger seat, she was not paying attention to what would have been a routine trip, and was looking through her purse at the time of the collision. Neither passenger saw the Mercedes before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At one point in her cross-examination, Ms. Samra appeared to say that Ms. Paul "moved to the right" before the collision. When it was put to her that this meant that Ms. Paul had changed lanes right before the collision, she denied this, saying she was referring to Ms. Paul's right turn from West 15th Avenue onto Oak Street. Ms. Evans invites me to infer from this evidence that Ms. Paul had been travelling in the middle lane and pulled out into the curb lane shortly before the intersection with Wolfe Avenue in order to travel faster because traffic in the middle lane was slowing at that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However, the uncontested evidence is that Ms. Paul turned into the curb lane, not the middle lane when she turned onto Oak Street from West 15th Avenue. Both Ms. Paul and Ms. Randhawa stated unequivocally that Ms. Paul did not change lanes on Oak Street. Ms. Samra testified through an interpreter. When Ms. Samra was cross-examined about the moments just before the collision, the answer provided by the interpreter was unclear and difficult to hear. It was either, "I noted that when </w:t>
      </w:r>
      <w:r>
        <w:rPr>
          <w:rFonts w:ascii="arial" w:eastAsia="arial" w:hAnsi="arial" w:cs="arial"/>
          <w:color w:val="000000"/>
          <w:sz w:val="20"/>
          <w:u w:val="single"/>
          <w:lang w:val="en-US" w:eastAsia="en-US" w:bidi="ar-SA"/>
        </w:rPr>
        <w:t>we moved to the right shortly after the accident</w:t>
      </w:r>
      <w:r>
        <w:rPr>
          <w:rFonts w:ascii="arial" w:eastAsia="arial" w:hAnsi="arial" w:cs="arial"/>
          <w:color w:val="000000"/>
          <w:sz w:val="20"/>
          <w:lang w:val="en-US" w:eastAsia="en-US" w:bidi="ar-SA"/>
        </w:rPr>
        <w:t xml:space="preserve"> happened," or, "I noted that when </w:t>
      </w:r>
      <w:r>
        <w:rPr>
          <w:rFonts w:ascii="arial" w:eastAsia="arial" w:hAnsi="arial" w:cs="arial"/>
          <w:color w:val="000000"/>
          <w:sz w:val="20"/>
          <w:u w:val="single"/>
          <w:lang w:val="en-US" w:eastAsia="en-US" w:bidi="ar-SA"/>
        </w:rPr>
        <w:t>we moved to the right shortly after that the accident happened</w:t>
      </w:r>
      <w:r>
        <w:rPr>
          <w:rFonts w:ascii="arial" w:eastAsia="arial" w:hAnsi="arial" w:cs="arial"/>
          <w:color w:val="000000"/>
          <w:sz w:val="20"/>
          <w:lang w:val="en-US" w:eastAsia="en-US" w:bidi="ar-SA"/>
        </w:rPr>
        <w:t>." After an exchange between counsel and the interpreter, it was the interpreter, not Ms. Samra, who stated that it was the latter. When Ms. Samra was asked again whether the Dodge changed lanes just before the accident, she said that it did not. In these circumstances I conclude that Ms. Samra's evidence does not support a finding that Ms. Paul changed into the curb lane immediately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summary, I find that Ms. Evans commenced turning left at the intersection, stopping at the eastern edge of the curb lane and again two feet into it to check that the curb lane was clear. She then pulled into the curb lane and was hit on the passenger side by the Dodge. Ms. Paul was travelling in the curb lane from West 15th Avenue to Wolfe Avenue. She was focussing on the lane she was in and did not observe the traffic slowing in the other two southbound lanes as she approached Wolfe Avenue. Neither driver saw the other before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III. ACCIDENT RECONSTRUCTION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Two accident reconstruction experts testified and their reports were in evidence. Michael Arazewski was called by Ms. Evans and Kurt Ising was called by Ms. Paul. They were in substantial agreement about a number of important facts. Their primary point of disagreement was about perception response time (the time a driver needs to respond after he/she has perceived an immediate hazard) as it would apply to Ms. Paul. That disagreement has little probative value in this case because it is clear that Ms. Paul never perceived the hazard posed by the Mercedes.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Arazewski and Mr. Ising agree that the front of the Dodge hit the right door of the two-door Mercedes and its right rear wheel, and that the front of the Mercedes had just entered the mouth of Wolfe Avenue when the collision occurred. They also agree that the collision would have been avoided if Ms. Paul had slowed to 40 km/hour prior to arriving at the intersection because this would have allowed Ms. Evans the additional 0.4 to 0.7 seconds she needed to clear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Arazewski was asked to assume that the Mercedes was stopped at the eastern edge of the curb lane when she completed her turn. However, Ms. Evans' evidence was that the Mercedes was already about two feet into the curb lane at this point. When Mr. Arazewski was asked about this on cross-examination, he testified that this would have reduced the distance the Mercedes would have had to travel to the point of impact by about half a metre, meaning that the Mercedes had 2.3 rather than 2.6 seconds to accelerate. The Dodge would have had to have been between 24 and 43 metres north of the intersection, and most likely 31 metres, assuming it was travelling around 48 km/hour. That would mean it was a little more than six standard car lengths away. Mr. Ising was not asked to do a similar calculation.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III.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legal obligations of drivers are found in the Act and in the common law duties of care that are owed to other users of roads: </w:t>
      </w:r>
      <w:r>
        <w:rPr>
          <w:rFonts w:ascii="arial" w:eastAsia="arial" w:hAnsi="arial" w:cs="arial"/>
          <w:i/>
          <w:color w:val="000000"/>
          <w:sz w:val="20"/>
          <w:lang w:val="en-US" w:eastAsia="en-US" w:bidi="ar-SA"/>
        </w:rPr>
        <w:t>Salaam v. Abramovic</w:t>
      </w:r>
      <w:r>
        <w:rPr>
          <w:rFonts w:ascii="arial" w:eastAsia="arial" w:hAnsi="arial" w:cs="arial"/>
          <w:color w:val="000000"/>
          <w:sz w:val="20"/>
          <w:lang w:val="en-US" w:eastAsia="en-US" w:bidi="ar-SA"/>
        </w:rPr>
        <w:t xml:space="preserve">, </w:t>
      </w:r>
      <w:hyperlink r:id="rId313" w:history="1">
        <w:r>
          <w:rPr>
            <w:rFonts w:ascii="arial" w:eastAsia="arial" w:hAnsi="arial" w:cs="arial"/>
            <w:i/>
            <w:color w:val="0077CC"/>
            <w:sz w:val="20"/>
            <w:u w:val="single"/>
            <w:shd w:val="clear" w:color="auto" w:fill="FFFFFF"/>
            <w:lang w:val="en-US" w:eastAsia="en-US" w:bidi="ar-SA"/>
          </w:rPr>
          <w:t>2010 BCCA 212</w:t>
        </w:r>
      </w:hyperlink>
      <w:r>
        <w:rPr>
          <w:rFonts w:ascii="arial" w:eastAsia="arial" w:hAnsi="arial" w:cs="arial"/>
          <w:color w:val="000000"/>
          <w:sz w:val="20"/>
          <w:lang w:val="en-US" w:eastAsia="en-US" w:bidi="ar-SA"/>
        </w:rPr>
        <w:t xml:space="preserve"> at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sections of the Act that apply in this case are ss. 158 and 174: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Passing on right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158 (1) The driver of a vehicle must not cause or permit the vehicle to overtake and pass on the right of another vehicle, except</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vehicle overtaken is making a left turn or its driver has signalled his or her intention to make a left turn,</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on a laned roadway there is one or more than one unobstructed lane on the side of the roadway on which the driver is permitted to drive, or</w:t>
      </w:r>
    </w:p>
    <w:p>
      <w:pPr>
        <w:numPr>
          <w:numId w:val="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 a one way street or a highway on which traffic is restricted to one direction of movement, where the roadway is free from obstructions and is of sufficient width for 2 or more lanes of moving vehicles.</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subsection (1), a driver of a vehicle must not cause the vehicle to overtake and pass another vehicle on the right</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movement cannot be made safely, or</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by driving the vehicle off the roadway.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Yielding right of way on left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672"/>
        <w:gridCol w:w="314"/>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174</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When a vehicle is in an intersection and its driver intends to turn left, the driver must yield the right of way to traffic approaching from the opposite direction that is in the intersection or so close as to constitute an immediate hazard, but having yielded and given a signal as required by sections 171 and 172, the driver may turn the vehicle to the left, and traffic approaching the intersection from the opposite direction must yield the right of way to the vehicle making the left turn.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Nerval v. Khehra</w:t>
      </w:r>
      <w:r>
        <w:rPr>
          <w:rFonts w:ascii="arial" w:eastAsia="arial" w:hAnsi="arial" w:cs="arial"/>
          <w:color w:val="000000"/>
          <w:sz w:val="20"/>
          <w:lang w:val="en-US" w:eastAsia="en-US" w:bidi="ar-SA"/>
        </w:rPr>
        <w:t xml:space="preserve">, </w:t>
      </w:r>
      <w:hyperlink r:id="rId312" w:history="1">
        <w:r>
          <w:rPr>
            <w:rFonts w:ascii="arial" w:eastAsia="arial" w:hAnsi="arial" w:cs="arial"/>
            <w:i/>
            <w:color w:val="0077CC"/>
            <w:sz w:val="20"/>
            <w:u w:val="single"/>
            <w:shd w:val="clear" w:color="auto" w:fill="FFFFFF"/>
            <w:lang w:val="en-US" w:eastAsia="en-US" w:bidi="ar-SA"/>
          </w:rPr>
          <w:t>2012 BCCA 436</w:t>
        </w:r>
      </w:hyperlink>
      <w:r>
        <w:rPr>
          <w:rFonts w:ascii="arial" w:eastAsia="arial" w:hAnsi="arial" w:cs="arial"/>
          <w:color w:val="000000"/>
          <w:sz w:val="20"/>
          <w:lang w:val="en-US" w:eastAsia="en-US" w:bidi="ar-SA"/>
        </w:rPr>
        <w:t xml:space="preserve">, the court of appeal considered the relationship between the obligations imposed by these provisions of the Act and established a framework for assessing liability under them. In that case, Ms. Nerval was the left-turning driver and Ms. Khehra was the through driver, passing a stationary vehicle to her left. Justice Harris applied the reasoning in </w:t>
      </w:r>
      <w:r>
        <w:rPr>
          <w:rFonts w:ascii="arial" w:eastAsia="arial" w:hAnsi="arial" w:cs="arial"/>
          <w:i/>
          <w:color w:val="000000"/>
          <w:sz w:val="20"/>
          <w:lang w:val="en-US" w:eastAsia="en-US" w:bidi="ar-SA"/>
        </w:rPr>
        <w:t>Pacheco (Guardian ad litem of) v. Robinson</w:t>
      </w:r>
      <w:r>
        <w:rPr>
          <w:rFonts w:ascii="arial" w:eastAsia="arial" w:hAnsi="arial" w:cs="arial"/>
          <w:color w:val="000000"/>
          <w:sz w:val="20"/>
          <w:lang w:val="en-US" w:eastAsia="en-US" w:bidi="ar-SA"/>
        </w:rPr>
        <w:t xml:space="preserve"> </w:t>
      </w:r>
      <w:hyperlink r:id="rId541" w:history="1">
        <w:r>
          <w:rPr>
            <w:rFonts w:ascii="arial" w:eastAsia="arial" w:hAnsi="arial" w:cs="arial"/>
            <w:i/>
            <w:color w:val="0077CC"/>
            <w:sz w:val="20"/>
            <w:u w:val="single"/>
            <w:shd w:val="clear" w:color="auto" w:fill="FFFFFF"/>
            <w:lang w:val="en-US" w:eastAsia="en-US" w:bidi="ar-SA"/>
          </w:rPr>
          <w:t>(1993), 75 B.C.L.R. (2d) 273</w:t>
        </w:r>
      </w:hyperlink>
      <w:r>
        <w:rPr>
          <w:rFonts w:ascii="arial" w:eastAsia="arial" w:hAnsi="arial" w:cs="arial"/>
          <w:color w:val="000000"/>
          <w:sz w:val="20"/>
          <w:lang w:val="en-US" w:eastAsia="en-US" w:bidi="ar-SA"/>
        </w:rPr>
        <w:t xml:space="preserve"> (C.A.):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The principles laid down in </w:t>
      </w:r>
      <w:r>
        <w:rPr>
          <w:rFonts w:ascii="arial" w:eastAsia="arial" w:hAnsi="arial" w:cs="arial"/>
          <w:i/>
          <w:color w:val="000000"/>
          <w:sz w:val="20"/>
          <w:lang w:val="en-US" w:eastAsia="en-US" w:bidi="ar-SA"/>
        </w:rPr>
        <w:t>Pacheco</w:t>
      </w:r>
      <w:r>
        <w:rPr>
          <w:rFonts w:ascii="arial" w:eastAsia="arial" w:hAnsi="arial" w:cs="arial"/>
          <w:color w:val="000000"/>
          <w:sz w:val="20"/>
          <w:lang w:val="en-US" w:eastAsia="en-US" w:bidi="ar-SA"/>
        </w:rPr>
        <w:t xml:space="preserve"> lead to the conclusion that the starting point of the analysis is that when a left turning driver is assessing making a left turn in an intersection he or she must yield the right of way to oncoming traffic unless it is not an immediate hazard. Describing a driver as dominant means no more than that driver has the right of way, whereas the servient driver has the obligation to yield the right of way. The obligation imposed by s. 174 on the left turning vehicle is that it "must yield the right of way to traffic approaching from the opposite direction that is in the intersection or so close as to constitute an immediate hazard". A left turn must not be commenced unless it is clearly safe to do so. If there are no vehicles in the intersection or sufficiently close to be an imminent hazard, the driver may turn left and approaching traffic must yield the right of way. In other words, if a left turning driver complies with his or her obligation only to start the left turn when no other vehicles are in the intersection or constitute an immediate hazard, then the left turning driver assumes the relationship of being the dominant vehicle and approaching vehicles become servient and must yield the right of 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As observed in </w:t>
      </w:r>
      <w:r>
        <w:rPr>
          <w:rFonts w:ascii="arial" w:eastAsia="arial" w:hAnsi="arial" w:cs="arial"/>
          <w:i/>
          <w:color w:val="000000"/>
          <w:sz w:val="20"/>
          <w:lang w:val="en-US" w:eastAsia="en-US" w:bidi="ar-SA"/>
        </w:rPr>
        <w:t>Salaam v. Abramovic</w:t>
      </w:r>
      <w:r>
        <w:rPr>
          <w:rFonts w:ascii="arial" w:eastAsia="arial" w:hAnsi="arial" w:cs="arial"/>
          <w:color w:val="000000"/>
          <w:sz w:val="20"/>
          <w:lang w:val="en-US" w:eastAsia="en-US" w:bidi="ar-SA"/>
        </w:rPr>
        <w:t xml:space="preserve">, </w:t>
      </w:r>
      <w:hyperlink r:id="rId313" w:history="1">
        <w:r>
          <w:rPr>
            <w:rFonts w:ascii="arial" w:eastAsia="arial" w:hAnsi="arial" w:cs="arial"/>
            <w:i/>
            <w:color w:val="0077CC"/>
            <w:sz w:val="20"/>
            <w:u w:val="single"/>
            <w:shd w:val="clear" w:color="auto" w:fill="FFFFFF"/>
            <w:lang w:val="en-US" w:eastAsia="en-US" w:bidi="ar-SA"/>
          </w:rPr>
          <w:t>2010 BCCA 212</w:t>
        </w:r>
      </w:hyperlink>
      <w:r>
        <w:rPr>
          <w:rFonts w:ascii="arial" w:eastAsia="arial" w:hAnsi="arial" w:cs="arial"/>
          <w:color w:val="000000"/>
          <w:sz w:val="20"/>
          <w:lang w:val="en-US" w:eastAsia="en-US" w:bidi="ar-SA"/>
        </w:rPr>
        <w:t xml:space="preserve"> at para. 33, the words "immediate hazard" are "used to determine when a vehicle may lawfully enter an intersection. They determine who is the dominant driver, but do not, by themselves, define the standard of care in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[35] The effect of s. 174 is to cast the burden of proving the absence of an immediate hazard at the moment the left turn begins onto the left turning driver. This result flows inevitably from the wording of the section itself, given the nature of the absolute obligation the section creates. If a left turning driver, in the face of this statutory obligation, asserts that he or she started to turn left when it was safe to do so, then the burden of proving that fact rests with them.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[36] The trial judge did not err in imposing this burden on Ms. Nerval. The first aspect of the burden is to demonstrate that when she began her turn there was no immediate hazard. Having failed to do so, the trial judge was entitled to conclude that Ms. Khehra was an immediate hazard and was the dominant driver.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[37] The second aspect of the burden relates to proving that despite being the dominant driver, Ms. Khehra nonetheless was negligent and at fault for causing or contributing to the accident. Here, although Ms. Khehra had the right of way, she could exercise that right only in a safe manner. The trial judge correctly relied on the statement of principle from para. 18 of </w:t>
      </w:r>
      <w:r>
        <w:rPr>
          <w:rFonts w:ascii="arial" w:eastAsia="arial" w:hAnsi="arial" w:cs="arial"/>
          <w:i/>
          <w:color w:val="000000"/>
          <w:sz w:val="20"/>
          <w:lang w:val="en-US" w:eastAsia="en-US" w:bidi="ar-SA"/>
        </w:rPr>
        <w:t>Pacheco</w:t>
      </w:r>
      <w:r>
        <w:rPr>
          <w:rFonts w:ascii="arial" w:eastAsia="arial" w:hAnsi="arial" w:cs="arial"/>
          <w:color w:val="000000"/>
          <w:sz w:val="20"/>
          <w:lang w:val="en-US" w:eastAsia="en-US" w:bidi="ar-SA"/>
        </w:rPr>
        <w:t>, quoted above, in assessing the evidence and reaching his conclusions.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[38] Whether a through driver is dominant turns on whether the driver's vehicle is an immediate hazard at the material time, not why it is an immediate hazard. Dominance identifies who must yield the right of way. One consequence of this analysis is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a through driver does not disqualify that driver as the dominant driver. The through driver remains dominant, even though their conduct may be negligent. Indeed, the through driver's fault may be greater than the servient driver's fault. In other words, a through driver may be an immediate hazard even though that driver is speeding and given her speed would have to take sudden action to avoid the threat of a collision if the left turning driver did not yield the right of way. The correct analysis is to recognize that the through driver is breaching his or her common law and perhaps statutory obligations and to address the issue as one of apportioning fault, not to reclassify the through driver as servient based on the degree to which the through driver is in breach of her obligations.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Therefore, I must first consider whether an immediate hazard, in the form of the Dodge, was present when Ms. Evans commenced her turn. Ms. Evans was clear in her evidence that she did not see the Dodge when she commenced the turn from her last stopping point, which was just over the eastern edge of the curb lane. I have rejected Ms. Evans suggestion that she was not able to see the Dodge because it moved from the centre to the curb lane just before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am satisfied that the Dodge would have to have been close enough to be seen if Ms. Evans had as clear a view as she said she did. Her expert opined that the Dodge was 31 metres or just over six car lengths north of the intersection when Ms. Evans decided that the curb lane was safe for her to complete her turn. Ms. Evans stated that she had a clear view of southbound traffic such that she considered that should could complete her turn safely, yet that was not so. There was no evidence before me that the curvature of Oak Street in that area or its slight upward grade for southbound traffic would have affected Ms. Evans' ability to ensure that the curb lane was clear for an adequate distance. I conclude that the Dodge was there to be seen and Ms. Evans was negligent in not seeing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That does not end the matter. As is clear from </w:t>
      </w:r>
      <w:r>
        <w:rPr>
          <w:rFonts w:ascii="arial" w:eastAsia="arial" w:hAnsi="arial" w:cs="arial"/>
          <w:i/>
          <w:color w:val="000000"/>
          <w:sz w:val="20"/>
          <w:lang w:val="en-US" w:eastAsia="en-US" w:bidi="ar-SA"/>
        </w:rPr>
        <w:t>Nerval</w:t>
      </w:r>
      <w:r>
        <w:rPr>
          <w:rFonts w:ascii="arial" w:eastAsia="arial" w:hAnsi="arial" w:cs="arial"/>
          <w:color w:val="000000"/>
          <w:sz w:val="20"/>
          <w:lang w:val="en-US" w:eastAsia="en-US" w:bidi="ar-SA"/>
        </w:rPr>
        <w:t>, even if the through-driving driver is the dominant driver, he or she may be found to be negligent. In this case, I have no difficulty finding that Ms. Paul breached s. 158 of the Act and the common law duty of care. On her own account, she was not paying attention to the traffic in the middle and left southbound lanes and did not see that traffic in those lanes was slowing and/or stopped as she approached the intersection with Wolfe Avenue. I accept that, as the vehicles in those lanes were stopped and/or slowing, their brake lights would have been on, alerting other drivers to a change in the traffic flow. Even if the front of the Mercedes was not visible to Ms. Paul as she approached the intersection, the braking vehicles clearly were.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Ms. Paul had a positive obligation to be aware of all of her surroundings that might affect her driving. That obligation was not fulfilled by paying attention only to her lane and keeping her speed at or below the speed limit. In </w:t>
      </w:r>
      <w:r>
        <w:rPr>
          <w:rFonts w:ascii="arial" w:eastAsia="arial" w:hAnsi="arial" w:cs="arial"/>
          <w:i/>
          <w:color w:val="000000"/>
          <w:sz w:val="20"/>
          <w:lang w:val="en-US" w:eastAsia="en-US" w:bidi="ar-SA"/>
        </w:rPr>
        <w:t>Zaborniak v. Smerdal</w:t>
      </w:r>
      <w:r>
        <w:rPr>
          <w:rFonts w:ascii="arial" w:eastAsia="arial" w:hAnsi="arial" w:cs="arial"/>
          <w:color w:val="000000"/>
          <w:sz w:val="20"/>
          <w:lang w:val="en-US" w:eastAsia="en-US" w:bidi="ar-SA"/>
        </w:rPr>
        <w:t xml:space="preserve">, </w:t>
      </w:r>
      <w:hyperlink r:id="rId542" w:history="1">
        <w:r>
          <w:rPr>
            <w:rFonts w:ascii="arial" w:eastAsia="arial" w:hAnsi="arial" w:cs="arial"/>
            <w:i/>
            <w:color w:val="0077CC"/>
            <w:sz w:val="20"/>
            <w:u w:val="single"/>
            <w:shd w:val="clear" w:color="auto" w:fill="FFFFFF"/>
            <w:lang w:val="en-US" w:eastAsia="en-US" w:bidi="ar-SA"/>
          </w:rPr>
          <w:t>2014 BCSC 1367</w:t>
        </w:r>
      </w:hyperlink>
      <w:r>
        <w:rPr>
          <w:rFonts w:ascii="arial" w:eastAsia="arial" w:hAnsi="arial" w:cs="arial"/>
          <w:color w:val="000000"/>
          <w:sz w:val="20"/>
          <w:lang w:val="en-US" w:eastAsia="en-US" w:bidi="ar-SA"/>
        </w:rPr>
        <w:t>, the plaintiff was driving in the curb lane at 20-30 km/hour and passed a bus that was stopped in the centre lane of an uncontrolled intersection and blocking her view of it. Her vehicle collided with the defendant's vehicle as it turned left into the intersection. Justice Funt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26 The plaintiff breached s. 158 by attempting, without a full view of the intersection, to overtake and pass on the right of the bus while approaching the intersection at a speed of 20 to 30 kph. The fact that the plaintiff was driving below the speed limit did not make it safe to overtake and pass the bus.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Here, there was no large vehicle blocking Ms. Paul's view of the intersection of Oak Street and Wolfe Avenue. She did not see Ms. Evans' vehicle because she was not paying attention to what was happening on her left. Ms. Paul said she did not brake or try to avoid the collision at all. The Dodge hit the centre and rear of the passenger side of the Mercedes. All of these facts support the conclusion that Ms. Paul was not driving to the standard of care required by the common law and that she passed vehicles on the right when it was not safe to do so. A reasonable driver would have been aware that he or she was passing on the right and of the slowing or stopped traffic at Wolfe Avenue, and would have approached the intersection with caution at a reduced speed. Such a driver would have been looking for the reason the traffic was slowing or stopped, and may have noticed the front of the Mercedes. If Ms. Paul had done this, the collision could have been avoided.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 xml:space="preserve">IV. CONTRIBUTORY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apportioning liability in this case, I am guided by what Justice Groberman wrote in </w:t>
      </w:r>
      <w:r>
        <w:rPr>
          <w:rFonts w:ascii="arial" w:eastAsia="arial" w:hAnsi="arial" w:cs="arial"/>
          <w:i/>
          <w:color w:val="000000"/>
          <w:sz w:val="20"/>
          <w:lang w:val="en-US" w:eastAsia="en-US" w:bidi="ar-SA"/>
        </w:rPr>
        <w:t>Salaam</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In the end, a court must determine whether, and to what extent, each of the players in an accident met their common law duties of care to other users of the road. In making that determination, a court will be informed by the rules of the road, but those rules do not eliminate the need to consider the reasonableness of the actions of the parties. This is both because the rules of the road cannot comprehensively cover all possible scenarios, and because users of the road are expected to exercise reasonable care, even when others have failed to respect their right of way. While s. 175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and other rules of the road are important in determining whether the standard of care was met, they are not the exclusive measures of that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this case, Ms. Paul bears the lion's share of responsibility for the collision because her breach of the standard of care was far more serious than Ms. Evans'. Ms. Paul was not attending to the traffic around her at all. By contrast, Ms. Evans approached the left turn with caution, but somehow failed to see the approaching Dodge. Considering all of the circumstances, I apportion liability 90% to Ms. Paul and 10% to Ms. Evans.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VI.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Paul is 90% at fault and Ms. Evans is 10% at fault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If counsel are not able to settle costs, they may apply to appear before me for that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 IYER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1" style="position:absolute;z-index:2517862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43"/>
          <w:headerReference w:type="default" r:id="rId544"/>
          <w:footerReference w:type="even" r:id="rId545"/>
          <w:footerReference w:type="default" r:id="rId546"/>
          <w:headerReference w:type="first" r:id="rId547"/>
          <w:footerReference w:type="first" r:id="rId54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49" w:history="1">
        <w:r>
          <w:rPr>
            <w:rFonts w:ascii="arial" w:eastAsia="arial" w:hAnsi="arial" w:cs="arial"/>
            <w:b/>
            <w:bCs/>
            <w:i/>
            <w:color w:val="0077CC"/>
            <w:kern w:val="32"/>
            <w:sz w:val="28"/>
            <w:szCs w:val="32"/>
            <w:u w:val="single"/>
            <w:shd w:val="clear" w:color="auto" w:fill="FFFFFF"/>
            <w:lang w:val="en-US" w:eastAsia="en-US" w:bidi="ar-SA"/>
          </w:rPr>
          <w:t>R.J.R. v. P.M.R., [2019] B.C.J. No. 33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J.M.I. Duncan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6,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11,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S181730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33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31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R.J.R., Plaintiff, and P.M.R., Her Majesty the Queen in right of the Province of BC Minister of Public Safety and Solicitor General Her Majesty the Queen in right of the Province of British Columbia - Ministry of Children and Family Development,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(52 paras.)</w:t>
      </w:r>
    </w:p>
    <w:p>
      <w:pPr>
        <w:jc w:val="both"/>
        <w:rPr>
          <w:rFonts w:ascii="arial" w:eastAsia="arial" w:hAnsi="arial" w:cs="arial"/>
          <w:sz w:val="20"/>
          <w:lang w:val="en-US" w:eastAsia="en-US" w:bidi="ar-SA"/>
        </w:rPr>
      </w:pPr>
      <w:bookmarkStart w:id="87" w:name="Counsel_25"/>
      <w:bookmarkEnd w:id="8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2" style="position:absolute;z-index:2516858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appearing in person on his own behalf: R.J.R.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RCMP: B. 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MCFD: D. Suntjens.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88" w:name="Judgment_25"/>
      <w:bookmarkEnd w:id="88"/>
      <w:r>
        <w:pict>
          <v:line id="_x0000_s1113" style="position:absolute;z-index:25173708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9" w:name="J.M.I. DUNCAN J."/>
            <w:bookmarkEnd w:id="89"/>
            <w:r>
              <w:rPr>
                <w:rFonts w:ascii="arial" w:eastAsia="arial" w:hAnsi="arial" w:cs="arial"/>
                <w:b/>
                <w:color w:val="000000"/>
                <w:sz w:val="30"/>
                <w:lang w:val="en-US" w:eastAsia="en-US" w:bidi="ar-SA"/>
              </w:rPr>
              <w:t>J.M.I. DUNCAN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June 6, 2018, the plaintiff filed a Notice of Civil Claim ("NOCC") against his former wife, the Province of British Columbia Minister of Public Safety and Solicitor General (the "RCMP") and the Ministry of Children and Family Development ("MCFD"). I will refer to the plaintiff as R.J.R. and his former wife as P.M.R. to protect the identity of their minor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his NOCC, R.J.R. makes a variety of allegations against social workers, police officers, legal counsel and his former wife. The allegations against MCFD primarily involve the negligent investigation of child protection concerns regarding R.J.R., a lack of "due process", and misconduct in the court process. The allegations against the RCMP relate to police failure to investigate R.J.R.'s claims that his former wife had kidnapped his children, amongst other things. The allegations against both MCFD and the RCMP are that their actions caused R.J.R. to be alienated from his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MCFD and the RCMP both apply for an order under Rule 9-5(1)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that the NOCC be struck without leave to amend and that the proceedings be dismissed. The application by MCFD is based on the contention that the action discloses no reasonable cause of action, is vexatious and is otherwise an abuse of process of the court. The application of the RCMP is brought on similar grounds.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R.J.R. did not file a response to the application to strike but appeared and made oral submissions. The defendant P.M.R. did not appear. She has not filed a response to the litigation and it appears from the materials filed by R.J.R. that she was not served with the NOCC in accordance with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R.J.R. filed an affidavit stating that he left the NOCC at P.M.R.'s last known address but was advised by the current resident she does not live there any more. He also emailed the NOCC to her, although he had not obtained an order for alternative service.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R.J.R. and P.M.R. have two children. Social workers first became involved with the family in 2009. Child protection proceedings took place between 2012 and 2016 in Provincial Court. There was also litigation in this Court, including applications by R.J.R. for contempt findings against the Province and individual social workers.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Orders and reasons for judgment in relation to most of these proceedings were filed in support of the application to dismiss R.J.R.'s NOCC. The reasons for judgment of Pearlman J. in </w:t>
      </w:r>
      <w:r>
        <w:rPr>
          <w:rFonts w:ascii="arial" w:eastAsia="arial" w:hAnsi="arial" w:cs="arial"/>
          <w:i/>
          <w:color w:val="000000"/>
          <w:sz w:val="20"/>
          <w:lang w:val="en-US" w:eastAsia="en-US" w:bidi="ar-SA"/>
        </w:rPr>
        <w:t>R.J.R. v. British Columbia (Children and Family Development)</w:t>
      </w:r>
      <w:r>
        <w:rPr>
          <w:rFonts w:ascii="arial" w:eastAsia="arial" w:hAnsi="arial" w:cs="arial"/>
          <w:color w:val="000000"/>
          <w:sz w:val="20"/>
          <w:lang w:val="en-US" w:eastAsia="en-US" w:bidi="ar-SA"/>
        </w:rPr>
        <w:t xml:space="preserve">, </w:t>
      </w:r>
      <w:hyperlink r:id="rId550" w:history="1">
        <w:r>
          <w:rPr>
            <w:rFonts w:ascii="arial" w:eastAsia="arial" w:hAnsi="arial" w:cs="arial"/>
            <w:i/>
            <w:color w:val="0077CC"/>
            <w:sz w:val="20"/>
            <w:u w:val="single"/>
            <w:shd w:val="clear" w:color="auto" w:fill="FFFFFF"/>
            <w:lang w:val="en-US" w:eastAsia="en-US" w:bidi="ar-SA"/>
          </w:rPr>
          <w:t>2014 BCSC 860</w:t>
        </w:r>
      </w:hyperlink>
      <w:r>
        <w:rPr>
          <w:rFonts w:ascii="arial" w:eastAsia="arial" w:hAnsi="arial" w:cs="arial"/>
          <w:color w:val="000000"/>
          <w:sz w:val="20"/>
          <w:lang w:val="en-US" w:eastAsia="en-US" w:bidi="ar-SA"/>
        </w:rPr>
        <w:t xml:space="preserve"> provide particularly detailed background information about proceedings and orders relating to the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R.J.R. alleges in his NOCC that in September 2011 P.M.R. kidnapped their two children from shared custody in Squamish and took them to Port Renfrew. R.J.R. says that she made false allegations of domestic abuse to the RCMP and MCFD and that the RCMP warned him against going to Port Renfrew or even leaving Squamish to look for the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January 2012, the Director received information concerning inappropriate sexual conduct by R.J.R. towards the children and commenced an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May 2, 2012, Master Tokarek ordered that R.J.R. have supervised access to the children. The Director was not a party to the application underlying this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May 10, 2012, Paul Brockhurst, who conducted the investigation on behalf of MCFD, interviewed the two children separately concerning allegations of inappropriate sexual conduct by R.J.R. MCFD learned that Master Tokarek had granted supervised access to the children. Mr. Brockhurst developed a safety plan with R.J.R. and his counsel at the time, which essentially required the approval of the Director for R.J.R. to have access to the children while the investigation was ongoing.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On June 1, 2012, P.M.R. advised MCFD that the children were anxious about access to their father. MCFD proposed that access should be suspended until the children settled. R.J.R. disagreed and asserted he should continue to have access as outlined in Master Tokarek's order. Mr. Brockhurst consulted with his manager, Denise Connell, and removed the children from the care of their parents on June 22, 2012 under the authority of s. 30(1) of the </w:t>
      </w:r>
      <w:r>
        <w:rPr>
          <w:rFonts w:ascii="arial" w:eastAsia="arial" w:hAnsi="arial" w:cs="arial"/>
          <w:i/>
          <w:color w:val="000000"/>
          <w:sz w:val="20"/>
          <w:lang w:val="en-US" w:eastAsia="en-US" w:bidi="ar-SA"/>
        </w:rPr>
        <w:t>Child, Family and Community Service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46</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A presentation hearing was set for June 27, 2012 in Provincial Court at Duncan, but it was adjourned to August 22, 2012 to accommodate changes in counsel by both parents. On August 22, the Director applied for an order for interim custody of the children under s. 35(2)(9a) of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before the Honourable Judge Harvey. R.J.R. did not contest the Director's determination that the children were in need of protection. The result of the August 22 hearing were consent orders providing for the Director to have interim custody of the children and for the parents to have reasonable access to them, supervised at the discretion of the Director.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August 2013, R.J.R. applied for a finding of contempt against social workers and counsel for P.M.R. The application was heard in March 2014 and dismissed by Pearlman J. on May 14, 2014. The citation for his reasons is set out at para. 6 of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Social workers made arrangements for R.J.R. to have telephone access to the children in September 2013. Access was discontinued in October after the children refused to participate and after social workers received recommendations from the Vancouver Island Health Authority's Suspected Child Abuse and Neglect Team that access should be limited or halted to allow the children to deal with their emotions. Following this development, R.J.R. made numerous complaints to MCFD.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October 10, 2013, the Director applied to vary Judge Harvey's August 22, 2012 order to permit R.J.R. and P.M.R. reasonable access to the children at the discretion of the Director. A two-day hearing for the Director's application for temporary custody was set for November 2013, but was adjourned at R.J.R.'s request to January 8, 2014. R.J.R. applied to adjourn the application again, but his application was refused. R.J.R. then consented to the Director's application for a six-month temporary custody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April 2014, the Honourable Judge Wood made an interim order prohibiting R.J.R. from contacting or trying to contact the children, except as necessary to facilitate supervised access authorized by the Director. The order also prevented R.J.R. from attending at the children's school or molesting, harassing or annoying the children's caregivers. The order was renewed or extended on several occasions.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March 2016, there was a four-day hearing in Provincial Court before the Honourable Judge Wishart which resulted in an order, dated March 8, 2016, returning the children to the custody of their mother, under the Director's supervision for a period of six months, and that R.J.R. have supervised access arranged and approved by the Director in accordance with the wishes of the children. A restraining order was also made against R.J.R.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March 17, 2016, R.J.R.'s application for a finding of contempt against MCFD was heard by Madam Justice Dorgan. The application was focussed on an allegation that MCFD did not follow the August 6, 2015 order of Judge Brooks concerning the need for R.J.R. and P.M.R. to undergo a child-parent assessment. Dorgan J. reviewed the order of Judge Brooks and concluded that it made no provision for such an assessment and dismissed the contempt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On September 22, 2016, R.J.R. and P.M.R. appeared before Mr. Justice Josephson. R.J.R. applied to adjourn the trial, set for September 26, but his application was refused. The parties then entered into a comprehensive consent order under the </w:t>
      </w:r>
      <w:r>
        <w:rPr>
          <w:rFonts w:ascii="arial" w:eastAsia="arial" w:hAnsi="arial" w:cs="arial"/>
          <w:i/>
          <w:color w:val="000000"/>
          <w:sz w:val="20"/>
          <w:lang w:val="en-US" w:eastAsia="en-US" w:bidi="ar-SA"/>
        </w:rPr>
        <w:t>Family Law Act</w:t>
      </w:r>
      <w:r>
        <w:rPr>
          <w:rFonts w:ascii="arial" w:eastAsia="arial" w:hAnsi="arial" w:cs="arial"/>
          <w:color w:val="000000"/>
          <w:sz w:val="20"/>
          <w:lang w:val="en-US" w:eastAsia="en-US" w:bidi="ar-SA"/>
        </w:rPr>
        <w:t xml:space="preserve"> concerning guardianship, parenting time and parental responsibilities. R.J.R.'s parenting time was at the discretion of P.M.R. and as approved by the Director in accordance with the children's wishes. Issues of child support and spousal support were adjourned generally and R.J.R. consented to providing a filed F8 financial statement within 30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Current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his NOCC, R.J.R. alleges the following against MCFD:</w:t>
      </w:r>
      <w:r>
        <w:rPr>
          <w:rFonts w:ascii="arial" w:eastAsia="arial" w:hAnsi="arial" w:cs="arial"/>
          <w:sz w:val="20"/>
          <w:lang w:val="en-US" w:eastAsia="en-US" w:bidi="ar-SA"/>
        </w:rPr>
        <w:cr/>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P.M.R. had her boyfriend file a false accusation at the Lake Cowichan RCMP detachment that R.J.R. had sexually assaulted the children, which triggered an investigation by MCFD;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MCFD ignored the retraction of the accusation;</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MCFD internally overruled a court order for visitation and access;</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MCFD cited the police investigation for months yet no "due process investigation" on the details and accusations made by the defendant were completed;</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 case worker for MCFD told him in November 2014 that despite the fact that he had passed a polygraph test, he would have to acknowledge that he was a child molester and go through a program to cure him;</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P.M.R. expanded on the abuse details originally made in 2012 but he was not given the documents until late 2014 and that there was no due process on investigating the case by any caseworker or director;</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MCFD had taken a firm stand that he was guilty without due process;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RCMP, MCFD and P.M.R. have caused the complete forced alienation between him and his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As against the RCMP, R.J.R. pleads the following:</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P.M.R. kidnapped their children and removed them to Port Renfrew after making false allegations of domestic abuse to the RCMP and MCFD in 2011;</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RCMP failed to interview him following the alleged kidnapping, despite his requests that they do so;</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RCMP subjected him to "emotional detention" by refusing to tell him where his children were following the alleged kidnapping and warned him against coming to Port Renfrew;</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RCMP investigated and cleared him of allegations that he had sexually abused his children in 2012;</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RCMP "interfered with the files and details" concerning a lack of "due process" relating to an unspecified complaint;</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actions of the RCMP and the other defendants caused his forced alienation from his children;</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RCMP officers made threats to him that denied him his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R.J.R. seeks a declaration in a newspaper of the full list of unlawful conditions and actions of the defendants. He also seeks compensatory damages, pecuniary damages, consequential damages, nominal damages, general damages, special damages, aggravated damages, punitive and exemplary damages, interest, special costs and a financial settlement of $4,500,000.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legal basis for the claim is said to be perjury, offences under the </w:t>
      </w:r>
      <w:r>
        <w:rPr>
          <w:rFonts w:ascii="arial" w:eastAsia="arial" w:hAnsi="arial" w:cs="arial"/>
          <w:i/>
          <w:color w:val="000000"/>
          <w:sz w:val="20"/>
          <w:lang w:val="en-US" w:eastAsia="en-US" w:bidi="ar-SA"/>
        </w:rPr>
        <w:t>Crown Liability and Proceedings Act</w:t>
      </w:r>
      <w:r>
        <w:rPr>
          <w:rFonts w:ascii="arial" w:eastAsia="arial" w:hAnsi="arial" w:cs="arial"/>
          <w:color w:val="000000"/>
          <w:sz w:val="20"/>
          <w:lang w:val="en-US" w:eastAsia="en-US" w:bidi="ar-SA"/>
        </w:rPr>
        <w:t xml:space="preserve">, fruit of the poisonous tree, the </w:t>
      </w:r>
      <w:r>
        <w:rPr>
          <w:rFonts w:ascii="arial" w:eastAsia="arial" w:hAnsi="arial" w:cs="arial"/>
          <w:i/>
          <w:color w:val="000000"/>
          <w:sz w:val="20"/>
          <w:lang w:val="en-US" w:eastAsia="en-US" w:bidi="ar-SA"/>
        </w:rPr>
        <w:t>Ministry of Children and Family Development Act</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Family Law Act</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Divorce Act</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the criminal law of kidnapping and parental child abduction, the right not to be arbitrarily detained and parental alienation.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Rule 9-5(1) of the </w:t>
      </w:r>
      <w:r>
        <w:rPr>
          <w:rFonts w:ascii="arial" w:eastAsia="arial" w:hAnsi="arial" w:cs="arial"/>
          <w:i/>
          <w:color w:val="000000"/>
          <w:sz w:val="20"/>
          <w:lang w:val="en-US" w:eastAsia="en-US" w:bidi="ar-SA"/>
        </w:rPr>
        <w:t>Supreme Court Rules</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 pleading, petition or other document on the ground that</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may prejudice, embarrass or delay the fair trial or hearing of the proceeding, or</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the court may pronounce judgment or order the proceeding to be stayed or dismissed and may order the costs of the application to be paid as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Rule 9-5(1)(a)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Evidence is not admissible on a Rule 9-5(1)(a) application: see Rule 9-5(2).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It must be "plain and obvious" that the pleading discloses no reasonable cause of action for a successful application to strike out a NOCC under Rule 9-5(1)(a): </w:t>
      </w:r>
      <w:r>
        <w:rPr>
          <w:rFonts w:ascii="arial" w:eastAsia="arial" w:hAnsi="arial" w:cs="arial"/>
          <w:i/>
          <w:color w:val="000000"/>
          <w:sz w:val="20"/>
          <w:lang w:val="en-US" w:eastAsia="en-US" w:bidi="ar-SA"/>
        </w:rPr>
        <w:t>R. v. Imperial Tobacco Canada Ltd.</w:t>
      </w:r>
      <w:r>
        <w:rPr>
          <w:rFonts w:ascii="arial" w:eastAsia="arial" w:hAnsi="arial" w:cs="arial"/>
          <w:color w:val="000000"/>
          <w:sz w:val="20"/>
          <w:lang w:val="en-US" w:eastAsia="en-US" w:bidi="ar-SA"/>
        </w:rPr>
        <w:t xml:space="preserve">, </w:t>
      </w:r>
      <w:hyperlink r:id="rId77" w:history="1">
        <w:r>
          <w:rPr>
            <w:rFonts w:ascii="arial" w:eastAsia="arial" w:hAnsi="arial" w:cs="arial"/>
            <w:i/>
            <w:color w:val="0077CC"/>
            <w:sz w:val="20"/>
            <w:u w:val="single"/>
            <w:shd w:val="clear" w:color="auto" w:fill="FFFFFF"/>
            <w:lang w:val="en-US" w:eastAsia="en-US" w:bidi="ar-SA"/>
          </w:rPr>
          <w:t>2011 SCC 42</w:t>
        </w:r>
      </w:hyperlink>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 which stated the test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The parties agree on the test applicable on a motion to strike for not disclosing a reasonable cause of action under r. 19(24)(a) of the B.C. </w:t>
      </w:r>
      <w:r>
        <w:rPr>
          <w:rFonts w:ascii="arial" w:eastAsia="arial" w:hAnsi="arial" w:cs="arial"/>
          <w:i/>
          <w:color w:val="000000"/>
          <w:sz w:val="20"/>
          <w:lang w:val="en-US" w:eastAsia="en-US" w:bidi="ar-SA"/>
        </w:rPr>
        <w:t>Supreme Court Rules</w:t>
      </w:r>
      <w:r>
        <w:rPr>
          <w:rFonts w:ascii="arial" w:eastAsia="arial" w:hAnsi="arial" w:cs="arial"/>
          <w:color w:val="000000"/>
          <w:sz w:val="20"/>
          <w:lang w:val="en-US" w:eastAsia="en-US" w:bidi="ar-SA"/>
        </w:rPr>
        <w:t xml:space="preserve"> [now R. 9-5(1)(a)]. This Court has reiterated the test on many occasions. A claim will only be struck if it is plain and obvious, assuming the facts pleaded to be true, that the pleading discloses no reasonable cause of action: </w:t>
      </w:r>
      <w:r>
        <w:rPr>
          <w:rFonts w:ascii="arial" w:eastAsia="arial" w:hAnsi="arial" w:cs="arial"/>
          <w:i/>
          <w:color w:val="000000"/>
          <w:sz w:val="20"/>
          <w:lang w:val="en-US" w:eastAsia="en-US" w:bidi="ar-SA"/>
        </w:rPr>
        <w:t>Odhavji Estate v. Woodhouse</w:t>
      </w:r>
      <w:r>
        <w:rPr>
          <w:rFonts w:ascii="arial" w:eastAsia="arial" w:hAnsi="arial" w:cs="arial"/>
          <w:color w:val="000000"/>
          <w:sz w:val="20"/>
          <w:lang w:val="en-US" w:eastAsia="en-US" w:bidi="ar-SA"/>
        </w:rPr>
        <w:t xml:space="preserve">, </w:t>
      </w:r>
      <w:hyperlink r:id="rId551" w:history="1">
        <w:r>
          <w:rPr>
            <w:rFonts w:ascii="arial" w:eastAsia="arial" w:hAnsi="arial" w:cs="arial"/>
            <w:i/>
            <w:color w:val="0077CC"/>
            <w:sz w:val="20"/>
            <w:u w:val="single"/>
            <w:shd w:val="clear" w:color="auto" w:fill="FFFFFF"/>
            <w:lang w:val="en-US" w:eastAsia="en-US" w:bidi="ar-SA"/>
          </w:rPr>
          <w:t>2003 SCC 69</w:t>
        </w:r>
      </w:hyperlink>
      <w:r>
        <w:rPr>
          <w:rFonts w:ascii="arial" w:eastAsia="arial" w:hAnsi="arial" w:cs="arial"/>
          <w:color w:val="000000"/>
          <w:sz w:val="20"/>
          <w:lang w:val="en-US" w:eastAsia="en-US" w:bidi="ar-SA"/>
        </w:rPr>
        <w:t xml:space="preserve">, </w:t>
      </w:r>
      <w:hyperlink r:id="rId551" w:history="1">
        <w:r>
          <w:rPr>
            <w:rFonts w:ascii="arial" w:eastAsia="arial" w:hAnsi="arial" w:cs="arial"/>
            <w:i/>
            <w:color w:val="0077CC"/>
            <w:sz w:val="20"/>
            <w:u w:val="single"/>
            <w:shd w:val="clear" w:color="auto" w:fill="FFFFFF"/>
            <w:lang w:val="en-US" w:eastAsia="en-US" w:bidi="ar-SA"/>
          </w:rPr>
          <w:t>[2003] 3 S.C.R. 263</w:t>
        </w:r>
      </w:hyperlink>
      <w:r>
        <w:rPr>
          <w:rFonts w:ascii="arial" w:eastAsia="arial" w:hAnsi="arial" w:cs="arial"/>
          <w:color w:val="000000"/>
          <w:sz w:val="20"/>
          <w:lang w:val="en-US" w:eastAsia="en-US" w:bidi="ar-SA"/>
        </w:rPr>
        <w:t xml:space="preserve">, at para. 15; </w:t>
      </w: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at p. 980. Another way of putting the test is that the claim has no reasonable prospect of success. Where a reasonable prospect of success exists, the matter should be allowed to proceed to trial: see, generally, </w:t>
      </w:r>
      <w:r>
        <w:rPr>
          <w:rFonts w:ascii="arial" w:eastAsia="arial" w:hAnsi="arial" w:cs="arial"/>
          <w:i/>
          <w:color w:val="000000"/>
          <w:sz w:val="20"/>
          <w:lang w:val="en-US" w:eastAsia="en-US" w:bidi="ar-SA"/>
        </w:rPr>
        <w:t>Syl Apps Secure Treatment Centre v. B.D.</w:t>
      </w:r>
      <w:r>
        <w:rPr>
          <w:rFonts w:ascii="arial" w:eastAsia="arial" w:hAnsi="arial" w:cs="arial"/>
          <w:color w:val="000000"/>
          <w:sz w:val="20"/>
          <w:lang w:val="en-US" w:eastAsia="en-US" w:bidi="ar-SA"/>
        </w:rPr>
        <w:t xml:space="preserve">, </w:t>
      </w:r>
      <w:hyperlink r:id="rId552" w:history="1">
        <w:r>
          <w:rPr>
            <w:rFonts w:ascii="arial" w:eastAsia="arial" w:hAnsi="arial" w:cs="arial"/>
            <w:i/>
            <w:color w:val="0077CC"/>
            <w:sz w:val="20"/>
            <w:u w:val="single"/>
            <w:shd w:val="clear" w:color="auto" w:fill="FFFFFF"/>
            <w:lang w:val="en-US" w:eastAsia="en-US" w:bidi="ar-SA"/>
          </w:rPr>
          <w:t>2007 SCC 38</w:t>
        </w:r>
      </w:hyperlink>
      <w:r>
        <w:rPr>
          <w:rFonts w:ascii="arial" w:eastAsia="arial" w:hAnsi="arial" w:cs="arial"/>
          <w:color w:val="000000"/>
          <w:sz w:val="20"/>
          <w:lang w:val="en-US" w:eastAsia="en-US" w:bidi="ar-SA"/>
        </w:rPr>
        <w:t xml:space="preserve">, </w:t>
      </w:r>
      <w:hyperlink r:id="rId552" w:history="1">
        <w:r>
          <w:rPr>
            <w:rFonts w:ascii="arial" w:eastAsia="arial" w:hAnsi="arial" w:cs="arial"/>
            <w:i/>
            <w:color w:val="0077CC"/>
            <w:sz w:val="20"/>
            <w:u w:val="single"/>
            <w:shd w:val="clear" w:color="auto" w:fill="FFFFFF"/>
            <w:lang w:val="en-US" w:eastAsia="en-US" w:bidi="ar-SA"/>
          </w:rPr>
          <w:t>[2007] 3 S.C.R. 83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Odhavji Estate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Hunt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Attorney General of Canada v. Inuit Tapirisat of Canada</w:t>
      </w:r>
      <w:r>
        <w:rPr>
          <w:rFonts w:ascii="arial" w:eastAsia="arial" w:hAnsi="arial" w:cs="arial"/>
          <w:color w:val="000000"/>
          <w:sz w:val="20"/>
          <w:lang w:val="en-US" w:eastAsia="en-US" w:bidi="ar-SA"/>
        </w:rPr>
        <w:t xml:space="preserve">, </w:t>
      </w:r>
      <w:hyperlink r:id="rId553" w:history="1">
        <w:r>
          <w:rPr>
            <w:rFonts w:ascii="arial" w:eastAsia="arial" w:hAnsi="arial" w:cs="arial"/>
            <w:i/>
            <w:color w:val="0077CC"/>
            <w:sz w:val="20"/>
            <w:u w:val="single"/>
            <w:shd w:val="clear" w:color="auto" w:fill="FFFFFF"/>
            <w:lang w:val="en-US" w:eastAsia="en-US" w:bidi="ar-SA"/>
          </w:rPr>
          <w:t>[1980] 2 S.C.R. 735</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A motion to strike for failure to disclose a reasonable cause of action proceeds on the basis that the facts pleaded are true, </w:t>
      </w:r>
      <w:r>
        <w:rPr>
          <w:rFonts w:ascii="arial" w:eastAsia="arial" w:hAnsi="arial" w:cs="arial"/>
          <w:color w:val="000000"/>
          <w:sz w:val="20"/>
          <w:u w:val="single"/>
          <w:lang w:val="en-US" w:eastAsia="en-US" w:bidi="ar-SA"/>
        </w:rPr>
        <w:t>unless they are manifestly incapable of being proven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Operation Dismantle Inc. v. The Queen</w:t>
      </w:r>
      <w:r>
        <w:rPr>
          <w:rFonts w:ascii="arial" w:eastAsia="arial" w:hAnsi="arial" w:cs="arial"/>
          <w:color w:val="000000"/>
          <w:sz w:val="20"/>
          <w:lang w:val="en-US" w:eastAsia="en-US" w:bidi="ar-SA"/>
        </w:rPr>
        <w:t xml:space="preserve">, </w:t>
      </w:r>
      <w:hyperlink r:id="rId554" w:history="1">
        <w:r>
          <w:rPr>
            <w:rFonts w:ascii="arial" w:eastAsia="arial" w:hAnsi="arial" w:cs="arial"/>
            <w:i/>
            <w:color w:val="0077CC"/>
            <w:sz w:val="20"/>
            <w:u w:val="single"/>
            <w:shd w:val="clear" w:color="auto" w:fill="FFFFFF"/>
            <w:lang w:val="en-US" w:eastAsia="en-US" w:bidi="ar-SA"/>
          </w:rPr>
          <w:t>[1985] 1 S.C.R. 441</w:t>
        </w:r>
      </w:hyperlink>
      <w:r>
        <w:rPr>
          <w:rFonts w:ascii="arial" w:eastAsia="arial" w:hAnsi="arial" w:cs="arial"/>
          <w:color w:val="000000"/>
          <w:sz w:val="20"/>
          <w:lang w:val="en-US" w:eastAsia="en-US" w:bidi="ar-SA"/>
        </w:rPr>
        <w:t xml:space="preserve">, at p. 455. No evidence is admissible on such a motion: r. 19(27) of the </w:t>
      </w:r>
      <w:r>
        <w:rPr>
          <w:rFonts w:ascii="arial" w:eastAsia="arial" w:hAnsi="arial" w:cs="arial"/>
          <w:i/>
          <w:color w:val="000000"/>
          <w:sz w:val="20"/>
          <w:lang w:val="en-US" w:eastAsia="en-US" w:bidi="ar-SA"/>
        </w:rPr>
        <w:t>Supreme Court Rules</w:t>
      </w:r>
      <w:r>
        <w:rPr>
          <w:rFonts w:ascii="arial" w:eastAsia="arial" w:hAnsi="arial" w:cs="arial"/>
          <w:color w:val="000000"/>
          <w:sz w:val="20"/>
          <w:lang w:val="en-US" w:eastAsia="en-US" w:bidi="ar-SA"/>
        </w:rPr>
        <w:t xml:space="preserve"> (now r. 9-5(2) ... ). It is incumbent on the claimant to clearly plead the facts upon which it relies in making its claim. A claimant is not entitled to rely on the possibility that new facts may turn up as the case progresses. The claimant may not be in a position to prove the facts pleaded at the time of the motion. It may only hope to be able to prove them. But plead them it must. The facts pleaded are the firm basis upon which the possibility of success of the claim must be evaluated. If they are not pleaded, the exercise cannot be properly conducted.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Sahyoun v. Ho</w:t>
      </w:r>
      <w:r>
        <w:rPr>
          <w:rFonts w:ascii="arial" w:eastAsia="arial" w:hAnsi="arial" w:cs="arial"/>
          <w:color w:val="000000"/>
          <w:sz w:val="20"/>
          <w:lang w:val="en-US" w:eastAsia="en-US" w:bidi="ar-SA"/>
        </w:rPr>
        <w:t xml:space="preserve">, </w:t>
      </w:r>
      <w:hyperlink r:id="rId82" w:history="1">
        <w:r>
          <w:rPr>
            <w:rFonts w:ascii="arial" w:eastAsia="arial" w:hAnsi="arial" w:cs="arial"/>
            <w:i/>
            <w:color w:val="0077CC"/>
            <w:sz w:val="20"/>
            <w:u w:val="single"/>
            <w:shd w:val="clear" w:color="auto" w:fill="FFFFFF"/>
            <w:lang w:val="en-US" w:eastAsia="en-US" w:bidi="ar-SA"/>
          </w:rPr>
          <w:t>2015 BCSC 392</w:t>
        </w:r>
      </w:hyperlink>
      <w:r>
        <w:rPr>
          <w:rFonts w:ascii="arial" w:eastAsia="arial" w:hAnsi="arial" w:cs="arial"/>
          <w:color w:val="000000"/>
          <w:sz w:val="20"/>
          <w:lang w:val="en-US" w:eastAsia="en-US" w:bidi="ar-SA"/>
        </w:rPr>
        <w:t>, Voith J. summarized the test for striking pleadings under Rule 9-5(1). After stating the test concerning Rule 9-5(1)(a), Voith J. observed: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[58] The test for striking a pleading under R. 9-5(1)(b), on the basis that it is unnecessary, scandalous, frivolous or vexatious, was recently summarized in </w:t>
      </w:r>
      <w:r>
        <w:rPr>
          <w:rFonts w:ascii="arial" w:eastAsia="arial" w:hAnsi="arial" w:cs="arial"/>
          <w:i/>
          <w:color w:val="000000"/>
          <w:sz w:val="20"/>
          <w:lang w:val="en-US" w:eastAsia="en-US" w:bidi="ar-SA"/>
        </w:rPr>
        <w:t>Willow v. Chong</w:t>
      </w:r>
      <w:r>
        <w:rPr>
          <w:rFonts w:ascii="arial" w:eastAsia="arial" w:hAnsi="arial" w:cs="arial"/>
          <w:color w:val="000000"/>
          <w:sz w:val="20"/>
          <w:lang w:val="en-US" w:eastAsia="en-US" w:bidi="ar-SA"/>
        </w:rPr>
        <w:t xml:space="preserve">, </w:t>
      </w:r>
      <w:hyperlink r:id="rId555" w:history="1">
        <w:r>
          <w:rPr>
            <w:rFonts w:ascii="arial" w:eastAsia="arial" w:hAnsi="arial" w:cs="arial"/>
            <w:i/>
            <w:color w:val="0077CC"/>
            <w:sz w:val="20"/>
            <w:u w:val="single"/>
            <w:shd w:val="clear" w:color="auto" w:fill="FFFFFF"/>
            <w:lang w:val="en-US" w:eastAsia="en-US" w:bidi="ar-SA"/>
          </w:rPr>
          <w:t>2013 BCSC 1083</w:t>
        </w:r>
      </w:hyperlink>
      <w:r>
        <w:rPr>
          <w:rFonts w:ascii="arial" w:eastAsia="arial" w:hAnsi="arial" w:cs="arial"/>
          <w:color w:val="000000"/>
          <w:sz w:val="20"/>
          <w:lang w:val="en-US" w:eastAsia="en-US" w:bidi="ar-SA"/>
        </w:rPr>
        <w:t>, where Fisher J.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Under Rule 9-5(1)(b), a pleading is unnecessary or vexatious if it does not go to establishing the plaintiff's cause of action, if it does not advance any claim known in law, where it is obvious that an action cannot succeed, or where it would serve no useful purpose and would be a waste of the court's time and public resources: </w:t>
      </w:r>
      <w:r>
        <w:rPr>
          <w:rFonts w:ascii="arial" w:eastAsia="arial" w:hAnsi="arial" w:cs="arial"/>
          <w:i/>
          <w:color w:val="000000"/>
          <w:sz w:val="20"/>
          <w:lang w:val="en-US" w:eastAsia="en-US" w:bidi="ar-SA"/>
        </w:rPr>
        <w:t>Citizens for Foreign Aid Reform Inc. v Canadian Jewish Congress</w:t>
      </w:r>
      <w:r>
        <w:rPr>
          <w:rFonts w:ascii="arial" w:eastAsia="arial" w:hAnsi="arial" w:cs="arial"/>
          <w:color w:val="000000"/>
          <w:sz w:val="20"/>
          <w:lang w:val="en-US" w:eastAsia="en-US" w:bidi="ar-SA"/>
        </w:rPr>
        <w:t xml:space="preserve">, </w:t>
      </w:r>
      <w:hyperlink r:id="rId556" w:history="1">
        <w:r>
          <w:rPr>
            <w:rFonts w:ascii="arial" w:eastAsia="arial" w:hAnsi="arial" w:cs="arial"/>
            <w:i/>
            <w:color w:val="0077CC"/>
            <w:sz w:val="20"/>
            <w:u w:val="single"/>
            <w:shd w:val="clear" w:color="auto" w:fill="FFFFFF"/>
            <w:lang w:val="en-US" w:eastAsia="en-US" w:bidi="ar-SA"/>
          </w:rPr>
          <w:t>[1999] B.C.J. No. 2160</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Skender v. Farley</w:t>
      </w:r>
      <w:r>
        <w:rPr>
          <w:rFonts w:ascii="arial" w:eastAsia="arial" w:hAnsi="arial" w:cs="arial"/>
          <w:color w:val="000000"/>
          <w:sz w:val="20"/>
          <w:lang w:val="en-US" w:eastAsia="en-US" w:bidi="ar-SA"/>
        </w:rPr>
        <w:t xml:space="preserve">, </w:t>
      </w:r>
      <w:hyperlink r:id="rId557" w:history="1">
        <w:r>
          <w:rPr>
            <w:rFonts w:ascii="arial" w:eastAsia="arial" w:hAnsi="arial" w:cs="arial"/>
            <w:i/>
            <w:color w:val="0077CC"/>
            <w:sz w:val="20"/>
            <w:u w:val="single"/>
            <w:shd w:val="clear" w:color="auto" w:fill="FFFFFF"/>
            <w:lang w:val="en-US" w:eastAsia="en-US" w:bidi="ar-SA"/>
          </w:rPr>
          <w:t>2007 BCCA 629</w:t>
        </w:r>
      </w:hyperlink>
      <w:r>
        <w:rPr>
          <w:rFonts w:ascii="arial" w:eastAsia="arial" w:hAnsi="arial" w:cs="arial"/>
          <w:color w:val="000000"/>
          <w:sz w:val="20"/>
          <w:lang w:val="en-US" w:eastAsia="en-US" w:bidi="ar-SA"/>
        </w:rPr>
        <w:t>. If a pleading is so confusing that it is difficult to understand what is pleaded, it may also be unnecessary, frivolous or vexatious.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[59] An "embarrassing" pleading, as contemplated by R. 9-5(1)(c), is one that is so irrelevant that to allow it to stand would involve useless expense and would also prejudice the trial of the action by involving the parties in a dispute apart from the issues; </w:t>
      </w:r>
      <w:r>
        <w:rPr>
          <w:rFonts w:ascii="arial" w:eastAsia="arial" w:hAnsi="arial" w:cs="arial"/>
          <w:i/>
          <w:color w:val="000000"/>
          <w:sz w:val="20"/>
          <w:lang w:val="en-US" w:eastAsia="en-US" w:bidi="ar-SA"/>
        </w:rPr>
        <w:t>Keddie v. Dumas Hotels Ltd</w:t>
      </w:r>
      <w:r>
        <w:rPr>
          <w:rFonts w:ascii="arial" w:eastAsia="arial" w:hAnsi="arial" w:cs="arial"/>
          <w:color w:val="000000"/>
          <w:sz w:val="20"/>
          <w:lang w:val="en-US" w:eastAsia="en-US" w:bidi="ar-SA"/>
        </w:rPr>
        <w:t xml:space="preserve">. </w:t>
      </w:r>
      <w:hyperlink r:id="rId558" w:history="1">
        <w:r>
          <w:rPr>
            <w:rFonts w:ascii="arial" w:eastAsia="arial" w:hAnsi="arial" w:cs="arial"/>
            <w:i/>
            <w:color w:val="0077CC"/>
            <w:sz w:val="20"/>
            <w:u w:val="single"/>
            <w:shd w:val="clear" w:color="auto" w:fill="FFFFFF"/>
            <w:lang w:val="en-US" w:eastAsia="en-US" w:bidi="ar-SA"/>
          </w:rPr>
          <w:t>(1985), 62 B.C.L.R. 145</w:t>
        </w:r>
      </w:hyperlink>
      <w:r>
        <w:rPr>
          <w:rFonts w:ascii="arial" w:eastAsia="arial" w:hAnsi="arial" w:cs="arial"/>
          <w:color w:val="000000"/>
          <w:sz w:val="20"/>
          <w:lang w:val="en-US" w:eastAsia="en-US" w:bidi="ar-SA"/>
        </w:rPr>
        <w:t xml:space="preserve"> at 147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[60] The abuse of process standard under R. 9-5(1)(d) derives from a flexible doctrine. It allows the court to prevent a claim from proceeding where to do so would violate principles of judicial economy, consistency, finality and the integrity of the administration of justice; </w:t>
      </w:r>
      <w:r>
        <w:rPr>
          <w:rFonts w:ascii="arial" w:eastAsia="arial" w:hAnsi="arial" w:cs="arial"/>
          <w:i/>
          <w:color w:val="000000"/>
          <w:sz w:val="20"/>
          <w:lang w:val="en-US" w:eastAsia="en-US" w:bidi="ar-SA"/>
        </w:rPr>
        <w:t>Toronto (City) v. C.U.P.E.</w:t>
      </w:r>
      <w:r>
        <w:rPr>
          <w:rFonts w:ascii="arial" w:eastAsia="arial" w:hAnsi="arial" w:cs="arial"/>
          <w:color w:val="000000"/>
          <w:sz w:val="20"/>
          <w:lang w:val="en-US" w:eastAsia="en-US" w:bidi="ar-SA"/>
        </w:rPr>
        <w:t xml:space="preserve">, Local 79, </w:t>
      </w:r>
      <w:hyperlink r:id="rId506" w:history="1">
        <w:r>
          <w:rPr>
            <w:rFonts w:ascii="arial" w:eastAsia="arial" w:hAnsi="arial" w:cs="arial"/>
            <w:i/>
            <w:color w:val="0077CC"/>
            <w:sz w:val="20"/>
            <w:u w:val="single"/>
            <w:shd w:val="clear" w:color="auto" w:fill="FFFFFF"/>
            <w:lang w:val="en-US" w:eastAsia="en-US" w:bidi="ar-SA"/>
          </w:rPr>
          <w:t>2003 SCC 63</w:t>
        </w:r>
      </w:hyperlink>
      <w:r>
        <w:rPr>
          <w:rFonts w:ascii="arial" w:eastAsia="arial" w:hAnsi="arial" w:cs="arial"/>
          <w:color w:val="000000"/>
          <w:sz w:val="20"/>
          <w:lang w:val="en-US" w:eastAsia="en-US" w:bidi="ar-SA"/>
        </w:rPr>
        <w:t xml:space="preserve"> at paras. 35-37.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[61] Though subsections (a)-(d) of R. 9-5(1) address different concerns and different wrongs, there is also some overlap between these subsections. Thus, for example, a pleading that discloses no cause of action, contrary to R. 9-5(1)(a), can also be unnecessary, frivolous or vexatious within the meaning of R. 9-5(1)(b); see e.g. </w:t>
      </w:r>
      <w:r>
        <w:rPr>
          <w:rFonts w:ascii="arial" w:eastAsia="arial" w:hAnsi="arial" w:cs="arial"/>
          <w:i/>
          <w:color w:val="000000"/>
          <w:sz w:val="20"/>
          <w:lang w:val="en-US" w:eastAsia="en-US" w:bidi="ar-SA"/>
        </w:rPr>
        <w:t>Virk v. Brar</w:t>
      </w:r>
      <w:r>
        <w:rPr>
          <w:rFonts w:ascii="arial" w:eastAsia="arial" w:hAnsi="arial" w:cs="arial"/>
          <w:color w:val="000000"/>
          <w:sz w:val="20"/>
          <w:lang w:val="en-US" w:eastAsia="en-US" w:bidi="ar-SA"/>
        </w:rPr>
        <w:t xml:space="preserve">, </w:t>
      </w:r>
      <w:hyperlink r:id="rId559" w:history="1">
        <w:r>
          <w:rPr>
            <w:rFonts w:ascii="arial" w:eastAsia="arial" w:hAnsi="arial" w:cs="arial"/>
            <w:i/>
            <w:color w:val="0077CC"/>
            <w:sz w:val="20"/>
            <w:u w:val="single"/>
            <w:shd w:val="clear" w:color="auto" w:fill="FFFFFF"/>
            <w:lang w:val="en-US" w:eastAsia="en-US" w:bidi="ar-SA"/>
          </w:rPr>
          <w:t>2012 BCSC 1004</w:t>
        </w:r>
      </w:hyperlink>
      <w:r>
        <w:rPr>
          <w:rFonts w:ascii="arial" w:eastAsia="arial" w:hAnsi="arial" w:cs="arial"/>
          <w:color w:val="000000"/>
          <w:sz w:val="20"/>
          <w:lang w:val="en-US" w:eastAsia="en-US" w:bidi="ar-SA"/>
        </w:rPr>
        <w:t xml:space="preserve"> at paras. 69-70.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[62] A pleading can be embarrassing if it does not state the real issue in an intelligible form. It can also be embarrassing if it is prolix, includes irrelevant facts, argument or evidence. It can be prejudicial if it is designed to or has the effect of confusing the defendant, making it difficult, if not impossible, to answer; </w:t>
      </w:r>
      <w:r>
        <w:rPr>
          <w:rFonts w:ascii="arial" w:eastAsia="arial" w:hAnsi="arial" w:cs="arial"/>
          <w:i/>
          <w:color w:val="000000"/>
          <w:sz w:val="20"/>
          <w:lang w:val="en-US" w:eastAsia="en-US" w:bidi="ar-SA"/>
        </w:rPr>
        <w:t>Virk</w:t>
      </w:r>
      <w:r>
        <w:rPr>
          <w:rFonts w:ascii="arial" w:eastAsia="arial" w:hAnsi="arial" w:cs="arial"/>
          <w:color w:val="000000"/>
          <w:sz w:val="20"/>
          <w:lang w:val="en-US" w:eastAsia="en-US" w:bidi="ar-SA"/>
        </w:rPr>
        <w:t xml:space="preserve"> at para. 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Position of MCFD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Ms. Suntjens, counsel for MCFD, says R.J.R.'s claim is based on allegations that social workers and their legal counsel falsified internal documents, lied in court and failed to follow due process. R.J.R.'s allegations are levelled against unspecified individuals and are based on assumptions and speculation, rather than material facts, and thus should be analyzed skeptically. In support of this proposition, Ms. Suntjens relied on </w:t>
      </w:r>
      <w:r>
        <w:rPr>
          <w:rFonts w:ascii="arial" w:eastAsia="arial" w:hAnsi="arial" w:cs="arial"/>
          <w:i/>
          <w:color w:val="000000"/>
          <w:sz w:val="20"/>
          <w:lang w:val="en-US" w:eastAsia="en-US" w:bidi="ar-SA"/>
        </w:rPr>
        <w:t>Young v. Borzoni</w:t>
      </w:r>
      <w:r>
        <w:rPr>
          <w:rFonts w:ascii="arial" w:eastAsia="arial" w:hAnsi="arial" w:cs="arial"/>
          <w:color w:val="000000"/>
          <w:sz w:val="20"/>
          <w:lang w:val="en-US" w:eastAsia="en-US" w:bidi="ar-SA"/>
        </w:rPr>
        <w:t xml:space="preserve">, </w:t>
      </w:r>
      <w:hyperlink r:id="rId560" w:history="1">
        <w:r>
          <w:rPr>
            <w:rFonts w:ascii="arial" w:eastAsia="arial" w:hAnsi="arial" w:cs="arial"/>
            <w:i/>
            <w:color w:val="0077CC"/>
            <w:sz w:val="20"/>
            <w:u w:val="single"/>
            <w:shd w:val="clear" w:color="auto" w:fill="FFFFFF"/>
            <w:lang w:val="en-US" w:eastAsia="en-US" w:bidi="ar-SA"/>
          </w:rPr>
          <w:t>2007 BCCA 16</w:t>
        </w:r>
      </w:hyperlink>
      <w:r>
        <w:rPr>
          <w:rFonts w:ascii="arial" w:eastAsia="arial" w:hAnsi="arial" w:cs="arial"/>
          <w:color w:val="000000"/>
          <w:sz w:val="20"/>
          <w:lang w:val="en-US" w:eastAsia="en-US" w:bidi="ar-SA"/>
        </w:rPr>
        <w:t>, where Thackray J.A.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It is clear that great caution must be taken in relying on </w:t>
      </w:r>
      <w:r>
        <w:rPr>
          <w:rFonts w:ascii="arial" w:eastAsia="arial" w:hAnsi="arial" w:cs="arial"/>
          <w:i/>
          <w:color w:val="000000"/>
          <w:sz w:val="20"/>
          <w:lang w:val="en-US" w:eastAsia="en-US" w:bidi="ar-SA"/>
        </w:rPr>
        <w:t>Operation Dismantle</w:t>
      </w:r>
      <w:r>
        <w:rPr>
          <w:rFonts w:ascii="arial" w:eastAsia="arial" w:hAnsi="arial" w:cs="arial"/>
          <w:color w:val="000000"/>
          <w:sz w:val="20"/>
          <w:lang w:val="en-US" w:eastAsia="en-US" w:bidi="ar-SA"/>
        </w:rPr>
        <w:t xml:space="preserve"> as a "general authority" that allegations in pleadings should be weighed as to their truth in proceedings of this kind. However, my consideration of the above authorities leads me to the conclusion that it is not fundamentally wrong to look behind the allegations in some cases. This can be taken from the statement of Estey J. in </w:t>
      </w:r>
      <w:r>
        <w:rPr>
          <w:rFonts w:ascii="arial" w:eastAsia="arial" w:hAnsi="arial" w:cs="arial"/>
          <w:i/>
          <w:color w:val="000000"/>
          <w:sz w:val="20"/>
          <w:lang w:val="en-US" w:eastAsia="en-US" w:bidi="ar-SA"/>
        </w:rPr>
        <w:t>Operation Dismantle</w:t>
      </w:r>
      <w:r>
        <w:rPr>
          <w:rFonts w:ascii="arial" w:eastAsia="arial" w:hAnsi="arial" w:cs="arial"/>
          <w:color w:val="000000"/>
          <w:sz w:val="20"/>
          <w:lang w:val="en-US" w:eastAsia="en-US" w:bidi="ar-SA"/>
        </w:rPr>
        <w:t xml:space="preserve"> that the "rule ... does not require that allegations based on assumptions and speculation be taken as true. ... No violence is done to the rule where allegations, incapable of proof, are not taken as proven." This is also supported by the comment of Esson J. A. in </w:t>
      </w:r>
      <w:r>
        <w:rPr>
          <w:rFonts w:ascii="arial" w:eastAsia="arial" w:hAnsi="arial" w:cs="arial"/>
          <w:i/>
          <w:color w:val="000000"/>
          <w:sz w:val="20"/>
          <w:lang w:val="en-US" w:eastAsia="en-US" w:bidi="ar-SA"/>
        </w:rPr>
        <w:t>Rogers</w:t>
      </w:r>
      <w:r>
        <w:rPr>
          <w:rFonts w:ascii="arial" w:eastAsia="arial" w:hAnsi="arial" w:cs="arial"/>
          <w:color w:val="000000"/>
          <w:sz w:val="20"/>
          <w:lang w:val="en-US" w:eastAsia="en-US" w:bidi="ar-SA"/>
        </w:rPr>
        <w:t xml:space="preserve"> that, "the process ... of subjecting the allegations in the pleadings to sceptical analysis in order to determine their true character, I consider that to have been an entirely appropriate procedure."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Therefore, in my opinion, considering the circumstances, litigation history and allegations in the case at bar it is appropriate to subject them to a sceptical analysis. Paragraphs 40, 41, 45, 46 and 47 of the statement of claim allege, against </w:t>
      </w:r>
      <w:r>
        <w:rPr>
          <w:rFonts w:ascii="arial" w:eastAsia="arial" w:hAnsi="arial" w:cs="arial"/>
          <w:color w:val="000000"/>
          <w:sz w:val="20"/>
          <w:u w:val="single"/>
          <w:lang w:val="en-US" w:eastAsia="en-US" w:bidi="ar-SA"/>
        </w:rPr>
        <w:t>all of the defendants</w:t>
      </w:r>
      <w:r>
        <w:rPr>
          <w:rFonts w:ascii="arial" w:eastAsia="arial" w:hAnsi="arial" w:cs="arial"/>
          <w:color w:val="000000"/>
          <w:sz w:val="20"/>
          <w:lang w:val="en-US" w:eastAsia="en-US" w:bidi="ar-SA"/>
        </w:rPr>
        <w:t>, intolerance, deceit, harassment, intimidation, writing malicious letters, falsifying documents and, in general, in disrupting the appellants' lives. They include an allegation that all of the defendants allowed, encouraged and influenced some of the Youngs' neighbours in "attempts to collide with the Plaintiffs' moving car, vandalism to the Plaintiff's property, uttering threats, trespassing, and watching of the Plaintiffs and their home." Paragraph 63 alleges that the "corporate" defendants, "under advice of Defendant Mr. Borzoni, fabricated and falsified documents destined" for the Tribunal and the Supreme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Most of these wide and sweeping allegations would not, even if true, ground an action for intentional infliction of nervous shock or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way of a breach of duty. However, particularly in that they are directed at all defendants, which includes a police department, a Regional District, corporations and individuals, the allegations can only be viewed as wild speculation. As said by Mr. Justice McKenzie, they are "only language, not reality." More substantively it can be said, paraphrasing from </w:t>
      </w:r>
      <w:r>
        <w:rPr>
          <w:rFonts w:ascii="arial" w:eastAsia="arial" w:hAnsi="arial" w:cs="arial"/>
          <w:i/>
          <w:color w:val="000000"/>
          <w:sz w:val="20"/>
          <w:lang w:val="en-US" w:eastAsia="en-US" w:bidi="ar-SA"/>
        </w:rPr>
        <w:t>Operation Dismantle</w:t>
      </w:r>
      <w:r>
        <w:rPr>
          <w:rFonts w:ascii="arial" w:eastAsia="arial" w:hAnsi="arial" w:cs="arial"/>
          <w:color w:val="000000"/>
          <w:sz w:val="20"/>
          <w:lang w:val="en-US" w:eastAsia="en-US" w:bidi="ar-SA"/>
        </w:rPr>
        <w:t>, that they are but speculation and it is not required that they be taken as true.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Counsel for MCFD also notes that R.J.R.'s claims relate in part to witness testimony or preparation for court and as a result would be barred by the doctrine of witness immunity. In </w:t>
      </w:r>
      <w:r>
        <w:rPr>
          <w:rFonts w:ascii="arial" w:eastAsia="arial" w:hAnsi="arial" w:cs="arial"/>
          <w:i/>
          <w:color w:val="000000"/>
          <w:sz w:val="20"/>
          <w:lang w:val="en-US" w:eastAsia="en-US" w:bidi="ar-SA"/>
        </w:rPr>
        <w:t>McDaniel v. McDaniel</w:t>
      </w:r>
      <w:r>
        <w:rPr>
          <w:rFonts w:ascii="arial" w:eastAsia="arial" w:hAnsi="arial" w:cs="arial"/>
          <w:color w:val="000000"/>
          <w:sz w:val="20"/>
          <w:lang w:val="en-US" w:eastAsia="en-US" w:bidi="ar-SA"/>
        </w:rPr>
        <w:t xml:space="preserve">, </w:t>
      </w:r>
      <w:hyperlink r:id="rId561" w:history="1">
        <w:r>
          <w:rPr>
            <w:rFonts w:ascii="arial" w:eastAsia="arial" w:hAnsi="arial" w:cs="arial"/>
            <w:i/>
            <w:color w:val="0077CC"/>
            <w:sz w:val="20"/>
            <w:u w:val="single"/>
            <w:shd w:val="clear" w:color="auto" w:fill="FFFFFF"/>
            <w:lang w:val="en-US" w:eastAsia="en-US" w:bidi="ar-SA"/>
          </w:rPr>
          <w:t>2009 BCCA 53</w:t>
        </w:r>
      </w:hyperlink>
      <w:r>
        <w:rPr>
          <w:rFonts w:ascii="arial" w:eastAsia="arial" w:hAnsi="arial" w:cs="arial"/>
          <w:color w:val="000000"/>
          <w:sz w:val="20"/>
          <w:lang w:val="en-US" w:eastAsia="en-US" w:bidi="ar-SA"/>
        </w:rPr>
        <w:t xml:space="preserve">, the Court reviewed the jurisprudence concerning the scope of immunity for communications between a lawyer and a witness in preparation for giving evidence in judicial proceedings and cited </w:t>
      </w:r>
      <w:r>
        <w:rPr>
          <w:rFonts w:ascii="arial" w:eastAsia="arial" w:hAnsi="arial" w:cs="arial"/>
          <w:i/>
          <w:color w:val="000000"/>
          <w:sz w:val="20"/>
          <w:lang w:val="en-US" w:eastAsia="en-US" w:bidi="ar-SA"/>
        </w:rPr>
        <w:t>Elliott v. Insurance Crime Prevention Bureau</w:t>
      </w:r>
      <w:r>
        <w:rPr>
          <w:rFonts w:ascii="arial" w:eastAsia="arial" w:hAnsi="arial" w:cs="arial"/>
          <w:color w:val="000000"/>
          <w:sz w:val="20"/>
          <w:lang w:val="en-US" w:eastAsia="en-US" w:bidi="ar-SA"/>
        </w:rPr>
        <w:t xml:space="preserve">, </w:t>
      </w:r>
      <w:hyperlink r:id="rId562" w:history="1">
        <w:r>
          <w:rPr>
            <w:rFonts w:ascii="arial" w:eastAsia="arial" w:hAnsi="arial" w:cs="arial"/>
            <w:i/>
            <w:color w:val="0077CC"/>
            <w:sz w:val="20"/>
            <w:u w:val="single"/>
            <w:shd w:val="clear" w:color="auto" w:fill="FFFFFF"/>
            <w:lang w:val="en-US" w:eastAsia="en-US" w:bidi="ar-SA"/>
          </w:rPr>
          <w:t>2005 NSCA 115</w:t>
        </w:r>
      </w:hyperlink>
      <w:r>
        <w:rPr>
          <w:rFonts w:ascii="arial" w:eastAsia="arial" w:hAnsi="arial" w:cs="arial"/>
          <w:color w:val="000000"/>
          <w:sz w:val="20"/>
          <w:lang w:val="en-US" w:eastAsia="en-US" w:bidi="ar-SA"/>
        </w:rPr>
        <w:t xml:space="preserve"> for its comprehensive review of the law of witness immunity. Cromwell J.A., as he then was,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[102] Witnesses are immune from civil liability for what they say and do in a judicial or quasi-judicial proceeding. This is the core of witness immunity. Outside that core, the immunity may also extend to things witnesses (and even potential witnesses) say and do out-of-court, provided that the extension is necessary in order to make the protection of testimony effective. But how far the immunity extends to things said and done out-of-court is a grey area. This case falls within that grey area. It is concerned with whether witness immunity protects the respondents' statements made out-of-court to the insurer while they were investigating the cause of the fire.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[115] The core of witness immunity is well established by authority. A witness has immunity in respect of what he or she says and does in court or in testimony before a quasi-judicial proceeding: </w:t>
      </w:r>
      <w:r>
        <w:rPr>
          <w:rFonts w:ascii="arial" w:eastAsia="arial" w:hAnsi="arial" w:cs="arial"/>
          <w:i/>
          <w:color w:val="000000"/>
          <w:sz w:val="20"/>
          <w:lang w:val="en-US" w:eastAsia="en-US" w:bidi="ar-SA"/>
        </w:rPr>
        <w:t>Darker v. Chief Constable of West Midlands Police</w:t>
      </w:r>
      <w:r>
        <w:rPr>
          <w:rFonts w:ascii="arial" w:eastAsia="arial" w:hAnsi="arial" w:cs="arial"/>
          <w:color w:val="000000"/>
          <w:sz w:val="20"/>
          <w:lang w:val="en-US" w:eastAsia="en-US" w:bidi="ar-SA"/>
        </w:rPr>
        <w:t xml:space="preserve">, [2001] 1 A.C. 435 (H.L.) at 463. The immunity also extends to a statement made by a witness if the statement is as to the nature of the evidence the witness can give and it is made to a professional person preparing the evidence to be presented in court: </w:t>
      </w:r>
      <w:r>
        <w:rPr>
          <w:rFonts w:ascii="arial" w:eastAsia="arial" w:hAnsi="arial" w:cs="arial"/>
          <w:i/>
          <w:color w:val="000000"/>
          <w:sz w:val="20"/>
          <w:lang w:val="en-US" w:eastAsia="en-US" w:bidi="ar-SA"/>
        </w:rPr>
        <w:t>Watson v. M'Ewan</w:t>
      </w:r>
      <w:r>
        <w:rPr>
          <w:rFonts w:ascii="arial" w:eastAsia="arial" w:hAnsi="arial" w:cs="arial"/>
          <w:color w:val="000000"/>
          <w:sz w:val="20"/>
          <w:lang w:val="en-US" w:eastAsia="en-US" w:bidi="ar-SA"/>
        </w:rPr>
        <w:t xml:space="preserve">, [ [1905] A.C. 480 (H.L.)]; </w:t>
      </w:r>
      <w:r>
        <w:rPr>
          <w:rFonts w:ascii="arial" w:eastAsia="arial" w:hAnsi="arial" w:cs="arial"/>
          <w:i/>
          <w:color w:val="000000"/>
          <w:sz w:val="20"/>
          <w:lang w:val="en-US" w:eastAsia="en-US" w:bidi="ar-SA"/>
        </w:rPr>
        <w:t>Halls v. Mitchell</w:t>
      </w:r>
      <w:r>
        <w:rPr>
          <w:rFonts w:ascii="arial" w:eastAsia="arial" w:hAnsi="arial" w:cs="arial"/>
          <w:color w:val="000000"/>
          <w:sz w:val="20"/>
          <w:lang w:val="en-US" w:eastAsia="en-US" w:bidi="ar-SA"/>
        </w:rPr>
        <w:t xml:space="preserve">, [ </w:t>
      </w:r>
      <w:hyperlink r:id="rId563" w:history="1">
        <w:r>
          <w:rPr>
            <w:rFonts w:ascii="arial" w:eastAsia="arial" w:hAnsi="arial" w:cs="arial"/>
            <w:i/>
            <w:color w:val="0077CC"/>
            <w:sz w:val="20"/>
            <w:u w:val="single"/>
            <w:shd w:val="clear" w:color="auto" w:fill="FFFFFF"/>
            <w:lang w:val="en-US" w:eastAsia="en-US" w:bidi="ar-SA"/>
          </w:rPr>
          <w:t>[1928] S.C.R. 125</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[117] The immunity, of course, does not exist to protect wrongdoers, but it will sometimes do so. For the immunity to be effective, witnesses must be protected from all law suits, not only unmeritorious ones. This protection of witnesses from the risk of suit is seen as more important than righting a wrong in a particular case. Moreover, to achieve its objective, the immunity must be clear: People must know in advance whether they are protected or not: Darker v. Chief Constable of West Midlands Police and Brown, para 12.4(4)(e). The immunity, therefore, is a blunt instrument, barring all claims in the interests of the broader administration of justice.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[155] . . . The application of the immunity, however, does not depend entirely on whether the person actually testifies. The immunity also extends to statements made by a potential witness to persons engaged professionally in assembling the evidence for pending or contemplated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Finally, Ms. Suntjens notes that social workers do not owe a duty of care to parents in child protection matters. Their duties are owed to the children. To the extent that the plaintiff's claim rests on an allegation that social workers owed him a duty of care, it has no reasonable prospect of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Court of Appeal considered this issue in </w:t>
      </w:r>
      <w:r>
        <w:rPr>
          <w:rFonts w:ascii="arial" w:eastAsia="arial" w:hAnsi="arial" w:cs="arial"/>
          <w:i/>
          <w:color w:val="000000"/>
          <w:sz w:val="20"/>
          <w:lang w:val="en-US" w:eastAsia="en-US" w:bidi="ar-SA"/>
        </w:rPr>
        <w:t>Quinn v. British Columbia</w:t>
      </w:r>
      <w:r>
        <w:rPr>
          <w:rFonts w:ascii="arial" w:eastAsia="arial" w:hAnsi="arial" w:cs="arial"/>
          <w:color w:val="000000"/>
          <w:sz w:val="20"/>
          <w:lang w:val="en-US" w:eastAsia="en-US" w:bidi="ar-SA"/>
        </w:rPr>
        <w:t xml:space="preserve">, </w:t>
      </w:r>
      <w:hyperlink r:id="rId564" w:history="1">
        <w:r>
          <w:rPr>
            <w:rFonts w:ascii="arial" w:eastAsia="arial" w:hAnsi="arial" w:cs="arial"/>
            <w:i/>
            <w:color w:val="0077CC"/>
            <w:sz w:val="20"/>
            <w:u w:val="single"/>
            <w:shd w:val="clear" w:color="auto" w:fill="FFFFFF"/>
            <w:lang w:val="en-US" w:eastAsia="en-US" w:bidi="ar-SA"/>
          </w:rPr>
          <w:t>2018 BCCA 320</w:t>
        </w:r>
      </w:hyperlink>
      <w:r>
        <w:rPr>
          <w:rFonts w:ascii="arial" w:eastAsia="arial" w:hAnsi="arial" w:cs="arial"/>
          <w:color w:val="000000"/>
          <w:sz w:val="20"/>
          <w:lang w:val="en-US" w:eastAsia="en-US" w:bidi="ar-SA"/>
        </w:rPr>
        <w:t xml:space="preserve">. The Province appealed the refusal to strike a claim under Rule 9-5(1)(a) as disclosing no reasonable cause of action in circumstances where children were removed from their parents by the Director. The parents claimed damages for,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the actions of the Director in substantiating a decision to remove children from their care. D. Smith J.A. for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[64] I agree with the Province that these types of allegations have no reasonable prospect of success in light of the reasoning in </w:t>
      </w:r>
      <w:r>
        <w:rPr>
          <w:rFonts w:ascii="arial" w:eastAsia="arial" w:hAnsi="arial" w:cs="arial"/>
          <w:i/>
          <w:color w:val="000000"/>
          <w:sz w:val="20"/>
          <w:lang w:val="en-US" w:eastAsia="en-US" w:bidi="ar-SA"/>
        </w:rPr>
        <w:t>Syl Apps Secure Treatment Centre v. B.D.</w:t>
      </w:r>
      <w:r>
        <w:rPr>
          <w:rFonts w:ascii="arial" w:eastAsia="arial" w:hAnsi="arial" w:cs="arial"/>
          <w:color w:val="000000"/>
          <w:sz w:val="20"/>
          <w:lang w:val="en-US" w:eastAsia="en-US" w:bidi="ar-SA"/>
        </w:rPr>
        <w:t xml:space="preserve">, </w:t>
      </w:r>
      <w:hyperlink r:id="rId552" w:history="1">
        <w:r>
          <w:rPr>
            <w:rFonts w:ascii="arial" w:eastAsia="arial" w:hAnsi="arial" w:cs="arial"/>
            <w:i/>
            <w:color w:val="0077CC"/>
            <w:sz w:val="20"/>
            <w:u w:val="single"/>
            <w:shd w:val="clear" w:color="auto" w:fill="FFFFFF"/>
            <w:lang w:val="en-US" w:eastAsia="en-US" w:bidi="ar-SA"/>
          </w:rPr>
          <w:t>2007 SCC 38</w:t>
        </w:r>
      </w:hyperlink>
      <w:r>
        <w:rPr>
          <w:rFonts w:ascii="arial" w:eastAsia="arial" w:hAnsi="arial" w:cs="arial"/>
          <w:color w:val="000000"/>
          <w:sz w:val="20"/>
          <w:lang w:val="en-US" w:eastAsia="en-US" w:bidi="ar-SA"/>
        </w:rPr>
        <w:t>. In that decision, Abella J., writing for the Court, rejected the imposition of a private law duty of care on the Centre (operated by the Ontario Ministry of Community and Social Services) and one of its social workers in light of an allegation by the parents that the Centre and the social worker had been negligent in treating the child, which caused the child not to be returned to them. Justice Abella reasoned that a "compelling policy reason for refusing to find proximity" between the parents and the Centre was the overriding statutory focus on the best interests of the child: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[41] The deciding factor for me, as in </w:t>
      </w:r>
      <w:r>
        <w:rPr>
          <w:rFonts w:ascii="arial" w:eastAsia="arial" w:hAnsi="arial" w:cs="arial"/>
          <w:i/>
          <w:color w:val="000000"/>
          <w:sz w:val="20"/>
          <w:lang w:val="en-US" w:eastAsia="en-US" w:bidi="ar-SA"/>
        </w:rPr>
        <w:t>Cooper and Edwards</w:t>
      </w:r>
      <w:r>
        <w:rPr>
          <w:rFonts w:ascii="arial" w:eastAsia="arial" w:hAnsi="arial" w:cs="arial"/>
          <w:color w:val="000000"/>
          <w:sz w:val="20"/>
          <w:lang w:val="en-US" w:eastAsia="en-US" w:bidi="ar-SA"/>
        </w:rPr>
        <w:t>, is the potential for conflicting duties: imposing a duty of care on the relationship between the family of a child in care and that child's court-ordered service providers creates a genuine potential for "serious and significant" conflict with the service providers' transcendent statutory duty to promote the best interests, protection and well-being of the children in their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[65] This reasoning, in my view, is equally compelling in the case at bar. The Respondents' allegations, which in substance amount to the tort claim of negligent investigation, have no reasonable prospect of success. There is insufficient proximity between the Respondent parents and the Director to ground a duty of care for that tort in light of the Director's "transcendent statutory duty" to promote the best interests of children under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Position of the RCMP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Mr. Ward, counsel for the RCMP, maintains that, read most generously, the NOCC may engage the torts of negligent investigation, wrongful detention and possibly misfeasance in public office. He submits that R.J.R. is not within the class of persons to whom the police owe a duty of care that could give to a relationship of proximity necessary to base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suit. R.J.R.'s NOCC does not advance a claim in law, would serve no useful purpose and the pleadings are so confusing that it is difficult to understand what R.J.R. seeks. Compendiously, Mr. Ward submits that the NOCC runs afoul of all aspects of Rule 9-5(1), as discussed by Voith J. in </w:t>
      </w:r>
      <w:r>
        <w:rPr>
          <w:rFonts w:ascii="arial" w:eastAsia="arial" w:hAnsi="arial" w:cs="arial"/>
          <w:i/>
          <w:color w:val="000000"/>
          <w:sz w:val="20"/>
          <w:lang w:val="en-US" w:eastAsia="en-US" w:bidi="ar-SA"/>
        </w:rPr>
        <w:t>Sahyoun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Mr. Ward relies on </w:t>
      </w:r>
      <w:r>
        <w:rPr>
          <w:rFonts w:ascii="arial" w:eastAsia="arial" w:hAnsi="arial" w:cs="arial"/>
          <w:i/>
          <w:color w:val="000000"/>
          <w:sz w:val="20"/>
          <w:lang w:val="en-US" w:eastAsia="en-US" w:bidi="ar-SA"/>
        </w:rPr>
        <w:t>Callan v. Cooke</w:t>
      </w:r>
      <w:r>
        <w:rPr>
          <w:rFonts w:ascii="arial" w:eastAsia="arial" w:hAnsi="arial" w:cs="arial"/>
          <w:color w:val="000000"/>
          <w:sz w:val="20"/>
          <w:lang w:val="en-US" w:eastAsia="en-US" w:bidi="ar-SA"/>
        </w:rPr>
        <w:t xml:space="preserve">, </w:t>
      </w:r>
      <w:hyperlink r:id="rId565" w:history="1">
        <w:r>
          <w:rPr>
            <w:rFonts w:ascii="arial" w:eastAsia="arial" w:hAnsi="arial" w:cs="arial"/>
            <w:i/>
            <w:color w:val="0077CC"/>
            <w:sz w:val="20"/>
            <w:u w:val="single"/>
            <w:shd w:val="clear" w:color="auto" w:fill="FFFFFF"/>
            <w:lang w:val="en-US" w:eastAsia="en-US" w:bidi="ar-SA"/>
          </w:rPr>
          <w:t>2012 BCSC 1589</w:t>
        </w:r>
      </w:hyperlink>
      <w:r>
        <w:rPr>
          <w:rFonts w:ascii="arial" w:eastAsia="arial" w:hAnsi="arial" w:cs="arial"/>
          <w:color w:val="000000"/>
          <w:sz w:val="20"/>
          <w:lang w:val="en-US" w:eastAsia="en-US" w:bidi="ar-SA"/>
        </w:rPr>
        <w:t xml:space="preserve">, where Arnold-Bailey J. carefully analyzed the limited circumstances in which police owe a private law duty to individuals (at paras. 44-68). She reviewed the decisions in </w:t>
      </w:r>
      <w:r>
        <w:rPr>
          <w:rFonts w:ascii="arial" w:eastAsia="arial" w:hAnsi="arial" w:cs="arial"/>
          <w:i/>
          <w:color w:val="000000"/>
          <w:sz w:val="20"/>
          <w:lang w:val="en-US" w:eastAsia="en-US" w:bidi="ar-SA"/>
        </w:rPr>
        <w:t>Hill v. Hamilton-Wentworth Regional Police</w:t>
      </w:r>
      <w:r>
        <w:rPr>
          <w:rFonts w:ascii="arial" w:eastAsia="arial" w:hAnsi="arial" w:cs="arial"/>
          <w:color w:val="000000"/>
          <w:sz w:val="20"/>
          <w:lang w:val="en-US" w:eastAsia="en-US" w:bidi="ar-SA"/>
        </w:rPr>
        <w:t xml:space="preserve">, </w:t>
      </w:r>
      <w:hyperlink r:id="rId209" w:history="1">
        <w:r>
          <w:rPr>
            <w:rFonts w:ascii="arial" w:eastAsia="arial" w:hAnsi="arial" w:cs="arial"/>
            <w:i/>
            <w:color w:val="0077CC"/>
            <w:sz w:val="20"/>
            <w:u w:val="single"/>
            <w:shd w:val="clear" w:color="auto" w:fill="FFFFFF"/>
            <w:lang w:val="en-US" w:eastAsia="en-US" w:bidi="ar-SA"/>
          </w:rPr>
          <w:t>2007 SCC 41</w:t>
        </w:r>
      </w:hyperlink>
      <w:r>
        <w:rPr>
          <w:rFonts w:ascii="arial" w:eastAsia="arial" w:hAnsi="arial" w:cs="arial"/>
          <w:color w:val="000000"/>
          <w:sz w:val="20"/>
          <w:lang w:val="en-US" w:eastAsia="en-US" w:bidi="ar-SA"/>
        </w:rPr>
        <w:t xml:space="preserve">, wherein McLachlin CJC, for the majority, recognized the tort of negligent investigation exists in Canada for suspects being investigated, and </w:t>
      </w:r>
      <w:r>
        <w:rPr>
          <w:rFonts w:ascii="arial" w:eastAsia="arial" w:hAnsi="arial" w:cs="arial"/>
          <w:i/>
          <w:color w:val="000000"/>
          <w:sz w:val="20"/>
          <w:lang w:val="en-US" w:eastAsia="en-US" w:bidi="ar-SA"/>
        </w:rPr>
        <w:t>Doe v. Metropolitan Toronto (Municipality) Commissioners of Police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72 D.L.R. (4th) 580</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Jane Doe</w:t>
      </w:r>
      <w:r>
        <w:rPr>
          <w:rFonts w:ascii="arial" w:eastAsia="arial" w:hAnsi="arial" w:cs="arial"/>
          <w:color w:val="000000"/>
          <w:sz w:val="20"/>
          <w:lang w:val="en-US" w:eastAsia="en-US" w:bidi="ar-SA"/>
        </w:rPr>
        <w:t>], where the Ontario Court of Appeal found that the police owed a private law duty to warn victims about a serial rapist. Arnold-Bailey J. concluded that police do not generally owe a private duty of care to victims or potential victims with regard to their investigations.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Mr. Ward points out that in this case R.J.R. was not himself a victim of crime as it was his children who were allegedly kidnapped by their mother. R.J.R. does not plead a duty of care, nor can one arise in law where the plaintiff is neither a suspect nor a member of a very specific group as in </w:t>
      </w:r>
      <w:r>
        <w:rPr>
          <w:rFonts w:ascii="arial" w:eastAsia="arial" w:hAnsi="arial" w:cs="arial"/>
          <w:i/>
          <w:color w:val="000000"/>
          <w:sz w:val="20"/>
          <w:lang w:val="en-US" w:eastAsia="en-US" w:bidi="ar-SA"/>
        </w:rPr>
        <w:t>Jane Doe</w:t>
      </w:r>
      <w:r>
        <w:rPr>
          <w:rFonts w:ascii="arial" w:eastAsia="arial" w:hAnsi="arial" w:cs="arial"/>
          <w:color w:val="000000"/>
          <w:sz w:val="20"/>
          <w:lang w:val="en-US" w:eastAsia="en-US" w:bidi="ar-SA"/>
        </w:rPr>
        <w:t>. R.J.R.'s claims against the police for their alleged failures to investigate the removal of his children from his care are therefore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R.J.R. also alleges the RCMP fell short in its investigations of the sexual abuse allegations made against him between January and April 2012. Mr. Ward maintains there are no facts pleaded from which a breach of the standard of care arguably owed to a suspect might arise and in any event, R.J.R. was never charged criminally and in his pleadings he says he was "cleared" by police in April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R.J.R. does not state in his NOCC who conducted the investigation or why it was negligent. There is a vague allegation of interference by the Squamish RCMP with files and a complaint about lack of due process, but no connection between that and the sexual abuse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Ward maintains that any connection between the alleged legal failings of the RCMP and injury or other compensable harm to R.J.R. is unclear. R.J.R. pleads parental alienation, emotional distress and PTSD but does not clearly attribute those injuries to particular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As for R.J.R.'s claim for wrongful detention by the RCMP, Mr. Ward notes that R.J.R. alleges he was emotionally detained by the RCMP because they told him he could not leave Squamish to go to the Island to look for his children. R.J.R.'s claims lacks an allegation of a total deprivation of liberty which, according to A.M. Linden, </w:t>
      </w:r>
      <w:r>
        <w:rPr>
          <w:rFonts w:ascii="arial" w:eastAsia="arial" w:hAnsi="arial" w:cs="arial"/>
          <w:i/>
          <w:color w:val="000000"/>
          <w:sz w:val="20"/>
          <w:lang w:val="en-US" w:eastAsia="en-US" w:bidi="ar-SA"/>
        </w:rPr>
        <w:t>Canadian Tort Law</w:t>
      </w:r>
      <w:r>
        <w:rPr>
          <w:rFonts w:ascii="arial" w:eastAsia="arial" w:hAnsi="arial" w:cs="arial"/>
          <w:color w:val="000000"/>
          <w:sz w:val="20"/>
          <w:lang w:val="en-US" w:eastAsia="en-US" w:bidi="ar-SA"/>
        </w:rPr>
        <w:t>, 5th ed. (Toronto:Butterworths, 1993), is required to make out the tort of false imprisonment. At its highest, R.J.R.'s claim relates to a conditional detention: he felt wrongfully detained because he could not leave Squamish to look for his children, leaving it open to him to leave Squamish for other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Finally, while R.J.R. has not explicitly pleaded misfeasance in public office, Mr. Ward notes that some of the language he uses in his pleadings is suggestive of this tort. R.J.R. alleges that unidentified members of the Squamish RCMP "interfered" with "files and details" regarding "complaints of lack of due process" and that some of the individuals did not intend to follow law and procedure or "act in any way as to what should have been filed by the RCMP". Mr. Ward maintains these are bald allegations of wrongdoing with no context or identifiable factors and as such disclose no cause of action and should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R.J.R.'s NOCC is difficult to understand. It largely fails to match up material facts to the cause of action pleaded against the different entities, and is generally confusing. It fails to identify individuals by name, with the exception of one police officer and one social worker.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It is difficult to divine precisely what R.J.R. intended to plead, but I accept that read generously it may be described as an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MCFD and the RCMP, with overtones of offences contrary to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and unspecified violations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In my view, it is plain and obvious that R.J.R.'s claims against the RCMP and MCFD are without merit and must be struck out as disclosing no reasonable claim. R.J.R. has no legal basis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MCFD, as he was not owed a duty of care by social workers on the basis of </w:t>
      </w:r>
      <w:r>
        <w:rPr>
          <w:rFonts w:ascii="arial" w:eastAsia="arial" w:hAnsi="arial" w:cs="arial"/>
          <w:i/>
          <w:color w:val="000000"/>
          <w:sz w:val="20"/>
          <w:lang w:val="en-US" w:eastAsia="en-US" w:bidi="ar-SA"/>
        </w:rPr>
        <w:t>Syl Apps Secure Treatment Centre v. B.D.</w:t>
      </w:r>
      <w:r>
        <w:rPr>
          <w:rFonts w:ascii="arial" w:eastAsia="arial" w:hAnsi="arial" w:cs="arial"/>
          <w:color w:val="000000"/>
          <w:sz w:val="20"/>
          <w:lang w:val="en-US" w:eastAsia="en-US" w:bidi="ar-SA"/>
        </w:rPr>
        <w:t xml:space="preserve">, </w:t>
      </w:r>
      <w:hyperlink r:id="rId552" w:history="1">
        <w:r>
          <w:rPr>
            <w:rFonts w:ascii="arial" w:eastAsia="arial" w:hAnsi="arial" w:cs="arial"/>
            <w:i/>
            <w:color w:val="0077CC"/>
            <w:sz w:val="20"/>
            <w:u w:val="single"/>
            <w:shd w:val="clear" w:color="auto" w:fill="FFFFFF"/>
            <w:lang w:val="en-US" w:eastAsia="en-US" w:bidi="ar-SA"/>
          </w:rPr>
          <w:t>2007 SCC 38</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Quinn v. British Columbia</w:t>
      </w:r>
      <w:r>
        <w:rPr>
          <w:rFonts w:ascii="arial" w:eastAsia="arial" w:hAnsi="arial" w:cs="arial"/>
          <w:color w:val="000000"/>
          <w:sz w:val="20"/>
          <w:lang w:val="en-US" w:eastAsia="en-US" w:bidi="ar-SA"/>
        </w:rPr>
        <w:t>, cited earlier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Nor was R.J.R. owed a duty of care by the RCMP in the particular circumstances of this case. He expresses dissatisfaction in his pleadings about the RCMP's lack of diligence in following up on his kidnapping complaint, but those facts do not create a duty of care. Similarly, the RCMP did not recommend charges against R.J.R. for sexual offences and effectively cleared him through the administration of a polygraph. While he might have been a suspect, he was never charged.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R.J.R. is not in a category of persons to whom the police owe (or may owe) a duty of care, nor is the claim he advances a novel one that should be permitted to proceed under the modern approach to such claims: </w:t>
      </w:r>
      <w:r>
        <w:rPr>
          <w:rFonts w:ascii="arial" w:eastAsia="arial" w:hAnsi="arial" w:cs="arial"/>
          <w:i/>
          <w:color w:val="000000"/>
          <w:sz w:val="20"/>
          <w:lang w:val="en-US" w:eastAsia="en-US" w:bidi="ar-SA"/>
        </w:rPr>
        <w:t>Mohl v. The University of British Columbia</w:t>
      </w:r>
      <w:r>
        <w:rPr>
          <w:rFonts w:ascii="arial" w:eastAsia="arial" w:hAnsi="arial" w:cs="arial"/>
          <w:color w:val="000000"/>
          <w:sz w:val="20"/>
          <w:lang w:val="en-US" w:eastAsia="en-US" w:bidi="ar-SA"/>
        </w:rPr>
        <w:t xml:space="preserve">, </w:t>
      </w:r>
      <w:hyperlink r:id="rId566" w:history="1">
        <w:r>
          <w:rPr>
            <w:rFonts w:ascii="arial" w:eastAsia="arial" w:hAnsi="arial" w:cs="arial"/>
            <w:i/>
            <w:color w:val="0077CC"/>
            <w:sz w:val="20"/>
            <w:u w:val="single"/>
            <w:shd w:val="clear" w:color="auto" w:fill="FFFFFF"/>
            <w:lang w:val="en-US" w:eastAsia="en-US" w:bidi="ar-SA"/>
          </w:rPr>
          <w:t>2006 BCCA 70</w:t>
        </w:r>
      </w:hyperlink>
      <w:r>
        <w:rPr>
          <w:rFonts w:ascii="arial" w:eastAsia="arial" w:hAnsi="arial" w:cs="arial"/>
          <w:color w:val="000000"/>
          <w:sz w:val="20"/>
          <w:lang w:val="en-US" w:eastAsia="en-US" w:bidi="ar-SA"/>
        </w:rPr>
        <w:t xml:space="preserve"> at para. 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As to R.J.R.'s claims under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the pleadings are non-specific as to which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section he is relying on and what material facts he relies on and disclose no actual cause of action. The sections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set out in the pleadings do not give rise to a civil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summary, R.J.R.'s claims against MCFD and the RCMP disclose no reasonable cause(s) of action and will be struck out in their entirety, primarily under Rule 9-5(1)(a) but also under (b) through (d). The facts pleaded cannot be amended to resuscitate a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This leaves the NOCC as against R.J.R.'s former spouse.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While R.J.R.'s former spouse was not properly served with the NOCC and did not appear on this application, I am of the view that the claims against her should also be struck out under Rule 9-5(1)(a) and (d).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R.J.R. alleges that P.M.R. was motivated to kidnap the children to obtain full custody of them for immigration purposes. He alleges she had her boyfriend file a false accusation of sexual assault with the RCMP, but does not name that individual. He alleges that she continued to abuse the children and could not take proper care of them. R.J.R. seeks that her false accusations against him be withdrawn and his name cleared with an apology in court. He wants their original shared custody agreements to be reinstated. He does not seek financial redress against her as it would "harm the children". He alleges she broke several serious laws but leaves it in the hands of the presiding judge to administer "what is best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R.J.R.'s pleadings against his former spouse allege that she did certain things, but they are not related to civil causes of action. R.J.R. could attempt to obtain a remedy for some of what he seeks against his former spouse - such as shared custody - through an application to vary the consent order entered into before Josephson J. in 2016. His effort to do so under the rubric of his NOCC is an abuse of process, in that it is an indirect effort to attack an order of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balance of R.J.R.'s pleadings relate to allegations of kidnapping and lying and seek vague remedies for the alleged wrongdoing. It is plain and obvious that the pleadings disclose no reasonable claim and the NOCC as against P.M.R. must also be struck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NOCC is struck out in its entirety, without leave to amend. The RCMP and MCFD are entitled to their costs of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J.M.I. DUNCAN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4" style="position:absolute;z-index:2517872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67"/>
          <w:headerReference w:type="default" r:id="rId568"/>
          <w:footerReference w:type="even" r:id="rId569"/>
          <w:footerReference w:type="default" r:id="rId570"/>
          <w:headerReference w:type="first" r:id="rId571"/>
          <w:footerReference w:type="first" r:id="rId57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73" w:history="1">
        <w:r>
          <w:rPr>
            <w:rFonts w:ascii="arial" w:eastAsia="arial" w:hAnsi="arial" w:cs="arial"/>
            <w:b/>
            <w:bCs/>
            <w:i/>
            <w:color w:val="0077CC"/>
            <w:kern w:val="32"/>
            <w:sz w:val="28"/>
            <w:szCs w:val="32"/>
            <w:u w:val="single"/>
            <w:shd w:val="clear" w:color="auto" w:fill="FFFFFF"/>
            <w:lang w:val="en-US" w:eastAsia="en-US" w:bidi="ar-SA"/>
          </w:rPr>
          <w:t>Rockall v. Alberni Construction Ltd., [2013] B.C.J. No. 3075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P.D. Leask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15-18,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October 29,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M123960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3075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2568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Dominic Rockall, Plaintiff, and Alberni Construction Ltd. and Robert Wallace Stephens,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(50 paras.)</w:t>
      </w:r>
    </w:p>
    <w:p>
      <w:pPr>
        <w:jc w:val="both"/>
        <w:rPr>
          <w:rFonts w:ascii="arial" w:eastAsia="arial" w:hAnsi="arial" w:cs="arial"/>
          <w:sz w:val="20"/>
          <w:lang w:val="en-US" w:eastAsia="en-US" w:bidi="ar-SA"/>
        </w:rPr>
      </w:pPr>
      <w:bookmarkStart w:id="90" w:name="Counsel_26"/>
      <w:bookmarkEnd w:id="9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5" style="position:absolute;z-index:2516869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 Kazimirski, P. Gardikiotis.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G. Christofferson.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91" w:name="Judgment_26"/>
      <w:bookmarkEnd w:id="91"/>
      <w:r>
        <w:pict>
          <v:line id="_x0000_s1116" style="position:absolute;z-index:25173811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37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92" w:name="P.D. LEASK J. (orally)"/>
            <w:bookmarkEnd w:id="92"/>
            <w:r>
              <w:rPr>
                <w:rFonts w:ascii="arial" w:eastAsia="arial" w:hAnsi="arial" w:cs="arial"/>
                <w:b/>
                <w:color w:val="000000"/>
                <w:sz w:val="30"/>
                <w:lang w:val="en-US" w:eastAsia="en-US" w:bidi="ar-SA"/>
              </w:rPr>
              <w:t>P.D. LEASK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Mr. Rockall was riding his bicycle westbound on Highway 4 west of Port Alberni at approximately 6:30 a.m. on September the 16th,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Stephens was driving his work vehicle, a 2001 Ford 250 4X4 pickup truck, owned by his employer, Alberni Construction Ltd., westbound on the same highway at the same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Rockall was injured and this lawsuit is to determine whether Mr. Stephens, as the driver, and Alberni Construction Ltd., as the owner of the vehicle, are liable for Mr. Rockall's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vehicle owner admits that Mr. Stephens was authorized to drive their Ford pickup truck, but does not admit any liability for Mr. Rockall's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this case, the issues of liability and quantum of damages have been severed. The hearing I have conducted dealt solely with the issue of liability for causing Mr. Rockall's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terms of Mr. Rockall's evidence, he testified that at the time of the accident the road surface was dry, the weather clear, and it was still dark. Daylight had not arrived. He was riding his bicycle with front and rear lights.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highway is essentially an east west highway with one lane of travel in each direction. Where the accident occurred there is a slight curve to the right for westbound travel. The asphalt road surface has a gravel shoulder that borders the outside of the westbound lane and adjacent to that gravel shoulder is an embankment that extends down to a nearby 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Rockall testified that he is an experienced cyclist, rides his bike two or three times per week for fitness. He is familiar with the location where the accident occurred; he testified this was his favourite riding spot if he had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the day in question he was riding near the far right edge of the westbound traffic lane and he testified that he was travelling approximately 10 to 15 kilometres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At a point in his journey the front wheel of his bike went onto the gravel shoulder. When he tried to correct the path of the bicycle he encountered a ridge caused by the tarmac road surface. At the point where he was trying to get back onto the road the ridge was two to three inches in height and in some fashion the front wheel of the bicycle essentially got hung up on that 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Rockall felt that the bike was sliding out from under him and he engaged in what I think we could call a controlled fall to his left onto the roadway. He was intruding on the westbound lane approximately the height of a tall man, six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Rockall testified that he landed on his left-hand side and did not experience any immediate pain or perceive that he had suffered immediate injury. He stood up, picked up his bicycle, moved off the road onto the gravel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At some point before the trial he had estimated that that event took five to ten seconds. At some point nearer to the trial he had attempted to do a reconstruction of it and timed himself at seven seconds.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When he got off the road he was standing on the gravel shoulder holding onto his bike, which was just on the edge of the tarmac. He heard the sound of a vehicle driving on the gravel and felt himself being struck on his left hip buttock area. He pretty much fell where he was standing and his evidence was that he felt pain almost immediately and felt that he was unable to get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Stephens' evidence is, firstly, he agreed with Mr. Rockall's evidence about the road conditions. I do not think there is any dispute about that. After he drove across the orange bridge, which is a landmark on the highway west of Port Alberni on Highway 4, he noticed a cyclist riding westbound ahead of him on the highway. He soon caught up with him but was unable to pass safely because of oncoming eastbound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He testified that for a certain distance he was following the cyclist, travelling at approximately the same speed as the cyclist, that is to say, 10 or 15 kilometres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He then observed the cyclist turn towards the centre of the road and fall off his bicycle over the handlebars and onto his left side. He saw the cyclist get up and take his bicycle towards the side of the road. At this moment he was unable to pass the cyclist on the left because of two oncoming motor vehicles in the eastbound lane. He believed that he did not have sufficient separation from the cyclist to stop his vehicle without hitting him. He, therefore, steered to the right onto the gravel shoulder. He also testified that while executing this manoeuvre he was concerned about the riverbank further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He did not see any contact between his vehicle and the cyclist and after passing the spot where the cyclist had been standing he thought he had a near miss. His first thought was simply to drive on. When he looked back he saw the cyclist lying down beside the road at the place he had last seen him standing. He stopped his vehicle and went back to speak to Mr. Rockall. He then called the police and an ambulance, who took approximately 15 minutes to arrive at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When interviewed by the police at the scene, he said a couple of things. First, in response to the question: "Can you explain to me what happened here?" his answer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was coming back from town. I had just got fuel for my work truck and I seen a bicycle there in the middle of the road and he fell down. And I tried to go around him and he jumped up and jumped towards the side of the road which I was trying to go around him and I believe we made contact. I'm not a hundred per cent sure, but I believe we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And, then, towards the end of his discussion with the officer he is asked this question: "And you say you can't see if he hit your truck?" And his answer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I -- there's no -- no damage. There's -- and I believe -- I'm not sure how hard he hit it. It -- if he bounced off it or if he was hit by it, but I didn't see contact.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At trial, Mr. Stephens' evidence was that he did not see his truck make contact with Mr. Rockall but he could not say that it did not happen.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Now, in addition to those two parties testifying we had three experts give evidence. I am going to deal first with the expert from Baker Engineering who was called by counsel for the defendants. His name was Mr. Harper. He is an accident reconstruction expert. He visited the scene of the accident and prepared a site diagram which was presented to the court independently and used by one of the other experts in forming his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Harper's conclusions were: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Our analysis of this incident is based on a review of documentation provided, an examination of the bicycle ridden by Mr. Rockall, and an examination of the accident site four weeks after the incident. We conclude the following:</w:t>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 found no evidence on the bicycle or at the accident site which would allow us to conclude whether or not the bicycle or bicyclist was contacted by the truck.</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are irregularities at the road edge in the area of the described incident which could cause considerable control problems were a rider to encounter these irregularities.</w:t>
      </w:r>
    </w:p>
    <w:p>
      <w:pPr>
        <w:numPr>
          <w:numId w:val="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Tire track evidence at the scene is consistent with Mr. Stephens having performed an avoidance manoeuvre onto the shoulder.</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location of some of the road edge irregularities is consistent with an area Mr. Stephens may have been trying to avoid in his steering manoeuvres.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might say that in cross-examination Mr. Harper agreed with a statement that I think is in Dr. Toor's report. One of Dr. Toor's conclusions, which I will get to in a moment, was: "The findings in the Baker report do not preclude that contact occurred between the Stephens' vehicle and Mr. Rockall." And the author of that Baker report, Mr. Harper, agreed with that statement. Indeed, I got the impression he thought that it was obvious. But, in any event, he agreed with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Now, another of the experts called in this case by counsel for the plaintiff was Dr. Viskontas, who is an orthopaedic trauma surgeon. His report contained as its opinion both a diagnosis and an opinion about causation. His diagnosis of the injuries were:</w:t>
      </w:r>
      <w:r>
        <w:rPr>
          <w:rFonts w:ascii="arial" w:eastAsia="arial" w:hAnsi="arial" w:cs="arial"/>
          <w:sz w:val="20"/>
          <w:lang w:val="en-US" w:eastAsia="en-US" w:bidi="ar-SA"/>
        </w:rPr>
        <w:cr/>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Open book pelvic fracture consisting of symphyseal widening and left sacroiliac fracture requiring an open reduction and internal fixation.</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Penile numbness.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Left posterolateral hip and pelvic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Then also as part of his opinion and headache causation: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Rockall's pelvic fracture is most likely due to him being hit by the vehicle rather than him falling off his bicycle. The reasoning for this is as follows:</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open book pelvic fracture such as that suffered by Mr. Rockall is typically due to a high energy mechanism, especially in a young, healthy patient with good soft tissue and bone quality. Mr. Rockall has a widening of the symphysis pubis by 3.5 centimetres, as stated in the CT pelvis scan report. He was wearing a pelvic binder (a circumferential device applied to the pelvis for open book injuries to close down the volume of the pelvis) at the time of the CT scan, so likely the widening at the time of injury was greater than that. As well, he has a comminuted sacral fracture. This injury pattern is typically seen in falls from large heights, motorcycle and motor vehicle collisions, and impacts and injuries with a significant amount of force. This injury is not seen in people falling off of a bicycle riding at approximately 10 kilometres per hour.</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Mr. Rockall clearly recalls not having pelvic or left hip pain after falling off of his bicycle. As well, he was able to stand up after his fall and attempted to move off the road onto the gravel shoulder. A person who had an open book pelvic fracture such as the one Mr. Rockall had would not be able to stand back up and try to move off the road. Mr. Rockall clearly recalls having left pelvic and hip pain and not being able to stand up after being hit by the truck.</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are different patterns of pelvic injuries. An open book type pelvic fracture is one pattern that is typically seen in people that have either been hit in the back of the pelvis or in the front. The vector of force is generally from either an anterior to posterior direction or acts as a fulcrum posteriorly, externally rotating one or both of the hemi pelvises. Mr. Rockall's open book pelvic fracture is more likely due to the fact that he was hit on the back of his pelvis by the pickup truck rather than him falling off his bicycle onto his left side. If he had fallen onto the left side of his pelvis with enough force this may have led to a lateral compression type pattern of pelvic fracture. This pattern is due to one-half of the pelvis rotating internally as the load comes from the side of the pelvis. This mechanism does not lead to a widening of the synthesis pubis of the pelvis as seen in open book fractures. Therefore, the open book pattern of injury seen in Mr. Rockall's case is more consistent with a large force hitting the posterior aspect of his pelvis by a pickup truck rather than him landing on his left side when he fell off of his bicycle.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Now, Dr. Viskontas was cross-examined by counsel for the defendants, Mr. Christofferson, and some of that cross-examination is significant. The first point made by the cross-examiner dealt with speed. The question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And you have informed the court that the injuries are more consistent with a high velocity impact than -- than this cycling incident,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 yes. That would be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And the follow-up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type of speed change is normally associated with these type of high impact injuries?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they're generally higher speeds such as 40, 50 kilometres an hour or higher.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Then, as to the possibility of simply falling off the bicycle the question was asked: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Are they -- are they -- is there a potential that a cyclist could suffer this type of injury?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Depending on the trajectory of force,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Then counsel attempted to get the expert to describe what angle would be a fore and aft blow and what angle would be a side blow. And there was a couple of questions and answers related to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If I -- so it's -- it's quite a narrow range then that would be strictly described as side impact then?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And the answer began with these words: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I don't know the exact angle. I just know that if somebody falls onto their sides they typically have a lateral compression injury, whereas their hip from the front or their back, then they would have an anterior or posterior or an open book type of injury.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But the expert continued: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know what angle, you know, the force would change from a lateral compression to an open book type injury. I guess that would have to be looked at more specifically.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And following that he was questioned in this way: "But we're -- we're not able to ascertain a range off of 90 degrees and 270 degrees where it would be consistent ... ." The expert did not even let him finish the question. The answer was: "I do not know of a specific number."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And an important point dealing with the question of whether a person could sustain this injury and then be able to move, the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if a healthy gentleman had fallen in the middle of the road and suffered a fracture of the open book type would it be possible with adrenalin and fear to, at least, partially get up and fall off in a direction?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I would think so.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And there was then some redirect and re-cross and Mr. Christofferson followed up with sort of a combination of counsel and the court. Counsel begins: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if a person had a support like a bicycle would he be able to use sort of the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And the court intervenes: "The bicycle like a crutch."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counsel takes that suggestion: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Bicycle as a crutch and the one leg that had some mobility to effectively travel?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suppose if he could hop on his right leg then he may be able to use the bicycle as a crutch.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And the last expert -- well, not last in time, but last that I am dealing with -- was Dr. Toor, who was an expert in accident reconstruction. He did two reports, one on July the 18th, 2013 and then a rebuttal report on August the 6th, 2013. His conclusions in his first report were as follows:</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Stephens' vehicle would have travelled a distance of 4.2 metres during the perception response time with the assumed speed of 10 kilometres per hour.</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vehicle brakes were fully applied corresponding to a deceleration rate of about 0.55 to 0.7 g the Stephens' vehicle could have been brought to a stop from a speed of 10 kilometres per hour at a distance of .6 to .7 of a metre.</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the assumption that the Stephens' vehicle was 15.2 metres, 50 feet, from the cyclist when the cyclist was observed to have capsized:</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Stephens' vehicle could have decelerated at a rate of about 0.04 g's and stopped from an initial speed of 10 kilometres per hour; and</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Stephens' vehicle operator could have implemented the perception response process and decelerated at about 0.55 to 0.7 g from an initial speed of about 25 to 7 kilometres per hour or less.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the assumptions that the Stephens' vehicle was travelling 10 kilometres per hour and was 5 seconds from the Rockall bicycle when the Rockall bicycle was observed to have capsized:</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Stephens' vehicle would have been about 13.9 metres, which is 45.6 feet, from the Rockall bicycle; and</w:t>
      </w:r>
    </w:p>
    <w:p>
      <w:pPr>
        <w:numPr>
          <w:numId w:val="1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Stephens' vehicle could have stopped with a deceleration rate of 0.04 g.</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the assumed speed of 10 kilometres per hour for the Stephens' vehicle that was calculated, the Stephens' vehicle would have been able to stop with deceleration rate experience due to engine braking for both provided scenarios.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Now, Dr. Toor was then provided with the report from Baker Engineering, including the site diagram which was marked in this proceeding as Exhibit 17. Based on his review of the Baker Engineering report and the site diagram he came to the following conclusions:</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Baker report prepared by G.T.K. Harper, P.Eng. was reviewed. The Baker report could not determine if the Stephens' vehicle did or did not strike the bicycle or Mr. Rockall. However:</w:t>
      </w:r>
    </w:p>
    <w:p>
      <w:pPr>
        <w:numPr>
          <w:numId w:val="2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impact between a vehicle and a pedestrian or cyclist there may not be any visibly obvious damage to either the involved vehicle or the bicycle;</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findings in the Baker report do not preclude that contact occurred between the Stephens' vehicle and Mr. Rockall.</w:t>
      </w:r>
    </w:p>
    <w:p>
      <w:pPr>
        <w:numPr>
          <w:numId w:val="2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Baker report's description of the tire mark in the grass is considered together with the Baker's site diagram reproduced as Figure 1 in this report [and I add again reproduced as Exhibit 17 in the trial] and the Baker assumptions 7 through 9, then additional assessments can be made:</w:t>
      </w:r>
    </w:p>
    <w:p>
      <w:pPr>
        <w:numPr>
          <w:numId w:val="2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Stephens' vehicle would have likely travelled a minimum distance of about 12 to 16 metres from a location near the middle of the westbound lane to the Stephens' vehicle location when it began to cross over to the gravel shoulder.</w:t>
      </w:r>
    </w:p>
    <w:p>
      <w:pPr>
        <w:numPr>
          <w:numId w:val="2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deviation in the intended path of travel of the Stephens' vehicle was in response to a hazard, as indicated in the Baker report, then the deviation would have occurred after the operator of the Stephens' vehicle detected and responded to Mr. Rockall and/or his bicycle as a hazard.</w:t>
      </w:r>
    </w:p>
    <w:p>
      <w:pPr>
        <w:numPr>
          <w:numId w:val="3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vehicle decelerating at an emergency deceleration rate of 0.7 g can stop in a distance of 12 to 16 metres from initial speeds of about 46 to 53 kilometres per hour; and</w:t>
      </w:r>
    </w:p>
    <w:p>
      <w:pPr>
        <w:numPr>
          <w:numId w:val="3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vehicle decelerating at about 0.2 g (a deceleration rate similar to normal braking for a known hazard such as a stop sign) can stop in a distance of 12 to 16 metres from initial speeds of about 25 to 29 kilometres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Counsel for the defendants makes a number of alternate submissions:</w:t>
      </w:r>
      <w:r>
        <w:rPr>
          <w:rFonts w:ascii="arial" w:eastAsia="arial" w:hAnsi="arial" w:cs="arial"/>
          <w:sz w:val="20"/>
          <w:lang w:val="en-US" w:eastAsia="en-US" w:bidi="ar-SA"/>
        </w:rPr>
        <w:cr/>
      </w:r>
    </w:p>
    <w:p>
      <w:pPr>
        <w:numPr>
          <w:numId w:val="3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truck and the cyclist did not collide.</w:t>
      </w:r>
    </w:p>
    <w:p>
      <w:pPr>
        <w:numPr>
          <w:numId w:val="3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legal argument referred to as agony of the collision; and</w:t>
      </w:r>
    </w:p>
    <w:p>
      <w:pPr>
        <w:numPr>
          <w:numId w:val="3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the plaintiff.</w:t>
      </w:r>
    </w:p>
    <w:p>
      <w:pPr>
        <w:numPr>
          <w:numId w:val="3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Dealing first with the no collision submission. This argument depends in part on the fact that neither the cyclist, nor the driver, saw the collision. It also relies in part on counsel's cross-examination of Dr. Viskontas.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There are really two answers to this defence argument. First, there is the testimony of Mr. Rockall. He didn't see the truck hit him. He did, however, hear the noise of its tires on the gravel. He felt an impact when he was hit and knocked to the ground. Then, and only then, he felt the pain associated with his injury. After that he was unable to move.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Second, Dr. Viskontas in describing the open book injury to the pelvis suffered by Mr. Rockall gave his opinion that such injuries are caused by forces acting on the front or back of human victims. Side impact forces cause noticeably different pelvic injuries. Both Mr. Rockall and Mr. Stephens agree that Mr. Rockall fell off his bicycle on his left side. The whole of Dr. Viskontas's report and testimony supports the probability that Mr. Rockall was struck in the front or back with more force than was likely to be experienced by a cyclist falling off his bicycle.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points conceded in cross-examination, in my respectful view, amount to possibilities rather than probabilities. On a balance of probabilities, I am satisfied that Mr. Rockall was struck by Mr. Stephens' truck and that blow caused the injuries he suffered that day.</w:t>
      </w:r>
      <w:r>
        <w:rPr>
          <w:rFonts w:ascii="arial" w:eastAsia="arial" w:hAnsi="arial" w:cs="arial"/>
          <w:sz w:val="20"/>
          <w:lang w:val="en-US" w:eastAsia="en-US" w:bidi="ar-SA"/>
        </w:rPr>
        <w:cr/>
      </w:r>
    </w:p>
    <w:p>
      <w:pPr>
        <w:numPr>
          <w:numId w:val="3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Agony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Counsel's submission on that point is that Mr. Stephens was in the agony of the collision at the crucial moments of the interaction between the parties. The agony of the moment is a long-standing principle originating from admiralty law. A British Columbia case that went to the Supreme Court of Canada, </w:t>
      </w:r>
      <w:r>
        <w:rPr>
          <w:rFonts w:ascii="arial" w:eastAsia="arial" w:hAnsi="arial" w:cs="arial"/>
          <w:i/>
          <w:color w:val="000000"/>
          <w:sz w:val="20"/>
          <w:lang w:val="en-US" w:eastAsia="en-US" w:bidi="ar-SA"/>
        </w:rPr>
        <w:t>Gill v. Canadian Pacific Railway</w:t>
      </w:r>
      <w:r>
        <w:rPr>
          <w:rFonts w:ascii="arial" w:eastAsia="arial" w:hAnsi="arial" w:cs="arial"/>
          <w:color w:val="000000"/>
          <w:sz w:val="20"/>
          <w:lang w:val="en-US" w:eastAsia="en-US" w:bidi="ar-SA"/>
        </w:rPr>
        <w:t xml:space="preserve">, </w:t>
      </w:r>
      <w:hyperlink r:id="rId574" w:history="1">
        <w:r>
          <w:rPr>
            <w:rFonts w:ascii="arial" w:eastAsia="arial" w:hAnsi="arial" w:cs="arial"/>
            <w:i/>
            <w:color w:val="0077CC"/>
            <w:sz w:val="20"/>
            <w:u w:val="single"/>
            <w:shd w:val="clear" w:color="auto" w:fill="FFFFFF"/>
            <w:lang w:val="en-US" w:eastAsia="en-US" w:bidi="ar-SA"/>
          </w:rPr>
          <w:t>[1973] 4 WWR 593</w:t>
        </w:r>
      </w:hyperlink>
      <w:r>
        <w:rPr>
          <w:rFonts w:ascii="arial" w:eastAsia="arial" w:hAnsi="arial" w:cs="arial"/>
          <w:color w:val="000000"/>
          <w:sz w:val="20"/>
          <w:lang w:val="en-US" w:eastAsia="en-US" w:bidi="ar-SA"/>
        </w:rPr>
        <w:t xml:space="preserve"> encapsulates this principle at para. 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trite law that faced with a sudden emergency for the creation of which the driver is not responsible he cannot be held to a standard of conduct which one sitting in the calmness of a courtroom later might determine was the best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problem with the agony of collision argument is the evidence of Dr. Toor. In his rebuttal report of August 6, 2013, relying in part on the defence engineering report, he calculates that Mr. Stephens' vehicle would have travelled 12 to 16 metres from its position travelling westbound on the highway to its probable point of impact with Mr. Rockall. With emergency braking a vehicle can stop in that distance from speeds of 46 to 53 kilometres per hour. With normal braking, such as for a known stop sign, a vehicle can stop in that distance from speeds of 25 to 29 kilometres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Based on Mr. Stephens' own evidence, he was travelling 10 to 15 kilometres per hour. I think in his trial evidence he stated that possibly he could have been going as fast as 17 kilometres per hour, but definitely not as fast as 20 kilometres per hour. Put simply, Mr. Stephens had ample time to stop safely. Therefore, I find as a fact that Mr. Stephens was not in a situation where the agony of collision doctrine was available to him.</w:t>
      </w:r>
      <w:r>
        <w:rPr>
          <w:rFonts w:ascii="arial" w:eastAsia="arial" w:hAnsi="arial" w:cs="arial"/>
          <w:sz w:val="20"/>
          <w:lang w:val="en-US" w:eastAsia="en-US" w:bidi="ar-SA"/>
        </w:rPr>
        <w:cr/>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Contributory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Defence counsel's submission on that subject was that after the plaintiff fell he was a hazard on the roadway. He knew that he was a hazard for westbound traffic. He got up quickly, by all accounts, which is appropriate. However, his focus was on retrieving his bicycle before getting off the road instead of getting himself to safety, while casting a glance in the direction of traffic that would be coming his way. It only took a couple of seconds to get his bike, but the defence states that those seconds were poorly spent. The plaintiff caused the emergent situation and did not act reasonably in those seconds where he moved toward the shoulder of the road. The plaintiff, that is Mr. Rockall, cannot avail himself of the agony of the collision doctrine. He has to act to a higher standard. To spend his time looking for, grabbing, and struggling with his bicycle and not just getting out of the situation, while watching where you were going, is simply the height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was the defence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Continuing with the defence submissions. Without appreciating what type of situation he is heading into, scrambling off the road without looking is reasonably expected to continue to put him in danger. It is not largely different than running into the oncoming eastbound lane. Traffic behind him is expected at 50 kilometres per hour. If traffic is not to run over him, cannot stop, and cannot go into the oncoming traffic it reasonably has to go onto the shoulder. He does not know how fast Mr. Stephens was approaching. He does not know that Mr. Stephens was exercising extraordinary care approaching him. The plaintiff has to expect the worst when he creates such a situation and must act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That is the defence counsel's submission about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Counsel for the plaintiff gave a short answer to this defence submission. If Mr. Stephens has ample time to stop, Mr. Rockall getting himself and his bicycle off the road is not negligent. It is prudent considering the possibility of other vehicles on the road. Mr. Stephens has time to stop. If Mr. Rockall had looked up and saw him approaching he would have realized that and continued to act as he did. It was not reasonable for him to anticipate Mr. Stephens' failure to brake.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agree with plaintiff's counsel and I reject the defence submission that the plaintiff was contributorily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am satisfied on a balance of probabilities based on all of the evidence and submissions of counsel that the collision between the truck owned by the corporate defendant and driven by Mr. Stephens was caused by the negligent driving of Mr. Stephens. For that reason both defendants are jointly and severally 100 per cent liable for the injuries suffered by Mr. Rockall.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COURT: I thank you both for conducting a very efficient trial, or all three counsel. Thank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CLERK: Order in court. Court is adjourned.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P.D. LEASK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7" style="position:absolute;z-index:2517882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75"/>
          <w:headerReference w:type="default" r:id="rId576"/>
          <w:footerReference w:type="even" r:id="rId577"/>
          <w:footerReference w:type="default" r:id="rId578"/>
          <w:headerReference w:type="first" r:id="rId579"/>
          <w:footerReference w:type="first" r:id="rId58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81" w:history="1">
        <w:r>
          <w:rPr>
            <w:rFonts w:ascii="arial" w:eastAsia="arial" w:hAnsi="arial" w:cs="arial"/>
            <w:b/>
            <w:bCs/>
            <w:i/>
            <w:color w:val="0077CC"/>
            <w:kern w:val="32"/>
            <w:sz w:val="28"/>
            <w:szCs w:val="32"/>
            <w:u w:val="single"/>
            <w:shd w:val="clear" w:color="auto" w:fill="FFFFFF"/>
            <w:lang w:val="en-US" w:eastAsia="en-US" w:bidi="ar-SA"/>
          </w:rPr>
          <w:t>R. v. Oswald, [2019] B.C.J. No. 1001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N.P. Kent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31,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4,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27551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1001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892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Regina, and Warren Brett Oswald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(49 paras.)</w:t>
      </w:r>
    </w:p>
    <w:p>
      <w:pPr>
        <w:jc w:val="both"/>
        <w:rPr>
          <w:rFonts w:ascii="arial" w:eastAsia="arial" w:hAnsi="arial" w:cs="arial"/>
          <w:sz w:val="20"/>
          <w:lang w:val="en-US" w:eastAsia="en-US" w:bidi="ar-SA"/>
        </w:rPr>
      </w:pPr>
      <w:bookmarkStart w:id="93" w:name="Counsel_27"/>
      <w:bookmarkEnd w:id="9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8" style="position:absolute;z-index:2516879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Crown: Tareyn V.D. Warren, Alexandra L. Russell.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Accused: Conor B.S. Muldoon.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94" w:name="Judgment_27"/>
      <w:bookmarkEnd w:id="94"/>
      <w:r>
        <w:pict>
          <v:line id="_x0000_s1119" style="position:absolute;z-index:25173913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 AND 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FACTUAL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GENERAL PRINCIPLES RE S. 24(2) OF THE CHARTER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APPLICATION OF PRINCIPLES TO THE PRESENT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s. 24(1) remedy</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Section 24(2) threshold requirement: Evidence obtained "in a manner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Seriousness of conduct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Impact upon accused's interests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Interest in adjudication on the merits</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Would the admission of the evidence bring the administration of justice into disrepute? Balancing the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 AND CONCLUSION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 xml:space="preserve">(Section 24(2) </w:t>
      </w:r>
      <w:r>
        <w:rPr>
          <w:rFonts w:ascii="arial" w:eastAsia="arial" w:hAnsi="arial" w:cs="arial"/>
          <w:b/>
          <w:i/>
          <w:color w:val="000000"/>
          <w:sz w:val="20"/>
          <w:lang w:val="en-US" w:eastAsia="en-US" w:bidi="ar-SA"/>
        </w:rPr>
        <w:t>Charter</w:t>
      </w:r>
      <w:r>
        <w:rPr>
          <w:rFonts w:ascii="arial" w:eastAsia="arial" w:hAnsi="arial" w:cs="arial"/>
          <w:b/>
          <w:color w:val="000000"/>
          <w:sz w:val="20"/>
          <w:lang w:val="en-US" w:eastAsia="en-US" w:bidi="ar-SA"/>
        </w:rPr>
        <w:t xml:space="preserve"> Ruling)</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95" w:name="N.P. KENT J."/>
            <w:bookmarkEnd w:id="95"/>
            <w:r>
              <w:rPr>
                <w:rFonts w:ascii="arial" w:eastAsia="arial" w:hAnsi="arial" w:cs="arial"/>
                <w:b/>
                <w:color w:val="000000"/>
                <w:sz w:val="30"/>
                <w:lang w:val="en-US" w:eastAsia="en-US" w:bidi="ar-SA"/>
              </w:rPr>
              <w:t>N.P. KENT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 and 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Mr. Oswald stands charged with the commission of nine criminal offences alleged to have occurred on July 1, 2017 in Vancouver, British Columbia. The alleged offences include:</w:t>
      </w:r>
      <w:r>
        <w:rPr>
          <w:rFonts w:ascii="arial" w:eastAsia="arial" w:hAnsi="arial" w:cs="arial"/>
          <w:sz w:val="20"/>
          <w:lang w:val="en-US" w:eastAsia="en-US" w:bidi="ar-SA"/>
        </w:rPr>
        <w:cr/>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possession of cocaine, methamphetamine, and fentanyl respectively for the purposes of trafficking contrary to s. 5(2) of the </w:t>
      </w:r>
      <w:r>
        <w:rPr>
          <w:rFonts w:ascii="arial" w:eastAsia="arial" w:hAnsi="arial" w:cs="arial"/>
          <w:i/>
          <w:color w:val="000000"/>
          <w:sz w:val="20"/>
          <w:lang w:val="en-US" w:eastAsia="en-US" w:bidi="ar-SA"/>
        </w:rPr>
        <w:t>Controlled Drugs and Substances Act</w:t>
      </w:r>
      <w:r>
        <w:rPr>
          <w:rFonts w:ascii="arial" w:eastAsia="arial" w:hAnsi="arial" w:cs="arial"/>
          <w:color w:val="000000"/>
          <w:sz w:val="20"/>
          <w:lang w:val="en-US" w:eastAsia="en-US" w:bidi="ar-SA"/>
        </w:rPr>
        <w:t xml:space="preserve">, </w:t>
      </w:r>
      <w:hyperlink r:id="rId582" w:history="1">
        <w:r>
          <w:rPr>
            <w:rFonts w:ascii="arial" w:eastAsia="arial" w:hAnsi="arial" w:cs="arial"/>
            <w:i/>
            <w:color w:val="0077CC"/>
            <w:sz w:val="20"/>
            <w:u w:val="single"/>
            <w:shd w:val="clear" w:color="auto" w:fill="FFFFFF"/>
            <w:lang w:val="en-US" w:eastAsia="en-US" w:bidi="ar-SA"/>
          </w:rPr>
          <w:t>S.C. 1996, c. 19</w:t>
        </w:r>
      </w:hyperlink>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CDSA</w:t>
      </w:r>
      <w:r>
        <w:rPr>
          <w:rFonts w:ascii="arial" w:eastAsia="arial" w:hAnsi="arial" w:cs="arial"/>
          <w:color w:val="000000"/>
          <w:sz w:val="20"/>
          <w:lang w:val="en-US" w:eastAsia="en-US" w:bidi="ar-SA"/>
        </w:rPr>
        <w:t>");</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assault of Ms. Larissa Sloan contrary to s. 266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w:t>
      </w:r>
      <w:hyperlink r:id="rId583" w:history="1">
        <w:r>
          <w:rPr>
            <w:rFonts w:ascii="arial" w:eastAsia="arial" w:hAnsi="arial" w:cs="arial"/>
            <w:i/>
            <w:color w:val="0077CC"/>
            <w:sz w:val="20"/>
            <w:u w:val="single"/>
            <w:shd w:val="clear" w:color="auto" w:fill="FFFFFF"/>
            <w:lang w:val="en-US" w:eastAsia="en-US" w:bidi="ar-SA"/>
          </w:rPr>
          <w:t>R.S.C. 1985, c. C-46</w:t>
        </w:r>
      </w:hyperlink>
      <w:r>
        <w:rPr>
          <w:rFonts w:ascii="arial" w:eastAsia="arial" w:hAnsi="arial" w:cs="arial"/>
          <w:color w:val="000000"/>
          <w:sz w:val="20"/>
          <w:lang w:val="en-US" w:eastAsia="en-US" w:bidi="ar-SA"/>
        </w:rPr>
        <w:t>;</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possession of a prohibited or restricted firearm (a 40-calibre handgun) without an appropriate authorization, licence and registration certificate contrary to ss. 92(1) and 95(1)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careless storage of the said handgun contrary to s. 86(1)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possession of a prohibited weapon, a bladed throwing star/Shuriken, without an appropriate licence, contrary to s. 92(2)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and</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resistance or wilful obstruction of a peace officer contrary to s. 129(a)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Mr. Oswald has pleaded not guilty to all counts on the Indictment. He has filed seven Notices of Application asserting various breaches by the police of his rights under the </w:t>
      </w:r>
      <w:r>
        <w:rPr>
          <w:rFonts w:ascii="arial" w:eastAsia="arial" w:hAnsi="arial" w:cs="arial"/>
          <w:i/>
          <w:color w:val="000000"/>
          <w:sz w:val="20"/>
          <w:lang w:val="en-US" w:eastAsia="en-US" w:bidi="ar-SA"/>
        </w:rPr>
        <w:t>Canadian Charter of Rights and Freedoms</w:t>
      </w:r>
      <w:r>
        <w:rPr>
          <w:rFonts w:ascii="arial" w:eastAsia="arial" w:hAnsi="arial" w:cs="arial"/>
          <w:color w:val="000000"/>
          <w:sz w:val="20"/>
          <w:lang w:val="en-US" w:eastAsia="en-US" w:bidi="ar-SA"/>
        </w:rPr>
        <w:t xml:space="preserve">, Part 1 of the </w:t>
      </w:r>
      <w:r>
        <w:rPr>
          <w:rFonts w:ascii="arial" w:eastAsia="arial" w:hAnsi="arial" w:cs="arial"/>
          <w:i/>
          <w:color w:val="000000"/>
          <w:sz w:val="20"/>
          <w:lang w:val="en-US" w:eastAsia="en-US" w:bidi="ar-SA"/>
        </w:rPr>
        <w:t>Constitution Act, 1982</w:t>
      </w:r>
      <w:r>
        <w:rPr>
          <w:rFonts w:ascii="arial" w:eastAsia="arial" w:hAnsi="arial" w:cs="arial"/>
          <w:color w:val="000000"/>
          <w:sz w:val="20"/>
          <w:lang w:val="en-US" w:eastAsia="en-US" w:bidi="ar-SA"/>
        </w:rPr>
        <w:t xml:space="preserve">, being Schedule B to the </w:t>
      </w:r>
      <w:r>
        <w:rPr>
          <w:rFonts w:ascii="arial" w:eastAsia="arial" w:hAnsi="arial" w:cs="arial"/>
          <w:i/>
          <w:color w:val="000000"/>
          <w:sz w:val="20"/>
          <w:lang w:val="en-US" w:eastAsia="en-US" w:bidi="ar-SA"/>
        </w:rPr>
        <w:t>Canada Act 1982</w:t>
      </w:r>
      <w:r>
        <w:rPr>
          <w:rFonts w:ascii="arial" w:eastAsia="arial" w:hAnsi="arial" w:cs="arial"/>
          <w:color w:val="000000"/>
          <w:sz w:val="20"/>
          <w:lang w:val="en-US" w:eastAsia="en-US" w:bidi="ar-SA"/>
        </w:rPr>
        <w:t xml:space="preserve"> (U.K.), 1982, c. 11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including, in no particular order:</w:t>
      </w:r>
      <w:r>
        <w:rPr>
          <w:rFonts w:ascii="arial" w:eastAsia="arial" w:hAnsi="arial" w:cs="arial"/>
          <w:sz w:val="20"/>
          <w:lang w:val="en-US" w:eastAsia="en-US" w:bidi="ar-SA"/>
        </w:rPr>
        <w:cr/>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warrantless arrest of Mr. Oswald on July 1, 2017 contrary to ss. 7 and 9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use of excessive force during the arrest, contrary to ss. 7 and 12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warrantless search of Mr. Oswald's belongings purportedly incidental to his arrest, contrary to s. 8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warrantless entry into unit 507 of the condominium building at 138 East Hastings Street immediately following the arrest of Mr. Oswald contrary to s. 8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improperly obtained and unlawfully executed warrant for the search of suite 507, contrary to s. 8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failure to seize and preserve certain camera and surveillance recording equipment within unit 507 (alleged to have captured all activities within the suite, including any assault of Ms. Sloan) thereby preventing any independent inquiry and thus any full answer and defence to the charges against Mr. Oswald, all contrary to ss. 7 and 11(d)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and</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failing to promptly inform Mr. Oswald of his right to counsel and to promptly facilitate such access, contrary to s. 10(b)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As a result of these various breaches and an alleged pattern of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-infringing conduct on the part of the police, Mr. Oswald invokes s. 24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in support of a stay of the proceedings against him or, in the alternative, exclusion of certain evidence at any trial of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A "blended" </w:t>
      </w:r>
      <w:r>
        <w:rPr>
          <w:rFonts w:ascii="arial" w:eastAsia="arial" w:hAnsi="arial" w:cs="arial"/>
          <w:i/>
          <w:color w:val="000000"/>
          <w:sz w:val="20"/>
          <w:lang w:val="en-US" w:eastAsia="en-US" w:bidi="ar-SA"/>
        </w:rPr>
        <w:t>voir dire</w:t>
      </w:r>
      <w:r>
        <w:rPr>
          <w:rFonts w:ascii="arial" w:eastAsia="arial" w:hAnsi="arial" w:cs="arial"/>
          <w:color w:val="000000"/>
          <w:sz w:val="20"/>
          <w:lang w:val="en-US" w:eastAsia="en-US" w:bidi="ar-SA"/>
        </w:rPr>
        <w:t xml:space="preserve"> was held on various dates in January, February and April 2019 to determine whether all of the alleged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breaches had occurred except for the challenge with respect to the search warrant for suite 507. The latter challenge was deferred because of the potential for the other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rulings to impact the content of the Information to Obtain ("ITO") sworn in support of the search warrant. Reasons for Judgment on the first </w:t>
      </w:r>
      <w:r>
        <w:rPr>
          <w:rFonts w:ascii="arial" w:eastAsia="arial" w:hAnsi="arial" w:cs="arial"/>
          <w:i/>
          <w:color w:val="000000"/>
          <w:sz w:val="20"/>
          <w:lang w:val="en-US" w:eastAsia="en-US" w:bidi="ar-SA"/>
        </w:rPr>
        <w:t>voir dire</w:t>
      </w:r>
      <w:r>
        <w:rPr>
          <w:rFonts w:ascii="arial" w:eastAsia="arial" w:hAnsi="arial" w:cs="arial"/>
          <w:color w:val="000000"/>
          <w:sz w:val="20"/>
          <w:lang w:val="en-US" w:eastAsia="en-US" w:bidi="ar-SA"/>
        </w:rPr>
        <w:t xml:space="preserve"> were issued May 3, 2019 (</w:t>
      </w:r>
      <w:hyperlink r:id="rId584" w:history="1">
        <w:r>
          <w:rPr>
            <w:rFonts w:ascii="arial" w:eastAsia="arial" w:hAnsi="arial" w:cs="arial"/>
            <w:i/>
            <w:color w:val="0077CC"/>
            <w:sz w:val="20"/>
            <w:u w:val="single"/>
            <w:shd w:val="clear" w:color="auto" w:fill="FFFFFF"/>
            <w:lang w:val="en-US" w:eastAsia="en-US" w:bidi="ar-SA"/>
          </w:rPr>
          <w:t>2019 BCSC 705</w:t>
        </w:r>
      </w:hyperlink>
      <w:r>
        <w:rPr>
          <w:rFonts w:ascii="arial" w:eastAsia="arial" w:hAnsi="arial" w:cs="arial"/>
          <w:color w:val="000000"/>
          <w:sz w:val="20"/>
          <w:lang w:val="en-US" w:eastAsia="en-US" w:bidi="ar-SA"/>
        </w:rPr>
        <w:t xml:space="preserve">). I concluded that none of the alleged breaches were substantiated excepting only the warrantless entry and search of unit 507 immediately after Mr. Oswald's arrest, which search constituted a breach of Mr. Oswald's rights under s. 8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parties again appeared before me on May 8 and 9, 2019. The preliminary </w:t>
      </w:r>
      <w:r>
        <w:rPr>
          <w:rFonts w:ascii="arial" w:eastAsia="arial" w:hAnsi="arial" w:cs="arial"/>
          <w:i/>
          <w:color w:val="000000"/>
          <w:sz w:val="20"/>
          <w:lang w:val="en-US" w:eastAsia="en-US" w:bidi="ar-SA"/>
        </w:rPr>
        <w:t>Vukelich</w:t>
      </w:r>
      <w:r>
        <w:rPr>
          <w:rFonts w:ascii="arial" w:eastAsia="arial" w:hAnsi="arial" w:cs="arial"/>
          <w:color w:val="000000"/>
          <w:sz w:val="20"/>
          <w:lang w:val="en-US" w:eastAsia="en-US" w:bidi="ar-SA"/>
        </w:rPr>
        <w:t xml:space="preserve"> hearing was conducted with respect to the proposed challenge to the ITO and search warrant authorizing a further search of unit 507 in the late evening of July 1, 2017. The </w:t>
      </w:r>
      <w:r>
        <w:rPr>
          <w:rFonts w:ascii="arial" w:eastAsia="arial" w:hAnsi="arial" w:cs="arial"/>
          <w:i/>
          <w:color w:val="000000"/>
          <w:sz w:val="20"/>
          <w:lang w:val="en-US" w:eastAsia="en-US" w:bidi="ar-SA"/>
        </w:rPr>
        <w:t>Vukelich</w:t>
      </w:r>
      <w:r>
        <w:rPr>
          <w:rFonts w:ascii="arial" w:eastAsia="arial" w:hAnsi="arial" w:cs="arial"/>
          <w:color w:val="000000"/>
          <w:sz w:val="20"/>
          <w:lang w:val="en-US" w:eastAsia="en-US" w:bidi="ar-SA"/>
        </w:rPr>
        <w:t xml:space="preserve"> application was dismissed in favour of a more fulsome </w:t>
      </w:r>
      <w:r>
        <w:rPr>
          <w:rFonts w:ascii="arial" w:eastAsia="arial" w:hAnsi="arial" w:cs="arial"/>
          <w:i/>
          <w:color w:val="000000"/>
          <w:sz w:val="20"/>
          <w:lang w:val="en-US" w:eastAsia="en-US" w:bidi="ar-SA"/>
        </w:rPr>
        <w:t>Garofoli</w:t>
      </w:r>
      <w:r>
        <w:rPr>
          <w:rFonts w:ascii="arial" w:eastAsia="arial" w:hAnsi="arial" w:cs="arial"/>
          <w:color w:val="000000"/>
          <w:sz w:val="20"/>
          <w:lang w:val="en-US" w:eastAsia="en-US" w:bidi="ar-SA"/>
        </w:rPr>
        <w:t xml:space="preserve"> hearing, which was conducted on May 14 and 15, 2019. Reasons for Judgment were issued on May 21, 2019 (</w:t>
      </w:r>
      <w:hyperlink r:id="rId585" w:history="1">
        <w:r>
          <w:rPr>
            <w:rFonts w:ascii="arial" w:eastAsia="arial" w:hAnsi="arial" w:cs="arial"/>
            <w:i/>
            <w:color w:val="0077CC"/>
            <w:sz w:val="20"/>
            <w:u w:val="single"/>
            <w:shd w:val="clear" w:color="auto" w:fill="FFFFFF"/>
            <w:lang w:val="en-US" w:eastAsia="en-US" w:bidi="ar-SA"/>
          </w:rPr>
          <w:t>2019 BCSC 803</w:t>
        </w:r>
      </w:hyperlink>
      <w:r>
        <w:rPr>
          <w:rFonts w:ascii="arial" w:eastAsia="arial" w:hAnsi="arial" w:cs="arial"/>
          <w:color w:val="000000"/>
          <w:sz w:val="20"/>
          <w:lang w:val="en-US" w:eastAsia="en-US" w:bidi="ar-SA"/>
        </w:rPr>
        <w:t>). I concluded that after excising or disregarding those portions of the ITO reflecting illegally obtained evidence as well various other flaws in both form and content, there nonetheless remained sufficient reliable information in the ITO to sustain the validity of the search warrant for unit 507.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Mr. Oswald now applies under s. 24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for an order excluding at trial all evidence secured by the police both pursuant to the search of his backpack incidental upon his arrest and also from the search of suite 507 executed pursuant to the search warrant. He argues that all of this evidence was obtained in a manner that infringed his rights under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and that, having regard to all the circumstances, the admission of this evidence in the trial proceedings would bring the administration of justice into disrepute.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parties agree that the evidence secured from Mr. Oswald's backpack following arrest included 1.4Kg of methamphetamine, 530g of cocaine, and 492g of fentanyl. They also agree that the evidence secured from suite 507 included 242g of cocaine, 77g of fentanyl, a loaded .40-calibre Smith &amp; Wesson handgun, and a Shuriken (a bladed throwing star).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For the reasons that follow, Mr. Oswald's application to exclude evidence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FACTUAL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factual background of the case is fully described in paras. 6-38 of the Reasons for Judgment on </w:t>
      </w:r>
      <w:r>
        <w:rPr>
          <w:rFonts w:ascii="arial" w:eastAsia="arial" w:hAnsi="arial" w:cs="arial"/>
          <w:i/>
          <w:color w:val="000000"/>
          <w:sz w:val="20"/>
          <w:lang w:val="en-US" w:eastAsia="en-US" w:bidi="ar-SA"/>
        </w:rPr>
        <w:t>voir dire</w:t>
      </w:r>
      <w:r>
        <w:rPr>
          <w:rFonts w:ascii="arial" w:eastAsia="arial" w:hAnsi="arial" w:cs="arial"/>
          <w:color w:val="000000"/>
          <w:sz w:val="20"/>
          <w:lang w:val="en-US" w:eastAsia="en-US" w:bidi="ar-SA"/>
        </w:rPr>
        <w:t xml:space="preserve"> #1, </w:t>
      </w:r>
      <w:hyperlink r:id="rId584" w:history="1">
        <w:r>
          <w:rPr>
            <w:rFonts w:ascii="arial" w:eastAsia="arial" w:hAnsi="arial" w:cs="arial"/>
            <w:i/>
            <w:color w:val="0077CC"/>
            <w:sz w:val="20"/>
            <w:u w:val="single"/>
            <w:shd w:val="clear" w:color="auto" w:fill="FFFFFF"/>
            <w:lang w:val="en-US" w:eastAsia="en-US" w:bidi="ar-SA"/>
          </w:rPr>
          <w:t>2019 BCSC 705</w:t>
        </w:r>
      </w:hyperlink>
      <w:r>
        <w:rPr>
          <w:rFonts w:ascii="arial" w:eastAsia="arial" w:hAnsi="arial" w:cs="arial"/>
          <w:color w:val="000000"/>
          <w:sz w:val="20"/>
          <w:lang w:val="en-US" w:eastAsia="en-US" w:bidi="ar-SA"/>
        </w:rPr>
        <w:t xml:space="preserve">, and I will not repeat that here. Additional findings of fact are set out in that portion of the judgment relating to the warrantless "clearing" of suite 507, namely paras. 119-146. I will refer later in this judgment to some of these facts as they relate to the s. 24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GENERAL PRINCIPLES RE S. 24(2) OF THE </w:t>
      </w:r>
      <w:r>
        <w:rPr>
          <w:rFonts w:ascii="arial" w:eastAsia="arial" w:hAnsi="arial" w:cs="arial"/>
          <w:b/>
          <w:i/>
          <w:color w:val="000000"/>
          <w:sz w:val="20"/>
          <w:lang w:val="en-US" w:eastAsia="en-US" w:bidi="ar-SA"/>
        </w:rPr>
        <w:t>CHARTER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On the same day that the present application was heard, the Supreme Court of Canada reviewed and restated some of the general principles applicable to s. 24(2) applications in </w:t>
      </w:r>
      <w:r>
        <w:rPr>
          <w:rFonts w:ascii="arial" w:eastAsia="arial" w:hAnsi="arial" w:cs="arial"/>
          <w:i/>
          <w:color w:val="000000"/>
          <w:sz w:val="20"/>
          <w:lang w:val="en-US" w:eastAsia="en-US" w:bidi="ar-SA"/>
        </w:rPr>
        <w:t>R. v. Le</w:t>
      </w:r>
      <w:r>
        <w:rPr>
          <w:rFonts w:ascii="arial" w:eastAsia="arial" w:hAnsi="arial" w:cs="arial"/>
          <w:color w:val="000000"/>
          <w:sz w:val="20"/>
          <w:lang w:val="en-US" w:eastAsia="en-US" w:bidi="ar-SA"/>
        </w:rPr>
        <w:t xml:space="preserve">, </w:t>
      </w:r>
      <w:hyperlink r:id="rId586" w:history="1">
        <w:r>
          <w:rPr>
            <w:rFonts w:ascii="arial" w:eastAsia="arial" w:hAnsi="arial" w:cs="arial"/>
            <w:i/>
            <w:color w:val="0077CC"/>
            <w:sz w:val="20"/>
            <w:u w:val="single"/>
            <w:shd w:val="clear" w:color="auto" w:fill="FFFFFF"/>
            <w:lang w:val="en-US" w:eastAsia="en-US" w:bidi="ar-SA"/>
          </w:rPr>
          <w:t>2019 SCC 34</w:t>
        </w:r>
      </w:hyperlink>
      <w:r>
        <w:rPr>
          <w:rFonts w:ascii="arial" w:eastAsia="arial" w:hAnsi="arial" w:cs="arial"/>
          <w:color w:val="000000"/>
          <w:sz w:val="20"/>
          <w:lang w:val="en-US" w:eastAsia="en-US" w:bidi="ar-SA"/>
        </w:rPr>
        <w:t xml:space="preserve">. This was a 3:2 decision of a five-member panel of the Court. The three judges who authored or concurred with the majority judgment were the three dissenters in a seven-member panel of the Court who one week earlier decided </w:t>
      </w:r>
      <w:r>
        <w:rPr>
          <w:rFonts w:ascii="arial" w:eastAsia="arial" w:hAnsi="arial" w:cs="arial"/>
          <w:i/>
          <w:color w:val="000000"/>
          <w:sz w:val="20"/>
          <w:lang w:val="en-US" w:eastAsia="en-US" w:bidi="ar-SA"/>
        </w:rPr>
        <w:t>R. v. Omar</w:t>
      </w:r>
      <w:r>
        <w:rPr>
          <w:rFonts w:ascii="arial" w:eastAsia="arial" w:hAnsi="arial" w:cs="arial"/>
          <w:color w:val="000000"/>
          <w:sz w:val="20"/>
          <w:lang w:val="en-US" w:eastAsia="en-US" w:bidi="ar-SA"/>
        </w:rPr>
        <w:t xml:space="preserve">, </w:t>
      </w:r>
      <w:hyperlink r:id="rId587" w:history="1">
        <w:r>
          <w:rPr>
            <w:rFonts w:ascii="arial" w:eastAsia="arial" w:hAnsi="arial" w:cs="arial"/>
            <w:i/>
            <w:color w:val="0077CC"/>
            <w:sz w:val="20"/>
            <w:u w:val="single"/>
            <w:shd w:val="clear" w:color="auto" w:fill="FFFFFF"/>
            <w:lang w:val="en-US" w:eastAsia="en-US" w:bidi="ar-SA"/>
          </w:rPr>
          <w:t>2019 SCC 32</w:t>
        </w:r>
      </w:hyperlink>
      <w:r>
        <w:rPr>
          <w:rFonts w:ascii="arial" w:eastAsia="arial" w:hAnsi="arial" w:cs="arial"/>
          <w:color w:val="000000"/>
          <w:sz w:val="20"/>
          <w:lang w:val="en-US" w:eastAsia="en-US" w:bidi="ar-SA"/>
        </w:rPr>
        <w:t>. Both cases involved varying viewpoints on the manner in which the three "</w:t>
      </w:r>
      <w:r>
        <w:rPr>
          <w:rFonts w:ascii="arial" w:eastAsia="arial" w:hAnsi="arial" w:cs="arial"/>
          <w:i/>
          <w:color w:val="000000"/>
          <w:sz w:val="20"/>
          <w:lang w:val="en-US" w:eastAsia="en-US" w:bidi="ar-SA"/>
        </w:rPr>
        <w:t>Grant</w:t>
      </w:r>
      <w:r>
        <w:rPr>
          <w:rFonts w:ascii="arial" w:eastAsia="arial" w:hAnsi="arial" w:cs="arial"/>
          <w:color w:val="000000"/>
          <w:sz w:val="20"/>
          <w:lang w:val="en-US" w:eastAsia="en-US" w:bidi="ar-SA"/>
        </w:rPr>
        <w:t xml:space="preserve"> factors" are to be balanced in s. 24(2)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Le</w:t>
      </w:r>
      <w:r>
        <w:rPr>
          <w:rFonts w:ascii="arial" w:eastAsia="arial" w:hAnsi="arial" w:cs="arial"/>
          <w:color w:val="000000"/>
          <w:sz w:val="20"/>
          <w:lang w:val="en-US" w:eastAsia="en-US" w:bidi="ar-SA"/>
        </w:rPr>
        <w:t>,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D. Section 24(2) of the </w:t>
      </w:r>
      <w:r>
        <w:rPr>
          <w:rFonts w:ascii="arial" w:eastAsia="arial" w:hAnsi="arial" w:cs="arial"/>
          <w:b/>
          <w:i/>
          <w:color w:val="000000"/>
          <w:sz w:val="20"/>
          <w:lang w:val="en-US" w:eastAsia="en-US" w:bidi="ar-SA"/>
        </w:rPr>
        <w:t>Charter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[138] Having come to a different conclusion than the trial judge on the timing and constitutionality of Mr. Le's detention, we owe no deference to his "alternative" conclusion regarding exclusion of evidence under s. 24(2)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Grant</w:t>
      </w:r>
      <w:r>
        <w:rPr>
          <w:rFonts w:ascii="arial" w:eastAsia="arial" w:hAnsi="arial" w:cs="arial"/>
          <w:color w:val="000000"/>
          <w:sz w:val="20"/>
          <w:lang w:val="en-US" w:eastAsia="en-US" w:bidi="ar-SA"/>
        </w:rPr>
        <w:t xml:space="preserve">, at para. 129; </w:t>
      </w:r>
      <w:r>
        <w:rPr>
          <w:rFonts w:ascii="arial" w:eastAsia="arial" w:hAnsi="arial" w:cs="arial"/>
          <w:i/>
          <w:color w:val="000000"/>
          <w:sz w:val="20"/>
          <w:lang w:val="en-US" w:eastAsia="en-US" w:bidi="ar-SA"/>
        </w:rPr>
        <w:t>R. v. Paterson</w:t>
      </w:r>
      <w:r>
        <w:rPr>
          <w:rFonts w:ascii="arial" w:eastAsia="arial" w:hAnsi="arial" w:cs="arial"/>
          <w:color w:val="000000"/>
          <w:sz w:val="20"/>
          <w:lang w:val="en-US" w:eastAsia="en-US" w:bidi="ar-SA"/>
        </w:rPr>
        <w:t xml:space="preserve">, </w:t>
      </w:r>
      <w:hyperlink r:id="rId588" w:history="1">
        <w:r>
          <w:rPr>
            <w:rFonts w:ascii="arial" w:eastAsia="arial" w:hAnsi="arial" w:cs="arial"/>
            <w:i/>
            <w:color w:val="0077CC"/>
            <w:sz w:val="20"/>
            <w:u w:val="single"/>
            <w:shd w:val="clear" w:color="auto" w:fill="FFFFFF"/>
            <w:lang w:val="en-US" w:eastAsia="en-US" w:bidi="ar-SA"/>
          </w:rPr>
          <w:t>2017 SCC 15</w:t>
        </w:r>
      </w:hyperlink>
      <w:r>
        <w:rPr>
          <w:rFonts w:ascii="arial" w:eastAsia="arial" w:hAnsi="arial" w:cs="arial"/>
          <w:color w:val="000000"/>
          <w:sz w:val="20"/>
          <w:lang w:val="en-US" w:eastAsia="en-US" w:bidi="ar-SA"/>
        </w:rPr>
        <w:t xml:space="preserve">, </w:t>
      </w:r>
      <w:hyperlink r:id="rId588" w:history="1">
        <w:r>
          <w:rPr>
            <w:rFonts w:ascii="arial" w:eastAsia="arial" w:hAnsi="arial" w:cs="arial"/>
            <w:i/>
            <w:color w:val="0077CC"/>
            <w:sz w:val="20"/>
            <w:u w:val="single"/>
            <w:shd w:val="clear" w:color="auto" w:fill="FFFFFF"/>
            <w:lang w:val="en-US" w:eastAsia="en-US" w:bidi="ar-SA"/>
          </w:rPr>
          <w:t>[2017] 1 S.C.R. 202</w:t>
        </w:r>
      </w:hyperlink>
      <w:r>
        <w:rPr>
          <w:rFonts w:ascii="arial" w:eastAsia="arial" w:hAnsi="arial" w:cs="arial"/>
          <w:color w:val="000000"/>
          <w:sz w:val="20"/>
          <w:lang w:val="en-US" w:eastAsia="en-US" w:bidi="ar-SA"/>
        </w:rPr>
        <w:t>, at para. 42).</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General Principles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[139] Section 24(2)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provides that, where evidence was obtained in a manner that infringed a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 or freedom, that evidence shall be excluded if it is established that, having regard to all the circumstances, its admission would bring the administration of justice into disrepute. While the judicial inquiry under s. 24(2) is often rhetorically cast as asking whether evidence should be excluded, that is not the question to be decided. Rather, it is whether the administration of justice would be brought into disrepute by its admission (</w:t>
      </w:r>
      <w:r>
        <w:rPr>
          <w:rFonts w:ascii="arial" w:eastAsia="arial" w:hAnsi="arial" w:cs="arial"/>
          <w:i/>
          <w:color w:val="000000"/>
          <w:sz w:val="20"/>
          <w:lang w:val="en-US" w:eastAsia="en-US" w:bidi="ar-SA"/>
        </w:rPr>
        <w:t>R. v. Taylor</w:t>
      </w:r>
      <w:r>
        <w:rPr>
          <w:rFonts w:ascii="arial" w:eastAsia="arial" w:hAnsi="arial" w:cs="arial"/>
          <w:color w:val="000000"/>
          <w:sz w:val="20"/>
          <w:lang w:val="en-US" w:eastAsia="en-US" w:bidi="ar-SA"/>
        </w:rPr>
        <w:t xml:space="preserve">, </w:t>
      </w:r>
      <w:hyperlink r:id="rId589" w:history="1">
        <w:r>
          <w:rPr>
            <w:rFonts w:ascii="arial" w:eastAsia="arial" w:hAnsi="arial" w:cs="arial"/>
            <w:i/>
            <w:color w:val="0077CC"/>
            <w:sz w:val="20"/>
            <w:u w:val="single"/>
            <w:shd w:val="clear" w:color="auto" w:fill="FFFFFF"/>
            <w:lang w:val="en-US" w:eastAsia="en-US" w:bidi="ar-SA"/>
          </w:rPr>
          <w:t>2014 SCC 50</w:t>
        </w:r>
      </w:hyperlink>
      <w:r>
        <w:rPr>
          <w:rFonts w:ascii="arial" w:eastAsia="arial" w:hAnsi="arial" w:cs="arial"/>
          <w:color w:val="000000"/>
          <w:sz w:val="20"/>
          <w:lang w:val="en-US" w:eastAsia="en-US" w:bidi="ar-SA"/>
        </w:rPr>
        <w:t xml:space="preserve">, </w:t>
      </w:r>
      <w:hyperlink r:id="rId589" w:history="1">
        <w:r>
          <w:rPr>
            <w:rFonts w:ascii="arial" w:eastAsia="arial" w:hAnsi="arial" w:cs="arial"/>
            <w:i/>
            <w:color w:val="0077CC"/>
            <w:sz w:val="20"/>
            <w:u w:val="single"/>
            <w:shd w:val="clear" w:color="auto" w:fill="FFFFFF"/>
            <w:lang w:val="en-US" w:eastAsia="en-US" w:bidi="ar-SA"/>
          </w:rPr>
          <w:t>[2014] 2 S.C.R. 495</w:t>
        </w:r>
      </w:hyperlink>
      <w:r>
        <w:rPr>
          <w:rFonts w:ascii="arial" w:eastAsia="arial" w:hAnsi="arial" w:cs="arial"/>
          <w:color w:val="000000"/>
          <w:sz w:val="20"/>
          <w:lang w:val="en-US" w:eastAsia="en-US" w:bidi="ar-SA"/>
        </w:rPr>
        <w:t xml:space="preserve">, at para. 42). If so, there is nothing left to decide about exclusion: our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directs that such evidence must be excluded, not to punish police or compensate for a rights infringement, but because it is necessary to do so to maintain the "integrity of, and public confidence in, the justice system" (</w:t>
      </w:r>
      <w:r>
        <w:rPr>
          <w:rFonts w:ascii="arial" w:eastAsia="arial" w:hAnsi="arial" w:cs="arial"/>
          <w:i/>
          <w:color w:val="000000"/>
          <w:sz w:val="20"/>
          <w:lang w:val="en-US" w:eastAsia="en-US" w:bidi="ar-SA"/>
        </w:rPr>
        <w:t>Grant</w:t>
      </w:r>
      <w:r>
        <w:rPr>
          <w:rFonts w:ascii="arial" w:eastAsia="arial" w:hAnsi="arial" w:cs="arial"/>
          <w:color w:val="000000"/>
          <w:sz w:val="20"/>
          <w:lang w:val="en-US" w:eastAsia="en-US" w:bidi="ar-SA"/>
        </w:rPr>
        <w:t>, at paras. 68-70).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[140] Where the state seeks to benefit from the evidentiary fruits of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-offending conduct, our focus must be directed not to the impact of state misconduct upon the criminal trial, but upon the administration of justice. Courts must also bear in mind that the fact of a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breach signifies, in and of itself, injustice, and a consequent diminishment of administration of justice. What courts are mandated by s. 24(2) to consider is whether the admission of evidence risks doing further damage by diminishing the reputation of the administration of justice -- such that, for example, reasonable members of Canadian society might wonder whether courts take individual rights and freedoms from police misconduct seriously. We endorse this Court's caution in </w:t>
      </w:r>
      <w:r>
        <w:rPr>
          <w:rFonts w:ascii="arial" w:eastAsia="arial" w:hAnsi="arial" w:cs="arial"/>
          <w:i/>
          <w:color w:val="000000"/>
          <w:sz w:val="20"/>
          <w:lang w:val="en-US" w:eastAsia="en-US" w:bidi="ar-SA"/>
        </w:rPr>
        <w:t>Grant</w:t>
      </w:r>
      <w:r>
        <w:rPr>
          <w:rFonts w:ascii="arial" w:eastAsia="arial" w:hAnsi="arial" w:cs="arial"/>
          <w:color w:val="000000"/>
          <w:sz w:val="20"/>
          <w:lang w:val="en-US" w:eastAsia="en-US" w:bidi="ar-SA"/>
        </w:rPr>
        <w:t xml:space="preserve">, at para. 68, that, while the exclusion of evidence "may provoke immediate criticism", our focus is on "the overall repute of the justice system, viewed in the long term" by a reasonable person, informed of all relevant circumstances and of the importance of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[142] The third line of inquiry, society's interest in an adjudication of the case on its merits, typically pulls in the opposite direction -- that is, towards a finding that admission would not bring the administration of justice into disrepute. While that pull is particularly strong where the evidence is reliable and critical to the Crown's case (see </w:t>
      </w:r>
      <w:r>
        <w:rPr>
          <w:rFonts w:ascii="arial" w:eastAsia="arial" w:hAnsi="arial" w:cs="arial"/>
          <w:i/>
          <w:color w:val="000000"/>
          <w:sz w:val="20"/>
          <w:lang w:val="en-US" w:eastAsia="en-US" w:bidi="ar-SA"/>
        </w:rPr>
        <w:t>R. v. Harrison</w:t>
      </w:r>
      <w:r>
        <w:rPr>
          <w:rFonts w:ascii="arial" w:eastAsia="arial" w:hAnsi="arial" w:cs="arial"/>
          <w:color w:val="000000"/>
          <w:sz w:val="20"/>
          <w:lang w:val="en-US" w:eastAsia="en-US" w:bidi="ar-SA"/>
        </w:rPr>
        <w:t xml:space="preserve">, </w:t>
      </w:r>
      <w:hyperlink r:id="rId590" w:history="1">
        <w:r>
          <w:rPr>
            <w:rFonts w:ascii="arial" w:eastAsia="arial" w:hAnsi="arial" w:cs="arial"/>
            <w:i/>
            <w:color w:val="0077CC"/>
            <w:sz w:val="20"/>
            <w:u w:val="single"/>
            <w:shd w:val="clear" w:color="auto" w:fill="FFFFFF"/>
            <w:lang w:val="en-US" w:eastAsia="en-US" w:bidi="ar-SA"/>
          </w:rPr>
          <w:t>2009 SCC 34</w:t>
        </w:r>
      </w:hyperlink>
      <w:r>
        <w:rPr>
          <w:rFonts w:ascii="arial" w:eastAsia="arial" w:hAnsi="arial" w:cs="arial"/>
          <w:color w:val="000000"/>
          <w:sz w:val="20"/>
          <w:lang w:val="en-US" w:eastAsia="en-US" w:bidi="ar-SA"/>
        </w:rPr>
        <w:t xml:space="preserve">, </w:t>
      </w:r>
      <w:hyperlink r:id="rId590" w:history="1">
        <w:r>
          <w:rPr>
            <w:rFonts w:ascii="arial" w:eastAsia="arial" w:hAnsi="arial" w:cs="arial"/>
            <w:i/>
            <w:color w:val="0077CC"/>
            <w:sz w:val="20"/>
            <w:u w:val="single"/>
            <w:shd w:val="clear" w:color="auto" w:fill="FFFFFF"/>
            <w:lang w:val="en-US" w:eastAsia="en-US" w:bidi="ar-SA"/>
          </w:rPr>
          <w:t>[2009] 2 S.C.R. 494</w:t>
        </w:r>
      </w:hyperlink>
      <w:r>
        <w:rPr>
          <w:rFonts w:ascii="arial" w:eastAsia="arial" w:hAnsi="arial" w:cs="arial"/>
          <w:color w:val="000000"/>
          <w:sz w:val="20"/>
          <w:lang w:val="en-US" w:eastAsia="en-US" w:bidi="ar-SA"/>
        </w:rPr>
        <w:t>, at paras. 33-34), we emphasize that the third line of inquiry cannot turn into a rubber stamp where all evidence is deemed reliable and critical to the Crown's case at this stage. The third line of inquiry becomes particularly important where one, but not both, of the first two inquiries pull towards the exclusion of the evidence. Where the first and second inquiries, taken together, make a strong case for exclusion, the third inquiry will seldom if ever tip the balance in favour of admissibility (</w:t>
      </w:r>
      <w:r>
        <w:rPr>
          <w:rFonts w:ascii="arial" w:eastAsia="arial" w:hAnsi="arial" w:cs="arial"/>
          <w:i/>
          <w:color w:val="000000"/>
          <w:sz w:val="20"/>
          <w:lang w:val="en-US" w:eastAsia="en-US" w:bidi="ar-SA"/>
        </w:rPr>
        <w:t>Paterson</w:t>
      </w:r>
      <w:r>
        <w:rPr>
          <w:rFonts w:ascii="arial" w:eastAsia="arial" w:hAnsi="arial" w:cs="arial"/>
          <w:color w:val="000000"/>
          <w:sz w:val="20"/>
          <w:lang w:val="en-US" w:eastAsia="en-US" w:bidi="ar-SA"/>
        </w:rPr>
        <w:t>, at para. 56). Conversely, if the first two inquiries together reveal weaker support for exclusion of the evidence, the third inquiry will most often confirm that the administration of justice would not be brought into disrepute by admitting the evidence.</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(a) Seriousness of the </w:t>
      </w:r>
      <w:r>
        <w:rPr>
          <w:rFonts w:ascii="arial" w:eastAsia="arial" w:hAnsi="arial" w:cs="arial"/>
          <w:b/>
          <w:i/>
          <w:color w:val="000000"/>
          <w:sz w:val="20"/>
          <w:lang w:val="en-US" w:eastAsia="en-US" w:bidi="ar-SA"/>
        </w:rPr>
        <w:t>Charter</w:t>
      </w:r>
      <w:r>
        <w:rPr>
          <w:rFonts w:ascii="arial" w:eastAsia="arial" w:hAnsi="arial" w:cs="arial"/>
          <w:b/>
          <w:color w:val="000000"/>
          <w:sz w:val="20"/>
          <w:lang w:val="en-US" w:eastAsia="en-US" w:bidi="ar-SA"/>
        </w:rPr>
        <w:t>-Infringing Conduct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[143] This Court has previously observed that, when considering the seriousness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-infringing conduct, a court's task is "to situate that conduct on a scale of culpability" (</w:t>
      </w:r>
      <w:r>
        <w:rPr>
          <w:rFonts w:ascii="arial" w:eastAsia="arial" w:hAnsi="arial" w:cs="arial"/>
          <w:i/>
          <w:color w:val="000000"/>
          <w:sz w:val="20"/>
          <w:lang w:val="en-US" w:eastAsia="en-US" w:bidi="ar-SA"/>
        </w:rPr>
        <w:t>Paterson</w:t>
      </w:r>
      <w:r>
        <w:rPr>
          <w:rFonts w:ascii="arial" w:eastAsia="arial" w:hAnsi="arial" w:cs="arial"/>
          <w:color w:val="000000"/>
          <w:sz w:val="20"/>
          <w:lang w:val="en-US" w:eastAsia="en-US" w:bidi="ar-SA"/>
        </w:rPr>
        <w:t xml:space="preserve">, at para. 43). The operating premise here is that inadvertent, technical or otherwise minor infringements impact less upon the rule of law and, therefore, upon the reputation of the administration of justice than wilful or reckless disregard of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w:t>
      </w:r>
      <w:r>
        <w:rPr>
          <w:rFonts w:ascii="arial" w:eastAsia="arial" w:hAnsi="arial" w:cs="arial"/>
          <w:i/>
          <w:color w:val="000000"/>
          <w:sz w:val="20"/>
          <w:lang w:val="en-US" w:eastAsia="en-US" w:bidi="ar-SA"/>
        </w:rPr>
        <w:t>Grant</w:t>
      </w:r>
      <w:r>
        <w:rPr>
          <w:rFonts w:ascii="arial" w:eastAsia="arial" w:hAnsi="arial" w:cs="arial"/>
          <w:color w:val="000000"/>
          <w:sz w:val="20"/>
          <w:lang w:val="en-US" w:eastAsia="en-US" w:bidi="ar-SA"/>
        </w:rPr>
        <w:t xml:space="preserve">, at para. 74; </w:t>
      </w:r>
      <w:r>
        <w:rPr>
          <w:rFonts w:ascii="arial" w:eastAsia="arial" w:hAnsi="arial" w:cs="arial"/>
          <w:i/>
          <w:color w:val="000000"/>
          <w:sz w:val="20"/>
          <w:lang w:val="en-US" w:eastAsia="en-US" w:bidi="ar-SA"/>
        </w:rPr>
        <w:t>Harrison</w:t>
      </w:r>
      <w:r>
        <w:rPr>
          <w:rFonts w:ascii="arial" w:eastAsia="arial" w:hAnsi="arial" w:cs="arial"/>
          <w:color w:val="000000"/>
          <w:sz w:val="20"/>
          <w:lang w:val="en-US" w:eastAsia="en-US" w:bidi="ar-SA"/>
        </w:rPr>
        <w:t xml:space="preserve">, at para. 22). Further, as this Court held in </w:t>
      </w:r>
      <w:r>
        <w:rPr>
          <w:rFonts w:ascii="arial" w:eastAsia="arial" w:hAnsi="arial" w:cs="arial"/>
          <w:i/>
          <w:color w:val="000000"/>
          <w:sz w:val="20"/>
          <w:lang w:val="en-US" w:eastAsia="en-US" w:bidi="ar-SA"/>
        </w:rPr>
        <w:t>R. v. Buhay</w:t>
      </w:r>
      <w:r>
        <w:rPr>
          <w:rFonts w:ascii="arial" w:eastAsia="arial" w:hAnsi="arial" w:cs="arial"/>
          <w:color w:val="000000"/>
          <w:sz w:val="20"/>
          <w:lang w:val="en-US" w:eastAsia="en-US" w:bidi="ar-SA"/>
        </w:rPr>
        <w:t xml:space="preserve">, </w:t>
      </w:r>
      <w:hyperlink r:id="rId591" w:history="1">
        <w:r>
          <w:rPr>
            <w:rFonts w:ascii="arial" w:eastAsia="arial" w:hAnsi="arial" w:cs="arial"/>
            <w:i/>
            <w:color w:val="0077CC"/>
            <w:sz w:val="20"/>
            <w:u w:val="single"/>
            <w:shd w:val="clear" w:color="auto" w:fill="FFFFFF"/>
            <w:lang w:val="en-US" w:eastAsia="en-US" w:bidi="ar-SA"/>
          </w:rPr>
          <w:t>2003 SCC 30</w:t>
        </w:r>
      </w:hyperlink>
      <w:r>
        <w:rPr>
          <w:rFonts w:ascii="arial" w:eastAsia="arial" w:hAnsi="arial" w:cs="arial"/>
          <w:color w:val="000000"/>
          <w:sz w:val="20"/>
          <w:lang w:val="en-US" w:eastAsia="en-US" w:bidi="ar-SA"/>
        </w:rPr>
        <w:t xml:space="preserve">, </w:t>
      </w:r>
      <w:hyperlink r:id="rId591" w:history="1">
        <w:r>
          <w:rPr>
            <w:rFonts w:ascii="arial" w:eastAsia="arial" w:hAnsi="arial" w:cs="arial"/>
            <w:i/>
            <w:color w:val="0077CC"/>
            <w:sz w:val="20"/>
            <w:u w:val="single"/>
            <w:shd w:val="clear" w:color="auto" w:fill="FFFFFF"/>
            <w:lang w:val="en-US" w:eastAsia="en-US" w:bidi="ar-SA"/>
          </w:rPr>
          <w:t>[2003] 1 S.C.R. 631</w:t>
        </w:r>
      </w:hyperlink>
      <w:r>
        <w:rPr>
          <w:rFonts w:ascii="arial" w:eastAsia="arial" w:hAnsi="arial" w:cs="arial"/>
          <w:color w:val="000000"/>
          <w:sz w:val="20"/>
          <w:lang w:val="en-US" w:eastAsia="en-US" w:bidi="ar-SA"/>
        </w:rPr>
        <w:t xml:space="preserve">, at para. 59, and </w:t>
      </w:r>
      <w:r>
        <w:rPr>
          <w:rFonts w:ascii="arial" w:eastAsia="arial" w:hAnsi="arial" w:cs="arial"/>
          <w:i/>
          <w:color w:val="000000"/>
          <w:sz w:val="20"/>
          <w:lang w:val="en-US" w:eastAsia="en-US" w:bidi="ar-SA"/>
        </w:rPr>
        <w:t>Paterson</w:t>
      </w:r>
      <w:r>
        <w:rPr>
          <w:rFonts w:ascii="arial" w:eastAsia="arial" w:hAnsi="arial" w:cs="arial"/>
          <w:color w:val="000000"/>
          <w:sz w:val="20"/>
          <w:lang w:val="en-US" w:eastAsia="en-US" w:bidi="ar-SA"/>
        </w:rPr>
        <w:t xml:space="preserve">, at para. 44, a "good faith" error on the part of the police must be reasonable and is not demonstrated by pointing to mere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meeting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standards. In other words, the reputation of the administration of justice requires that courts should dissociate themselves from evidence obtained as a result of police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meeting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standards.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[147] But an absence of bad faith does not equate to a positive finding of good faith and the officers were not acting in "good faith" simply because they were not engaged in racial profiling. Rather, for state misconduct to be excused as a "good faith" (and, therefore, minor) infringement of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the state must show that the police "conducted themselves in [a] manner . . . consistent with what they subjectively, reasonably, and non-negligently believe[d] to be the law" (</w:t>
      </w:r>
      <w:r>
        <w:rPr>
          <w:rFonts w:ascii="arial" w:eastAsia="arial" w:hAnsi="arial" w:cs="arial"/>
          <w:i/>
          <w:color w:val="000000"/>
          <w:sz w:val="20"/>
          <w:lang w:val="en-US" w:eastAsia="en-US" w:bidi="ar-SA"/>
        </w:rPr>
        <w:t>R. v. Washington</w:t>
      </w:r>
      <w:r>
        <w:rPr>
          <w:rFonts w:ascii="arial" w:eastAsia="arial" w:hAnsi="arial" w:cs="arial"/>
          <w:color w:val="000000"/>
          <w:sz w:val="20"/>
          <w:lang w:val="en-US" w:eastAsia="en-US" w:bidi="ar-SA"/>
        </w:rPr>
        <w:t xml:space="preserve">, </w:t>
      </w:r>
      <w:hyperlink r:id="rId592" w:history="1">
        <w:r>
          <w:rPr>
            <w:rFonts w:ascii="arial" w:eastAsia="arial" w:hAnsi="arial" w:cs="arial"/>
            <w:i/>
            <w:color w:val="0077CC"/>
            <w:sz w:val="20"/>
            <w:u w:val="single"/>
            <w:shd w:val="clear" w:color="auto" w:fill="FFFFFF"/>
            <w:lang w:val="en-US" w:eastAsia="en-US" w:bidi="ar-SA"/>
          </w:rPr>
          <w:t>2007 BCCA 540</w:t>
        </w:r>
      </w:hyperlink>
      <w:r>
        <w:rPr>
          <w:rFonts w:ascii="arial" w:eastAsia="arial" w:hAnsi="arial" w:cs="arial"/>
          <w:color w:val="000000"/>
          <w:sz w:val="20"/>
          <w:lang w:val="en-US" w:eastAsia="en-US" w:bidi="ar-SA"/>
        </w:rPr>
        <w:t xml:space="preserve">, </w:t>
      </w:r>
      <w:hyperlink r:id="rId592" w:history="1">
        <w:r>
          <w:rPr>
            <w:rFonts w:ascii="arial" w:eastAsia="arial" w:hAnsi="arial" w:cs="arial"/>
            <w:i/>
            <w:color w:val="0077CC"/>
            <w:sz w:val="20"/>
            <w:u w:val="single"/>
            <w:shd w:val="clear" w:color="auto" w:fill="FFFFFF"/>
            <w:lang w:val="en-US" w:eastAsia="en-US" w:bidi="ar-SA"/>
          </w:rPr>
          <w:t>248 B.C.A.C. 65</w:t>
        </w:r>
      </w:hyperlink>
      <w:r>
        <w:rPr>
          <w:rFonts w:ascii="arial" w:eastAsia="arial" w:hAnsi="arial" w:cs="arial"/>
          <w:color w:val="000000"/>
          <w:sz w:val="20"/>
          <w:lang w:val="en-US" w:eastAsia="en-US" w:bidi="ar-SA"/>
        </w:rPr>
        <w:t>, at para. 78).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(b) Impact on the </w:t>
      </w:r>
      <w:r>
        <w:rPr>
          <w:rFonts w:ascii="arial" w:eastAsia="arial" w:hAnsi="arial" w:cs="arial"/>
          <w:b/>
          <w:i/>
          <w:color w:val="000000"/>
          <w:sz w:val="20"/>
          <w:lang w:val="en-US" w:eastAsia="en-US" w:bidi="ar-SA"/>
        </w:rPr>
        <w:t>Charter</w:t>
      </w:r>
      <w:r>
        <w:rPr>
          <w:rFonts w:ascii="arial" w:eastAsia="arial" w:hAnsi="arial" w:cs="arial"/>
          <w:b/>
          <w:color w:val="000000"/>
          <w:sz w:val="20"/>
          <w:lang w:val="en-US" w:eastAsia="en-US" w:bidi="ar-SA"/>
        </w:rPr>
        <w:t>-Protected Interests of the Accused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[151] The second </w:t>
      </w:r>
      <w:r>
        <w:rPr>
          <w:rFonts w:ascii="arial" w:eastAsia="arial" w:hAnsi="arial" w:cs="arial"/>
          <w:i/>
          <w:color w:val="000000"/>
          <w:sz w:val="20"/>
          <w:lang w:val="en-US" w:eastAsia="en-US" w:bidi="ar-SA"/>
        </w:rPr>
        <w:t>Grant</w:t>
      </w:r>
      <w:r>
        <w:rPr>
          <w:rFonts w:ascii="arial" w:eastAsia="arial" w:hAnsi="arial" w:cs="arial"/>
          <w:color w:val="000000"/>
          <w:sz w:val="20"/>
          <w:lang w:val="en-US" w:eastAsia="en-US" w:bidi="ar-SA"/>
        </w:rPr>
        <w:t xml:space="preserve"> line of inquiry requires us to consider whether, from the standpoint of society's interest in respect for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admission of evidence tainted by a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breach would bring the administration of justice into disrepute. This entails asking whether and to what extent, in the totality of the circumstances,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breach "actually undermined the interests protected by the right infringed" (</w:t>
      </w:r>
      <w:r>
        <w:rPr>
          <w:rFonts w:ascii="arial" w:eastAsia="arial" w:hAnsi="arial" w:cs="arial"/>
          <w:i/>
          <w:color w:val="000000"/>
          <w:sz w:val="20"/>
          <w:lang w:val="en-US" w:eastAsia="en-US" w:bidi="ar-SA"/>
        </w:rPr>
        <w:t>Grant</w:t>
      </w:r>
      <w:r>
        <w:rPr>
          <w:rFonts w:ascii="arial" w:eastAsia="arial" w:hAnsi="arial" w:cs="arial"/>
          <w:color w:val="000000"/>
          <w:sz w:val="20"/>
          <w:lang w:val="en-US" w:eastAsia="en-US" w:bidi="ar-SA"/>
        </w:rPr>
        <w:t xml:space="preserve">, at para. 76). Like the first inquiry under </w:t>
      </w:r>
      <w:r>
        <w:rPr>
          <w:rFonts w:ascii="arial" w:eastAsia="arial" w:hAnsi="arial" w:cs="arial"/>
          <w:i/>
          <w:color w:val="000000"/>
          <w:sz w:val="20"/>
          <w:lang w:val="en-US" w:eastAsia="en-US" w:bidi="ar-SA"/>
        </w:rPr>
        <w:t>Grant</w:t>
      </w:r>
      <w:r>
        <w:rPr>
          <w:rFonts w:ascii="arial" w:eastAsia="arial" w:hAnsi="arial" w:cs="arial"/>
          <w:color w:val="000000"/>
          <w:sz w:val="20"/>
          <w:lang w:val="en-US" w:eastAsia="en-US" w:bidi="ar-SA"/>
        </w:rPr>
        <w:t xml:space="preserve">, this entails answering a question of degree of seriousness: "[t]he more serious the impact on the accused's protected interests, the greater the risk that admission of the evidence may signal to the public that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however high-sounding, are of little actual avail to the citizen, breeding public cynicism and bringing the administration of justice into disrepute" (</w:t>
      </w:r>
      <w:r>
        <w:rPr>
          <w:rFonts w:ascii="arial" w:eastAsia="arial" w:hAnsi="arial" w:cs="arial"/>
          <w:i/>
          <w:color w:val="000000"/>
          <w:sz w:val="20"/>
          <w:lang w:val="en-US" w:eastAsia="en-US" w:bidi="ar-SA"/>
        </w:rPr>
        <w:t>Grant</w:t>
      </w:r>
      <w:r>
        <w:rPr>
          <w:rFonts w:ascii="arial" w:eastAsia="arial" w:hAnsi="arial" w:cs="arial"/>
          <w:color w:val="000000"/>
          <w:sz w:val="20"/>
          <w:lang w:val="en-US" w:eastAsia="en-US" w:bidi="ar-SA"/>
        </w:rPr>
        <w:t>, at para. 76).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(c) Society's Interest in Adjudication of the Case on its Merits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[158] While we have observed that the third line of inquiry under </w:t>
      </w:r>
      <w:r>
        <w:rPr>
          <w:rFonts w:ascii="arial" w:eastAsia="arial" w:hAnsi="arial" w:cs="arial"/>
          <w:i/>
          <w:color w:val="000000"/>
          <w:sz w:val="20"/>
          <w:lang w:val="en-US" w:eastAsia="en-US" w:bidi="ar-SA"/>
        </w:rPr>
        <w:t>Grant</w:t>
      </w:r>
      <w:r>
        <w:rPr>
          <w:rFonts w:ascii="arial" w:eastAsia="arial" w:hAnsi="arial" w:cs="arial"/>
          <w:color w:val="000000"/>
          <w:sz w:val="20"/>
          <w:lang w:val="en-US" w:eastAsia="en-US" w:bidi="ar-SA"/>
        </w:rPr>
        <w:t xml:space="preserve"> typically pulls towards inclusion of the evidence on the basis that its admission would not bring the administration of justice into disrepute, not all considerations will pull in this direction. While this inquiry is concerned with the societal interest in "an adjudication on the merits" (</w:t>
      </w:r>
      <w:r>
        <w:rPr>
          <w:rFonts w:ascii="arial" w:eastAsia="arial" w:hAnsi="arial" w:cs="arial"/>
          <w:i/>
          <w:color w:val="000000"/>
          <w:sz w:val="20"/>
          <w:lang w:val="en-US" w:eastAsia="en-US" w:bidi="ar-SA"/>
        </w:rPr>
        <w:t>Grant</w:t>
      </w:r>
      <w:r>
        <w:rPr>
          <w:rFonts w:ascii="arial" w:eastAsia="arial" w:hAnsi="arial" w:cs="arial"/>
          <w:color w:val="000000"/>
          <w:sz w:val="20"/>
          <w:lang w:val="en-US" w:eastAsia="en-US" w:bidi="ar-SA"/>
        </w:rPr>
        <w:t>, at para. 85), the focus, as we have already explained, must be upon the impact of state misconduct upon the reputation of the administration of justice. While disrepute may result from the exclusion of relevant and reliable evidence (</w:t>
      </w:r>
      <w:r>
        <w:rPr>
          <w:rFonts w:ascii="arial" w:eastAsia="arial" w:hAnsi="arial" w:cs="arial"/>
          <w:i/>
          <w:color w:val="000000"/>
          <w:sz w:val="20"/>
          <w:lang w:val="en-US" w:eastAsia="en-US" w:bidi="ar-SA"/>
        </w:rPr>
        <w:t>Grant</w:t>
      </w:r>
      <w:r>
        <w:rPr>
          <w:rFonts w:ascii="arial" w:eastAsia="arial" w:hAnsi="arial" w:cs="arial"/>
          <w:color w:val="000000"/>
          <w:sz w:val="20"/>
          <w:lang w:val="en-US" w:eastAsia="en-US" w:bidi="ar-SA"/>
        </w:rPr>
        <w:t>, at para. 81), so too might it result from admitting evidence that deprives the accused of a fair hearing or that amounts to "judicial condonation of unacceptable conduct by the investigatory and prosecutorial agencies" (</w:t>
      </w:r>
      <w:r>
        <w:rPr>
          <w:rFonts w:ascii="arial" w:eastAsia="arial" w:hAnsi="arial" w:cs="arial"/>
          <w:i/>
          <w:color w:val="000000"/>
          <w:sz w:val="20"/>
          <w:lang w:val="en-US" w:eastAsia="en-US" w:bidi="ar-SA"/>
        </w:rPr>
        <w:t>Collins</w:t>
      </w:r>
      <w:r>
        <w:rPr>
          <w:rFonts w:ascii="arial" w:eastAsia="arial" w:hAnsi="arial" w:cs="arial"/>
          <w:color w:val="000000"/>
          <w:sz w:val="20"/>
          <w:lang w:val="en-US" w:eastAsia="en-US" w:bidi="ar-SA"/>
        </w:rPr>
        <w:t>, at p. 281). An "adjudication on the merits", in a rule of law state, presupposes an adjudication grounded in legality and respect for longstanding constitutional norms.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u w:val="single"/>
          <w:lang w:val="en-US" w:eastAsia="en-US" w:bidi="ar-SA"/>
        </w:rPr>
        <w:t>(2) Would the Admission of the Evidence Bring the Administration of Justice Into Disrepute</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[160] In view of our application of the three </w:t>
      </w:r>
      <w:r>
        <w:rPr>
          <w:rFonts w:ascii="arial" w:eastAsia="arial" w:hAnsi="arial" w:cs="arial"/>
          <w:i/>
          <w:color w:val="000000"/>
          <w:sz w:val="20"/>
          <w:lang w:val="en-US" w:eastAsia="en-US" w:bidi="ar-SA"/>
        </w:rPr>
        <w:t>Grant</w:t>
      </w:r>
      <w:r>
        <w:rPr>
          <w:rFonts w:ascii="arial" w:eastAsia="arial" w:hAnsi="arial" w:cs="arial"/>
          <w:color w:val="000000"/>
          <w:sz w:val="20"/>
          <w:lang w:val="en-US" w:eastAsia="en-US" w:bidi="ar-SA"/>
        </w:rPr>
        <w:t xml:space="preserve"> lines of inquiry to the facts of this appeal, and with great respect to the courts below, we do not find this to be a close call. The police crossed a bright line when, without permission or reasonable grounds, they entered into a private backyard whose occupants were "just talking" and "doing nothing wrong". The police requested identification, told one of the occupants to keep his hands visible and asked pointed questions about who they were, where they lived, and what they were doing in the backyard. This is precisely the sort of police conduct that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was intended to abolish. Admission of the fruits of that conduct would bring the administration of justice into disrepute. This Court has long recognized that, as a general principle, the end does not justify the means (</w:t>
      </w:r>
      <w:r>
        <w:rPr>
          <w:rFonts w:ascii="arial" w:eastAsia="arial" w:hAnsi="arial" w:cs="arial"/>
          <w:i/>
          <w:color w:val="000000"/>
          <w:sz w:val="20"/>
          <w:lang w:val="en-US" w:eastAsia="en-US" w:bidi="ar-SA"/>
        </w:rPr>
        <w:t>R. v. Mack</w:t>
      </w:r>
      <w:r>
        <w:rPr>
          <w:rFonts w:ascii="arial" w:eastAsia="arial" w:hAnsi="arial" w:cs="arial"/>
          <w:color w:val="000000"/>
          <w:sz w:val="20"/>
          <w:lang w:val="en-US" w:eastAsia="en-US" w:bidi="ar-SA"/>
        </w:rPr>
        <w:t xml:space="preserve">, </w:t>
      </w:r>
      <w:hyperlink r:id="rId593" w:history="1">
        <w:r>
          <w:rPr>
            <w:rFonts w:ascii="arial" w:eastAsia="arial" w:hAnsi="arial" w:cs="arial"/>
            <w:i/>
            <w:color w:val="0077CC"/>
            <w:sz w:val="20"/>
            <w:u w:val="single"/>
            <w:shd w:val="clear" w:color="auto" w:fill="FFFFFF"/>
            <w:lang w:val="en-US" w:eastAsia="en-US" w:bidi="ar-SA"/>
          </w:rPr>
          <w:t>[1988] 2 S.C.R. 903</w:t>
        </w:r>
      </w:hyperlink>
      <w:r>
        <w:rPr>
          <w:rFonts w:ascii="arial" w:eastAsia="arial" w:hAnsi="arial" w:cs="arial"/>
          <w:color w:val="000000"/>
          <w:sz w:val="20"/>
          <w:lang w:val="en-US" w:eastAsia="en-US" w:bidi="ar-SA"/>
        </w:rPr>
        <w:t>, at p. 961). The evidence must be excluded.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APPLICATION OF PRINCIPLES TO THE PRESENT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 s. 24(1) 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Section 24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reads: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ENFORCEMENT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Enforcement of guaranteed rights and freedoms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24.(1) Anyone whose rights or freedoms, as guaranteed by this Charter, have been infringed or denied may apply to a court of competent jurisdiction to obtain such remedy as the court considers appropriate and just in the circumstances.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Exclusion of evidence bringing administration of justice into disrepute</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in proceedings under subsection (1), a court concludes that evidence was obtained in a manner that infringed or denied any rights or freedoms guaranteed by this Charter, the evidence shall be excluded if it is established that, having regard to all the circumstances, the admission of it in the proceedings would bring the administration of justice into disrepute.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judgment in </w:t>
      </w:r>
      <w:r>
        <w:rPr>
          <w:rFonts w:ascii="arial" w:eastAsia="arial" w:hAnsi="arial" w:cs="arial"/>
          <w:i/>
          <w:color w:val="000000"/>
          <w:sz w:val="20"/>
          <w:lang w:val="en-US" w:eastAsia="en-US" w:bidi="ar-SA"/>
        </w:rPr>
        <w:t>Omar</w:t>
      </w:r>
      <w:r>
        <w:rPr>
          <w:rFonts w:ascii="arial" w:eastAsia="arial" w:hAnsi="arial" w:cs="arial"/>
          <w:color w:val="000000"/>
          <w:sz w:val="20"/>
          <w:lang w:val="en-US" w:eastAsia="en-US" w:bidi="ar-SA"/>
        </w:rPr>
        <w:t xml:space="preserve"> was delivered orally at the conclusion of the hearing in the Supreme Court of Canada. The printed version of the judgment consists of a single page. However, in addition to allowing the appeal substantially for the reasons of the dissenting judge in the Ontario Court of Appeal, the majority added the following intriguing observation: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may be that consideration should be given to the availability, under s. 24(1) of the </w:t>
      </w:r>
      <w:r>
        <w:rPr>
          <w:rFonts w:ascii="arial" w:eastAsia="arial" w:hAnsi="arial" w:cs="arial"/>
          <w:i/>
          <w:color w:val="000000"/>
          <w:sz w:val="20"/>
          <w:lang w:val="en-US" w:eastAsia="en-US" w:bidi="ar-SA"/>
        </w:rPr>
        <w:t>Canadian Charter of Rights and Freedoms</w:t>
      </w:r>
      <w:r>
        <w:rPr>
          <w:rFonts w:ascii="arial" w:eastAsia="arial" w:hAnsi="arial" w:cs="arial"/>
          <w:color w:val="000000"/>
          <w:sz w:val="20"/>
          <w:lang w:val="en-US" w:eastAsia="en-US" w:bidi="ar-SA"/>
        </w:rPr>
        <w:t>, of remedies other than exclusion of evidence when dealing with s. 24(2), but the majority would leave this question for another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In the present case, the Court brought this suggestion to the attention of counsel and queried whether any s. 24(1) remedy was being pursued. Counsel advised the Court that the only remedy being sought was exclusion of evidence at trial pursuant to s. 24(2)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Section 24(2) threshold requirement: Evidence obtained "in a manner ..</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breach in the present case was in respect of s. 8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(unreasonable search or seizure) and related to the warrantless "clearing" of unit 507 </w:t>
      </w:r>
      <w:r>
        <w:rPr>
          <w:rFonts w:ascii="arial" w:eastAsia="arial" w:hAnsi="arial" w:cs="arial"/>
          <w:color w:val="000000"/>
          <w:sz w:val="20"/>
          <w:u w:val="single"/>
          <w:lang w:val="en-US" w:eastAsia="en-US" w:bidi="ar-SA"/>
        </w:rPr>
        <w:t>after</w:t>
      </w:r>
      <w:r>
        <w:rPr>
          <w:rFonts w:ascii="arial" w:eastAsia="arial" w:hAnsi="arial" w:cs="arial"/>
          <w:color w:val="000000"/>
          <w:sz w:val="20"/>
          <w:lang w:val="en-US" w:eastAsia="en-US" w:bidi="ar-SA"/>
        </w:rPr>
        <w:t xml:space="preserve"> Mr. Oswald had been arrested and his backpack searched by the police. The question arises whether in such circumstances, the evidence seized from Mr. Oswald's backpack can rightly be said to have been "obtained in a manner that infringed or denied any [of his] rights or freedoms guaranteed by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Crown agrees that the evidence seized from suite 507 is properly subject to a s. 24(2) analysis in the circumstances of the case, however, the Crown disagrees with Mr. Oswald that the same is true of the evidence seized from the backpack. It argues that the necessary proximity does not exist and any connection between the illegal search of suite 507 and the evidence seized immediately upon Mr. Oswald's arrest is far too "remote and tenuous".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As recently noted by our Court of Appeal in </w:t>
      </w:r>
      <w:r>
        <w:rPr>
          <w:rFonts w:ascii="arial" w:eastAsia="arial" w:hAnsi="arial" w:cs="arial"/>
          <w:i/>
          <w:color w:val="000000"/>
          <w:sz w:val="20"/>
          <w:lang w:val="en-US" w:eastAsia="en-US" w:bidi="ar-SA"/>
        </w:rPr>
        <w:t>R. v. Robertson</w:t>
      </w:r>
      <w:r>
        <w:rPr>
          <w:rFonts w:ascii="arial" w:eastAsia="arial" w:hAnsi="arial" w:cs="arial"/>
          <w:color w:val="000000"/>
          <w:sz w:val="20"/>
          <w:lang w:val="en-US" w:eastAsia="en-US" w:bidi="ar-SA"/>
        </w:rPr>
        <w:t xml:space="preserve">, </w:t>
      </w:r>
      <w:hyperlink r:id="rId594" w:history="1">
        <w:r>
          <w:rPr>
            <w:rFonts w:ascii="arial" w:eastAsia="arial" w:hAnsi="arial" w:cs="arial"/>
            <w:i/>
            <w:color w:val="0077CC"/>
            <w:sz w:val="20"/>
            <w:u w:val="single"/>
            <w:shd w:val="clear" w:color="auto" w:fill="FFFFFF"/>
            <w:lang w:val="en-US" w:eastAsia="en-US" w:bidi="ar-SA"/>
          </w:rPr>
          <w:t>2019 BCCA 116</w:t>
        </w:r>
      </w:hyperlink>
      <w:r>
        <w:rPr>
          <w:rFonts w:ascii="arial" w:eastAsia="arial" w:hAnsi="arial" w:cs="arial"/>
          <w:color w:val="000000"/>
          <w:sz w:val="20"/>
          <w:lang w:val="en-US" w:eastAsia="en-US" w:bidi="ar-SA"/>
        </w:rPr>
        <w:t xml:space="preserve"> at para. 50, there are two separate steps engaged in any s. 24(2) 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are two components to a s. 24(2) analysis. Before excluding evidence under s. 24(2)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the Court must be satisfied: (1) that the evidence was obtained in a manner that infringed or denied a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 and (2) that the admission of the evidence in the proceedings would bring the administration of justice into disrepute.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Step one is often referred to as "the threshold stage" of the s. 24(2) inquiry and step two is often called "the evaluative stage" (see </w:t>
      </w:r>
      <w:r>
        <w:rPr>
          <w:rFonts w:ascii="arial" w:eastAsia="arial" w:hAnsi="arial" w:cs="arial"/>
          <w:i/>
          <w:color w:val="000000"/>
          <w:sz w:val="20"/>
          <w:lang w:val="en-US" w:eastAsia="en-US" w:bidi="ar-SA"/>
        </w:rPr>
        <w:t>Robertson</w:t>
      </w:r>
      <w:r>
        <w:rPr>
          <w:rFonts w:ascii="arial" w:eastAsia="arial" w:hAnsi="arial" w:cs="arial"/>
          <w:color w:val="000000"/>
          <w:sz w:val="20"/>
          <w:lang w:val="en-US" w:eastAsia="en-US" w:bidi="ar-SA"/>
        </w:rPr>
        <w:t xml:space="preserve">, para. 56). The three lines of inquiry identified in </w:t>
      </w:r>
      <w:r>
        <w:rPr>
          <w:rFonts w:ascii="arial" w:eastAsia="arial" w:hAnsi="arial" w:cs="arial"/>
          <w:i/>
          <w:color w:val="000000"/>
          <w:sz w:val="20"/>
          <w:lang w:val="en-US" w:eastAsia="en-US" w:bidi="ar-SA"/>
        </w:rPr>
        <w:t>R. v. Grant</w:t>
      </w:r>
      <w:r>
        <w:rPr>
          <w:rFonts w:ascii="arial" w:eastAsia="arial" w:hAnsi="arial" w:cs="arial"/>
          <w:color w:val="000000"/>
          <w:sz w:val="20"/>
          <w:lang w:val="en-US" w:eastAsia="en-US" w:bidi="ar-SA"/>
        </w:rPr>
        <w:t xml:space="preserve">, </w:t>
      </w:r>
      <w:hyperlink r:id="rId595" w:history="1">
        <w:r>
          <w:rPr>
            <w:rFonts w:ascii="arial" w:eastAsia="arial" w:hAnsi="arial" w:cs="arial"/>
            <w:i/>
            <w:color w:val="0077CC"/>
            <w:sz w:val="20"/>
            <w:u w:val="single"/>
            <w:shd w:val="clear" w:color="auto" w:fill="FFFFFF"/>
            <w:lang w:val="en-US" w:eastAsia="en-US" w:bidi="ar-SA"/>
          </w:rPr>
          <w:t>2009 SCC 32</w:t>
        </w:r>
      </w:hyperlink>
      <w:r>
        <w:rPr>
          <w:rFonts w:ascii="arial" w:eastAsia="arial" w:hAnsi="arial" w:cs="arial"/>
          <w:color w:val="000000"/>
          <w:sz w:val="20"/>
          <w:lang w:val="en-US" w:eastAsia="en-US" w:bidi="ar-SA"/>
        </w:rPr>
        <w:t xml:space="preserve">, are part of step two, the evaluative stage. Step one, however, involves a purposive inquiry and the strength of any connection between the piece of evidence in question and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breach in question is a determination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 v. Mack</w:t>
      </w:r>
      <w:r>
        <w:rPr>
          <w:rFonts w:ascii="arial" w:eastAsia="arial" w:hAnsi="arial" w:cs="arial"/>
          <w:color w:val="000000"/>
          <w:sz w:val="20"/>
          <w:lang w:val="en-US" w:eastAsia="en-US" w:bidi="ar-SA"/>
        </w:rPr>
        <w:t xml:space="preserve">, </w:t>
      </w:r>
      <w:hyperlink r:id="rId596" w:history="1">
        <w:r>
          <w:rPr>
            <w:rFonts w:ascii="arial" w:eastAsia="arial" w:hAnsi="arial" w:cs="arial"/>
            <w:i/>
            <w:color w:val="0077CC"/>
            <w:sz w:val="20"/>
            <w:u w:val="single"/>
            <w:shd w:val="clear" w:color="auto" w:fill="FFFFFF"/>
            <w:lang w:val="en-US" w:eastAsia="en-US" w:bidi="ar-SA"/>
          </w:rPr>
          <w:t>2014 SCC 58</w:t>
        </w:r>
      </w:hyperlink>
      <w:r>
        <w:rPr>
          <w:rFonts w:ascii="arial" w:eastAsia="arial" w:hAnsi="arial" w:cs="arial"/>
          <w:color w:val="000000"/>
          <w:sz w:val="20"/>
          <w:lang w:val="en-US" w:eastAsia="en-US" w:bidi="ar-SA"/>
        </w:rPr>
        <w:t>, the Court summarized how judges should assess the threshold question of whether evidence was obtained in a manner that infringed an accused's rights: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[38] Whether evidence was "obtained in a manner" that infringed an accused's rights under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depends on the nature of the connection between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violation and the evidence that was ultimately obtained. The courts have adopted a purposive approach to this inquiry. Establishing a strict causal relationship between the breach and the </w:t>
      </w:r>
      <w:r>
        <w:rPr>
          <w:rFonts w:ascii="arial" w:eastAsia="arial" w:hAnsi="arial" w:cs="arial"/>
          <w:color w:val="000000"/>
          <w:sz w:val="20"/>
          <w:u w:val="single"/>
          <w:lang w:val="en-US" w:eastAsia="en-US" w:bidi="ar-SA"/>
        </w:rPr>
        <w:t>subsequent discovery</w:t>
      </w:r>
      <w:r>
        <w:rPr>
          <w:rFonts w:ascii="arial" w:eastAsia="arial" w:hAnsi="arial" w:cs="arial"/>
          <w:color w:val="000000"/>
          <w:sz w:val="20"/>
          <w:lang w:val="en-US" w:eastAsia="en-US" w:bidi="ar-SA"/>
        </w:rPr>
        <w:t xml:space="preserve"> of evidence is unnecessary. Evidence will be tainted if the breach and the discovery of the impugned evidence are part of the same transaction or course of conduct. The required connection between the breach and the </w:t>
      </w:r>
      <w:r>
        <w:rPr>
          <w:rFonts w:ascii="arial" w:eastAsia="arial" w:hAnsi="arial" w:cs="arial"/>
          <w:color w:val="000000"/>
          <w:sz w:val="20"/>
          <w:u w:val="single"/>
          <w:lang w:val="en-US" w:eastAsia="en-US" w:bidi="ar-SA"/>
        </w:rPr>
        <w:t>subsequent</w:t>
      </w:r>
      <w:r>
        <w:rPr>
          <w:rFonts w:ascii="arial" w:eastAsia="arial" w:hAnsi="arial" w:cs="arial"/>
          <w:color w:val="000000"/>
          <w:sz w:val="20"/>
          <w:lang w:val="en-US" w:eastAsia="en-US" w:bidi="ar-SA"/>
        </w:rPr>
        <w:t xml:space="preserve"> statement may be temporal, contextual, causal, or a combination of the three. A "remote" or "tenuous" connection between the breach and the impugned evidence will not suffice (</w:t>
      </w:r>
      <w:r>
        <w:rPr>
          <w:rFonts w:ascii="arial" w:eastAsia="arial" w:hAnsi="arial" w:cs="arial"/>
          <w:i/>
          <w:color w:val="000000"/>
          <w:sz w:val="20"/>
          <w:lang w:val="en-US" w:eastAsia="en-US" w:bidi="ar-SA"/>
        </w:rPr>
        <w:t>Wittwer</w:t>
      </w:r>
      <w:r>
        <w:rPr>
          <w:rFonts w:ascii="arial" w:eastAsia="arial" w:hAnsi="arial" w:cs="arial"/>
          <w:color w:val="000000"/>
          <w:sz w:val="20"/>
          <w:lang w:val="en-US" w:eastAsia="en-US" w:bidi="ar-SA"/>
        </w:rPr>
        <w:t>, at para. 21).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[39] The strength of the connection between a piece of evidence and a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breach is a question of fact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Mr. Oswald argues that there is a sufficient connection between the seizure of the backpack evidence and the subsequent warrantless clearing search of unit 507 to trigger step one, the threshold stage of the s. 24(2) inquiry. He points out his arrest, the backpack search, and the entry into unit 507 all occurred within a period of approximately 30 minutes on the same day. All of the events were related to an investigation into alleged drug trafficking at unit 507, whether by Mr. Oswald or others. The key that was seized at the scene of the arrest was used to gain entry into the unit. While there have been no </w:t>
      </w:r>
      <w:r>
        <w:rPr>
          <w:rFonts w:ascii="arial" w:eastAsia="arial" w:hAnsi="arial" w:cs="arial"/>
          <w:color w:val="000000"/>
          <w:sz w:val="20"/>
          <w:u w:val="single"/>
          <w:lang w:val="en-US" w:eastAsia="en-US" w:bidi="ar-SA"/>
        </w:rPr>
        <w:t>direct</w:t>
      </w:r>
      <w:r>
        <w:rPr>
          <w:rFonts w:ascii="arial" w:eastAsia="arial" w:hAnsi="arial" w:cs="arial"/>
          <w:color w:val="000000"/>
          <w:sz w:val="20"/>
          <w:lang w:val="en-US" w:eastAsia="en-US" w:bidi="ar-SA"/>
        </w:rPr>
        <w:t xml:space="preserve"> causal connection between the subsequent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breach and the earlier seizure of the backpack evidence, Mr. Oswald submits there was more than an adequate temporal or contextual connection between the two.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cannot accept Mr. Oswald's submissions on these points. The connections he raises are only superficial. From a legal perspective, I consider them to be remote and tenuous. I have already determined on the facts and the law that Mr. Oswald's arrest and the seizure of the backpack evidence incidental to his arrest was lawful. Those events were triggered by Mr. Oswald committing an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extract from </w:t>
      </w:r>
      <w:r>
        <w:rPr>
          <w:rFonts w:ascii="arial" w:eastAsia="arial" w:hAnsi="arial" w:cs="arial"/>
          <w:i/>
          <w:color w:val="000000"/>
          <w:sz w:val="20"/>
          <w:lang w:val="en-US" w:eastAsia="en-US" w:bidi="ar-SA"/>
        </w:rPr>
        <w:t>Mack</w:t>
      </w:r>
      <w:r>
        <w:rPr>
          <w:rFonts w:ascii="arial" w:eastAsia="arial" w:hAnsi="arial" w:cs="arial"/>
          <w:color w:val="000000"/>
          <w:sz w:val="20"/>
          <w:lang w:val="en-US" w:eastAsia="en-US" w:bidi="ar-SA"/>
        </w:rPr>
        <w:t xml:space="preserve">, above, referred to the relationship between a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breach and the </w:t>
      </w:r>
      <w:r>
        <w:rPr>
          <w:rFonts w:ascii="arial" w:eastAsia="arial" w:hAnsi="arial" w:cs="arial"/>
          <w:color w:val="000000"/>
          <w:sz w:val="20"/>
          <w:u w:val="single"/>
          <w:lang w:val="en-US" w:eastAsia="en-US" w:bidi="ar-SA"/>
        </w:rPr>
        <w:t>subsequent</w:t>
      </w:r>
      <w:r>
        <w:rPr>
          <w:rFonts w:ascii="arial" w:eastAsia="arial" w:hAnsi="arial" w:cs="arial"/>
          <w:color w:val="000000"/>
          <w:sz w:val="20"/>
          <w:lang w:val="en-US" w:eastAsia="en-US" w:bidi="ar-SA"/>
        </w:rPr>
        <w:t xml:space="preserve"> discovery of evidence. In </w:t>
      </w:r>
      <w:r>
        <w:rPr>
          <w:rFonts w:ascii="arial" w:eastAsia="arial" w:hAnsi="arial" w:cs="arial"/>
          <w:i/>
          <w:color w:val="000000"/>
          <w:sz w:val="20"/>
          <w:lang w:val="en-US" w:eastAsia="en-US" w:bidi="ar-SA"/>
        </w:rPr>
        <w:t>Robertson</w:t>
      </w:r>
      <w:r>
        <w:rPr>
          <w:rFonts w:ascii="arial" w:eastAsia="arial" w:hAnsi="arial" w:cs="arial"/>
          <w:color w:val="000000"/>
          <w:sz w:val="20"/>
          <w:lang w:val="en-US" w:eastAsia="en-US" w:bidi="ar-SA"/>
        </w:rPr>
        <w:t xml:space="preserve"> the s. 10 breach in respect of the accused's wife occurred while the search of the residence was ongoing and hence was sufficiently associated with the breaches of the accused's s. 8 rights in a temporal and contextual manner, if not from a causal connection perspective (para. 62).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 v. Pettit and Pranic</w:t>
      </w:r>
      <w:r>
        <w:rPr>
          <w:rFonts w:ascii="arial" w:eastAsia="arial" w:hAnsi="arial" w:cs="arial"/>
          <w:color w:val="000000"/>
          <w:sz w:val="20"/>
          <w:lang w:val="en-US" w:eastAsia="en-US" w:bidi="ar-SA"/>
        </w:rPr>
        <w:t xml:space="preserve">, </w:t>
      </w:r>
      <w:hyperlink r:id="rId597" w:history="1">
        <w:r>
          <w:rPr>
            <w:rFonts w:ascii="arial" w:eastAsia="arial" w:hAnsi="arial" w:cs="arial"/>
            <w:i/>
            <w:color w:val="0077CC"/>
            <w:sz w:val="20"/>
            <w:u w:val="single"/>
            <w:shd w:val="clear" w:color="auto" w:fill="FFFFFF"/>
            <w:lang w:val="en-US" w:eastAsia="en-US" w:bidi="ar-SA"/>
          </w:rPr>
          <w:t>2003 BCCA 522</w:t>
        </w:r>
      </w:hyperlink>
      <w:r>
        <w:rPr>
          <w:rFonts w:ascii="arial" w:eastAsia="arial" w:hAnsi="arial" w:cs="arial"/>
          <w:color w:val="000000"/>
          <w:sz w:val="20"/>
          <w:lang w:val="en-US" w:eastAsia="en-US" w:bidi="ar-SA"/>
        </w:rPr>
        <w:t xml:space="preserve">, a marihuana grow operation was discovered during the execution of a search warrant. Following completion of the search the homeowners returned to the premises and were arrested. One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breaches alleged in the case was the failure to produce a copy of the warrant to the accused upon demand at the time of his arrest. The Court of Appeal stated, in para. 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cannot find a sufficient connection between the failure to produce the warrant properly and the obtaining of the evidence. There is no real temporal link because the default came after the evidence was lawfully obtained. Nor can there be any causal link because of the sequence of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 do not rule out the possibility that a subsequent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breach might survive the step one threshold s. 24(2) inquiry and result in a ruling that earlier-seized evidence was obtained in a manner that infringed a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 In the present case, however, I have no hesitation in concluding that the requisite connection is not established because the backpack evidence was discovered and lawfully seized well before the subsequent unlawful entry into suite 507.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Seriousness of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first </w:t>
      </w:r>
      <w:r>
        <w:rPr>
          <w:rFonts w:ascii="arial" w:eastAsia="arial" w:hAnsi="arial" w:cs="arial"/>
          <w:i/>
          <w:color w:val="000000"/>
          <w:sz w:val="20"/>
          <w:lang w:val="en-US" w:eastAsia="en-US" w:bidi="ar-SA"/>
        </w:rPr>
        <w:t>Grant</w:t>
      </w:r>
      <w:r>
        <w:rPr>
          <w:rFonts w:ascii="arial" w:eastAsia="arial" w:hAnsi="arial" w:cs="arial"/>
          <w:color w:val="000000"/>
          <w:sz w:val="20"/>
          <w:lang w:val="en-US" w:eastAsia="en-US" w:bidi="ar-SA"/>
        </w:rPr>
        <w:t xml:space="preserve"> line of inquiry under s. 24(2), the "seriousness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-infringing state conduct", considers the nature of the police conduct. The main concern of this line of inquiry is to preserve public confidence in the rule of law and its processes, not to punish the police, compensate the accused, or specifically deter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breaches.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As noted in </w:t>
      </w:r>
      <w:r>
        <w:rPr>
          <w:rFonts w:ascii="arial" w:eastAsia="arial" w:hAnsi="arial" w:cs="arial"/>
          <w:i/>
          <w:color w:val="000000"/>
          <w:sz w:val="20"/>
          <w:lang w:val="en-US" w:eastAsia="en-US" w:bidi="ar-SA"/>
        </w:rPr>
        <w:t>Le</w:t>
      </w:r>
      <w:r>
        <w:rPr>
          <w:rFonts w:ascii="arial" w:eastAsia="arial" w:hAnsi="arial" w:cs="arial"/>
          <w:color w:val="000000"/>
          <w:sz w:val="20"/>
          <w:lang w:val="en-US" w:eastAsia="en-US" w:bidi="ar-SA"/>
        </w:rPr>
        <w:t xml:space="preserve">, the Court's task at this stage of the inquiry is to situate the police conduct on a "scale of culpability". </w:t>
      </w:r>
      <w:r>
        <w:rPr>
          <w:rFonts w:ascii="arial" w:eastAsia="arial" w:hAnsi="arial" w:cs="arial"/>
          <w:i/>
          <w:color w:val="000000"/>
          <w:sz w:val="20"/>
          <w:lang w:val="en-US" w:eastAsia="en-US" w:bidi="ar-SA"/>
        </w:rPr>
        <w:t>Grant</w:t>
      </w:r>
      <w:r>
        <w:rPr>
          <w:rFonts w:ascii="arial" w:eastAsia="arial" w:hAnsi="arial" w:cs="arial"/>
          <w:color w:val="000000"/>
          <w:sz w:val="20"/>
          <w:lang w:val="en-US" w:eastAsia="en-US" w:bidi="ar-SA"/>
        </w:rPr>
        <w:t xml:space="preserve">, at paras. 72-75, noted that the seriousness of the breach depends upon the extent of and reason for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violation. Aggravating factors include:</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severe or deliberate police conduct contravening established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standards;</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major departure from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standards;</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systemic or institutional abuse;</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willful, flagrant or reckless disregard of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ignorance,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wilful blindness to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standards;</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pattern of abuse; and</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misleading testimony by the police.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Factors mitigating the seriousness of any breach include:</w:t>
      </w:r>
      <w:r>
        <w:rPr>
          <w:rFonts w:ascii="arial" w:eastAsia="arial" w:hAnsi="arial" w:cs="arial"/>
          <w:sz w:val="20"/>
          <w:lang w:val="en-US" w:eastAsia="en-US" w:bidi="ar-SA"/>
        </w:rPr>
        <w:cr/>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violation is inadvertent or minor;</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breach is merely technical;</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"good faith" error on the part of the police;</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breach results from an understandable mistake; and</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extenuating circumstances, such as the need to prevent destruction of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 v. Flintroy</w:t>
      </w:r>
      <w:r>
        <w:rPr>
          <w:rFonts w:ascii="arial" w:eastAsia="arial" w:hAnsi="arial" w:cs="arial"/>
          <w:color w:val="000000"/>
          <w:sz w:val="20"/>
          <w:lang w:val="en-US" w:eastAsia="en-US" w:bidi="ar-SA"/>
        </w:rPr>
        <w:t xml:space="preserve">, </w:t>
      </w:r>
      <w:hyperlink r:id="rId598" w:history="1">
        <w:r>
          <w:rPr>
            <w:rFonts w:ascii="arial" w:eastAsia="arial" w:hAnsi="arial" w:cs="arial"/>
            <w:i/>
            <w:color w:val="0077CC"/>
            <w:sz w:val="20"/>
            <w:u w:val="single"/>
            <w:shd w:val="clear" w:color="auto" w:fill="FFFFFF"/>
            <w:lang w:val="en-US" w:eastAsia="en-US" w:bidi="ar-SA"/>
          </w:rPr>
          <w:t>2019 BCSC 213</w:t>
        </w:r>
      </w:hyperlink>
      <w:r>
        <w:rPr>
          <w:rFonts w:ascii="arial" w:eastAsia="arial" w:hAnsi="arial" w:cs="arial"/>
          <w:color w:val="000000"/>
          <w:sz w:val="20"/>
          <w:lang w:val="en-US" w:eastAsia="en-US" w:bidi="ar-SA"/>
        </w:rPr>
        <w:t>, Justice Williams of this Court made the following observations with which I agree: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[45] As I see the matter, knowingly or intentionally violating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standards represents bad faith. Moving down the spectrum is willful blindness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then carelessness and ignorance somewhere nearer to the middle. Moving closer to the good faith end is where the state of the law is ambiguous, unclear, or evolving, but the police proceeded nonetheless, i.e. not careless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xml:space="preserve"> but also not erring on the side of caution. Finally, at the good faith end of the spectrum, is an honestly and reasonably held belief as to the legality of the action at the time the action was taken, which incorporates the consideration that the law, at the time, was either fairly settled, sufficiently ambiguous or not yet decided upon. The non-exigency of the situation may aggravate the degree of culpability; conversely, exigent circumstances may mitigate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this case Mr. Oswald argues that the sanctity of his home was unlawfully breached by the police in a highly public and intrusive manner. He emphasizes my finding at para. 141 of </w:t>
      </w:r>
      <w:hyperlink r:id="rId584" w:history="1">
        <w:r>
          <w:rPr>
            <w:rFonts w:ascii="arial" w:eastAsia="arial" w:hAnsi="arial" w:cs="arial"/>
            <w:i/>
            <w:color w:val="0077CC"/>
            <w:sz w:val="20"/>
            <w:u w:val="single"/>
            <w:shd w:val="clear" w:color="auto" w:fill="FFFFFF"/>
            <w:lang w:val="en-US" w:eastAsia="en-US" w:bidi="ar-SA"/>
          </w:rPr>
          <w:t>2019 BCSC 705</w:t>
        </w:r>
      </w:hyperlink>
      <w:r>
        <w:rPr>
          <w:rFonts w:ascii="arial" w:eastAsia="arial" w:hAnsi="arial" w:cs="arial"/>
          <w:color w:val="000000"/>
          <w:sz w:val="20"/>
          <w:lang w:val="en-US" w:eastAsia="en-US" w:bidi="ar-SA"/>
        </w:rPr>
        <w:t xml:space="preserve"> that, "There was simply no basis, let alone any objectively reasonable basis [for the policers], to believe that any other person might be on the premises, let alone that any such person might be in need of medical assistance. ..." and that "Cst. Scally's stated concern in this regard is at best a hunch without any objectively reasonable justification on the facts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Crown argues that this situation was "nothing more than a good faith error in judgment" on the part of Cst. Scally. It points out that I specifically declined to make a finding that Cst. Scally was invoking public safety concerns merely as a pretext for an opportunistic search of Mr. Oswald's residence in furtherance of the drug investigation underway. The Crown also stresses that the duration of the police presence inside the suite was brief "not more than five minutes", the officers' conduct did not exceed what was necessary to achieve their stated purpose, whereupon they immediately left and locked the door. All of this, it is submitted, significantly diminishes the seriousness of any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-infringing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 did not, and do not, make any finding that Cst. Scally intentionally violated Mr. Oswald's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in bad faith. I did express some doubts about his motives, mostly because the police had the premises under surveillance and the only persons seen going into and coming out of the suite were the two individuals who had left shortly before the search occurred. In these circumstances, there was no reasonable basis for them to believe that any other person might be on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As noted in </w:t>
      </w:r>
      <w:r>
        <w:rPr>
          <w:rFonts w:ascii="arial" w:eastAsia="arial" w:hAnsi="arial" w:cs="arial"/>
          <w:i/>
          <w:color w:val="000000"/>
          <w:sz w:val="20"/>
          <w:lang w:val="en-US" w:eastAsia="en-US" w:bidi="ar-SA"/>
        </w:rPr>
        <w:t>Le</w:t>
      </w:r>
      <w:r>
        <w:rPr>
          <w:rFonts w:ascii="arial" w:eastAsia="arial" w:hAnsi="arial" w:cs="arial"/>
          <w:color w:val="000000"/>
          <w:sz w:val="20"/>
          <w:lang w:val="en-US" w:eastAsia="en-US" w:bidi="ar-SA"/>
        </w:rPr>
        <w:t>, however, an absence of bad faith does not necessarily equate to a positive finding of good faith and I did not, and do not, make any finding that Cst. Scally's conduct was "nothing more than a good faith error in judgment". However, I do accept that Cst. Scally believed that the mere possibility or suspicion that someone might be in the premises following an incident of violence warranted a "clearance" search and that this was at least in part justification for that conduct. This by no means exonerates him but it is sufficient to situate his conduct somewhere in the middle of the scale culpability.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Impact upon accused's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voir dires</w:t>
      </w:r>
      <w:r>
        <w:rPr>
          <w:rFonts w:ascii="arial" w:eastAsia="arial" w:hAnsi="arial" w:cs="arial"/>
          <w:color w:val="000000"/>
          <w:sz w:val="20"/>
          <w:lang w:val="en-US" w:eastAsia="en-US" w:bidi="ar-SA"/>
        </w:rPr>
        <w:t xml:space="preserve"> in this case have proceeded on the footing that Mr. Oswald resided in unit 507. The Crown conceded that Mr. Oswald had the requisite standing and privacy interest to support any claim that the warrantless search of that suite was a breach of his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-protected right to be secure against unreasonable search or seizure. He quite rightly expected a high degree of privacy in his residence and a warrantless search without his consent was a serious breach of that privacy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Le</w:t>
      </w:r>
      <w:r>
        <w:rPr>
          <w:rFonts w:ascii="arial" w:eastAsia="arial" w:hAnsi="arial" w:cs="arial"/>
          <w:color w:val="000000"/>
          <w:sz w:val="20"/>
          <w:lang w:val="en-US" w:eastAsia="en-US" w:bidi="ar-SA"/>
        </w:rPr>
        <w:t xml:space="preserve"> confirms at para. 151 that the Court must determine whether and to what extent the warrantless search of unit 507 "actually undermined" Mr. Oswald's privacy interest "in the totality of the circumstances". The more serious the impact on Mr. Oswald's protected interests, the more the breach militates in favour of exclusion of evidence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the present case, however, there are circumstances that attenuate or weaken the impact of the breach on Mr. Oswald's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-protected expectation of privacy and which therefore diminish the need for the Court to disassociate itself from the breach by excluding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First, the police did abide by the "knock and announce" rule. They knocked on the door several times and announced their presence before ultimately opening the door and entering the premises. The door was not breached by using a battering ram and no damage of any sort was inflicted on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Second, the search was relatively brief and non-intrusive in nature. The police were only inside for a few minutes. No cupboards, drawers or bags were opened. As noted in fairly similar circumstances in </w:t>
      </w:r>
      <w:r>
        <w:rPr>
          <w:rFonts w:ascii="arial" w:eastAsia="arial" w:hAnsi="arial" w:cs="arial"/>
          <w:i/>
          <w:color w:val="000000"/>
          <w:sz w:val="20"/>
          <w:lang w:val="en-US" w:eastAsia="en-US" w:bidi="ar-SA"/>
        </w:rPr>
        <w:t>R. v. Crocker</w:t>
      </w:r>
      <w:r>
        <w:rPr>
          <w:rFonts w:ascii="arial" w:eastAsia="arial" w:hAnsi="arial" w:cs="arial"/>
          <w:color w:val="000000"/>
          <w:sz w:val="20"/>
          <w:lang w:val="en-US" w:eastAsia="en-US" w:bidi="ar-SA"/>
        </w:rPr>
        <w:t xml:space="preserve">, </w:t>
      </w:r>
      <w:hyperlink r:id="rId599" w:history="1">
        <w:r>
          <w:rPr>
            <w:rFonts w:ascii="arial" w:eastAsia="arial" w:hAnsi="arial" w:cs="arial"/>
            <w:i/>
            <w:color w:val="0077CC"/>
            <w:sz w:val="20"/>
            <w:u w:val="single"/>
            <w:shd w:val="clear" w:color="auto" w:fill="FFFFFF"/>
            <w:lang w:val="en-US" w:eastAsia="en-US" w:bidi="ar-SA"/>
          </w:rPr>
          <w:t>2009 BCCA 388</w:t>
        </w:r>
      </w:hyperlink>
      <w:r>
        <w:rPr>
          <w:rFonts w:ascii="arial" w:eastAsia="arial" w:hAnsi="arial" w:cs="arial"/>
          <w:color w:val="000000"/>
          <w:sz w:val="20"/>
          <w:lang w:val="en-US" w:eastAsia="en-US" w:bidi="ar-SA"/>
        </w:rPr>
        <w:t xml:space="preserve"> at para. 105, this was "reasonably circumspect conduct disclose[ing] a degree of deference for [Mr. Oswald's] privacy interests and therefore diminishes the need for the court to disassociate itself from the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Further, as noted in </w:t>
      </w:r>
      <w:r>
        <w:rPr>
          <w:rFonts w:ascii="arial" w:eastAsia="arial" w:hAnsi="arial" w:cs="arial"/>
          <w:i/>
          <w:color w:val="000000"/>
          <w:sz w:val="20"/>
          <w:lang w:val="en-US" w:eastAsia="en-US" w:bidi="ar-SA"/>
        </w:rPr>
        <w:t>R. v. Do</w:t>
      </w:r>
      <w:r>
        <w:rPr>
          <w:rFonts w:ascii="arial" w:eastAsia="arial" w:hAnsi="arial" w:cs="arial"/>
          <w:color w:val="000000"/>
          <w:sz w:val="20"/>
          <w:lang w:val="en-US" w:eastAsia="en-US" w:bidi="ar-SA"/>
        </w:rPr>
        <w:t xml:space="preserve">, </w:t>
      </w:r>
      <w:hyperlink r:id="rId600" w:history="1">
        <w:r>
          <w:rPr>
            <w:rFonts w:ascii="arial" w:eastAsia="arial" w:hAnsi="arial" w:cs="arial"/>
            <w:i/>
            <w:color w:val="0077CC"/>
            <w:sz w:val="20"/>
            <w:u w:val="single"/>
            <w:shd w:val="clear" w:color="auto" w:fill="FFFFFF"/>
            <w:lang w:val="en-US" w:eastAsia="en-US" w:bidi="ar-SA"/>
          </w:rPr>
          <w:t>2012 BCSC 411</w:t>
        </w:r>
      </w:hyperlink>
      <w:r>
        <w:rPr>
          <w:rFonts w:ascii="arial" w:eastAsia="arial" w:hAnsi="arial" w:cs="arial"/>
          <w:color w:val="000000"/>
          <w:sz w:val="20"/>
          <w:lang w:val="en-US" w:eastAsia="en-US" w:bidi="ar-SA"/>
        </w:rPr>
        <w:t xml:space="preserve"> at paras. 36-41, "discoverability plays a potentially important role in assessing the actual impact on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-protected interests of the accused" and "the more likely it is that evidence would have been obtained without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violation, the lesser the impact of the breach on the accused's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-protected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the present case one can determine with confidence that the evidence in suite 507 would have been discovered by the police even without any warrantless "clearing" of the suite immediately following Mr. Oswald's arrest. That suite was suspected of housing a drug trafficking enterprise and was under surveillance on that account. Mr. Oswald was reasonably believed to be the occupant of that suite and was observed by the police to come and go from the unit using a key. Although he was arrested in the laneway behind the building, it is highly probable that the police would have obtained a search warrant for the premises even without the "warrantless clearance" in order to search for evidence corroborating Mr. Oswald's involvement in the drug trafficking enterprise. And, of course, it has already been determined that the other facts set out in the ITO were sufficient to secure a search warrant even after all references to the warrantless entry were excised.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In all the circumstances, I conclude that the impact on Mr. Oswald's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interests of the warrantless entry into suite 507 provides only weak support for exclusion of evidence in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Interest in adjudication on the merits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 repeat here the observations made in </w:t>
      </w:r>
      <w:r>
        <w:rPr>
          <w:rFonts w:ascii="arial" w:eastAsia="arial" w:hAnsi="arial" w:cs="arial"/>
          <w:i/>
          <w:color w:val="000000"/>
          <w:sz w:val="20"/>
          <w:lang w:val="en-US" w:eastAsia="en-US" w:bidi="ar-SA"/>
        </w:rPr>
        <w:t>R. v. Wong and Truong</w:t>
      </w:r>
      <w:r>
        <w:rPr>
          <w:rFonts w:ascii="arial" w:eastAsia="arial" w:hAnsi="arial" w:cs="arial"/>
          <w:color w:val="000000"/>
          <w:sz w:val="20"/>
          <w:lang w:val="en-US" w:eastAsia="en-US" w:bidi="ar-SA"/>
        </w:rPr>
        <w:t xml:space="preserve">, </w:t>
      </w:r>
      <w:hyperlink r:id="rId601" w:history="1">
        <w:r>
          <w:rPr>
            <w:rFonts w:ascii="arial" w:eastAsia="arial" w:hAnsi="arial" w:cs="arial"/>
            <w:i/>
            <w:color w:val="0077CC"/>
            <w:sz w:val="20"/>
            <w:u w:val="single"/>
            <w:shd w:val="clear" w:color="auto" w:fill="FFFFFF"/>
            <w:lang w:val="en-US" w:eastAsia="en-US" w:bidi="ar-SA"/>
          </w:rPr>
          <w:t>2017 BCSC 1643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mutatis mutandis</w:t>
      </w:r>
      <w:r>
        <w:rPr>
          <w:rFonts w:ascii="arial" w:eastAsia="arial" w:hAnsi="arial" w:cs="arial"/>
          <w:color w:val="000000"/>
          <w:sz w:val="20"/>
          <w:lang w:val="en-US" w:eastAsia="en-US" w:bidi="ar-SA"/>
        </w:rPr>
        <w:t xml:space="preserve"> in square brackets: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[43] The third </w:t>
      </w:r>
      <w:r>
        <w:rPr>
          <w:rFonts w:ascii="arial" w:eastAsia="arial" w:hAnsi="arial" w:cs="arial"/>
          <w:i/>
          <w:color w:val="000000"/>
          <w:sz w:val="20"/>
          <w:lang w:val="en-US" w:eastAsia="en-US" w:bidi="ar-SA"/>
        </w:rPr>
        <w:t>Grant</w:t>
      </w:r>
      <w:r>
        <w:rPr>
          <w:rFonts w:ascii="arial" w:eastAsia="arial" w:hAnsi="arial" w:cs="arial"/>
          <w:color w:val="000000"/>
          <w:sz w:val="20"/>
          <w:lang w:val="en-US" w:eastAsia="en-US" w:bidi="ar-SA"/>
        </w:rPr>
        <w:t xml:space="preserve"> factor requires the court to consider "whether the truth-seeking function of the criminal trial process would be better served by admission of the evidence, or by its exclusion". This involves assessing the reliability of the evidence and its importance to the Crown's case. The exclusion of reliable and relevant evidence may render the trial unfair from the public's perspective, thus bringing the administration of justice into disrepute (</w:t>
      </w:r>
      <w:r>
        <w:rPr>
          <w:rFonts w:ascii="arial" w:eastAsia="arial" w:hAnsi="arial" w:cs="arial"/>
          <w:i/>
          <w:color w:val="000000"/>
          <w:sz w:val="20"/>
          <w:lang w:val="en-US" w:eastAsia="en-US" w:bidi="ar-SA"/>
        </w:rPr>
        <w:t>Grant</w:t>
      </w:r>
      <w:r>
        <w:rPr>
          <w:rFonts w:ascii="arial" w:eastAsia="arial" w:hAnsi="arial" w:cs="arial"/>
          <w:color w:val="000000"/>
          <w:sz w:val="20"/>
          <w:lang w:val="en-US" w:eastAsia="en-US" w:bidi="ar-SA"/>
        </w:rPr>
        <w:t xml:space="preserve"> at paras. 79 and 81).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[44] The Crown argues that this factor strongly militates in favour of admitting the impugned evidence at trial. The evidence is reliable and, indeed, is the heart of the prosecution [particularly in respect of the weapons charges] ... without the evidence, the Crown's case [at least insofar as the weapons charges are concerned] will necessarily fail.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[45] The charges are serious. The nature of the evidence sought to be excluded is such that the likelihood of a conviction is high. The public thus has a heightened interest in seeing the case adjudicated on its merits.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Attenuating these factors in the present case, however, is the importance of maintaining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standards and emphasizing the necessity that state actors such as the police consistently respect and adhere to those standards in the investigation of crime. Society has an interest in occasionally sending a message to the police, for the benefit of all citizens, that the ends do not necessarily justify the means and particularly so when the means include the flagrant disregard of constitutional rights fundamental to a free and democratic society.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In most cases, this third line of inquiry under </w:t>
      </w:r>
      <w:r>
        <w:rPr>
          <w:rFonts w:ascii="arial" w:eastAsia="arial" w:hAnsi="arial" w:cs="arial"/>
          <w:i/>
          <w:color w:val="000000"/>
          <w:sz w:val="20"/>
          <w:lang w:val="en-US" w:eastAsia="en-US" w:bidi="ar-SA"/>
        </w:rPr>
        <w:t>Grant</w:t>
      </w:r>
      <w:r>
        <w:rPr>
          <w:rFonts w:ascii="arial" w:eastAsia="arial" w:hAnsi="arial" w:cs="arial"/>
          <w:color w:val="000000"/>
          <w:sz w:val="20"/>
          <w:lang w:val="en-US" w:eastAsia="en-US" w:bidi="ar-SA"/>
        </w:rPr>
        <w:t xml:space="preserve"> typically militates against exclusion of evidence at trial. This case is no different. The charges are serious and the evidence is highly reliable and essential to the prosecution's case. This is not a case involving multiple breaches requiring denunciation. Rather, Society has a very strong interest in enforcing the law prohibiting drug trafficking, particularly where the circumstances involve the scourge of fentanyl and illegal firearms in Vancouver's notorious downtown east side.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Would the admission of the evidence bring the administration of justice into disrepute? Balancing the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Court must balance the assessments under each of the three </w:t>
      </w:r>
      <w:r>
        <w:rPr>
          <w:rFonts w:ascii="arial" w:eastAsia="arial" w:hAnsi="arial" w:cs="arial"/>
          <w:i/>
          <w:color w:val="000000"/>
          <w:sz w:val="20"/>
          <w:lang w:val="en-US" w:eastAsia="en-US" w:bidi="ar-SA"/>
        </w:rPr>
        <w:t>Grant</w:t>
      </w:r>
      <w:r>
        <w:rPr>
          <w:rFonts w:ascii="arial" w:eastAsia="arial" w:hAnsi="arial" w:cs="arial"/>
          <w:color w:val="000000"/>
          <w:sz w:val="20"/>
          <w:lang w:val="en-US" w:eastAsia="en-US" w:bidi="ar-SA"/>
        </w:rPr>
        <w:t xml:space="preserve"> lines of inquiry to determine whether, considering all the circumstances, admitting the impugned evidence at trial would be the administration of justice into disrepute.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Much academic debate is possible (and perhaps is likely) respecting subtle differences in language concerning the balancing exercise as articulated in </w:t>
      </w:r>
      <w:r>
        <w:rPr>
          <w:rFonts w:ascii="arial" w:eastAsia="arial" w:hAnsi="arial" w:cs="arial"/>
          <w:i/>
          <w:color w:val="000000"/>
          <w:sz w:val="20"/>
          <w:lang w:val="en-US" w:eastAsia="en-US" w:bidi="ar-SA"/>
        </w:rPr>
        <w:t>R. v. McGuffie</w:t>
      </w:r>
      <w:r>
        <w:rPr>
          <w:rFonts w:ascii="arial" w:eastAsia="arial" w:hAnsi="arial" w:cs="arial"/>
          <w:color w:val="000000"/>
          <w:sz w:val="20"/>
          <w:lang w:val="en-US" w:eastAsia="en-US" w:bidi="ar-SA"/>
        </w:rPr>
        <w:t xml:space="preserve">, </w:t>
      </w:r>
      <w:hyperlink r:id="rId602" w:history="1">
        <w:r>
          <w:rPr>
            <w:rFonts w:ascii="arial" w:eastAsia="arial" w:hAnsi="arial" w:cs="arial"/>
            <w:i/>
            <w:color w:val="0077CC"/>
            <w:sz w:val="20"/>
            <w:u w:val="single"/>
            <w:shd w:val="clear" w:color="auto" w:fill="FFFFFF"/>
            <w:lang w:val="en-US" w:eastAsia="en-US" w:bidi="ar-SA"/>
          </w:rPr>
          <w:t>2016 ONCA 365</w:t>
        </w:r>
      </w:hyperlink>
      <w:r>
        <w:rPr>
          <w:rFonts w:ascii="arial" w:eastAsia="arial" w:hAnsi="arial" w:cs="arial"/>
          <w:color w:val="000000"/>
          <w:sz w:val="20"/>
          <w:lang w:val="en-US" w:eastAsia="en-US" w:bidi="ar-SA"/>
        </w:rPr>
        <w:t xml:space="preserve"> at paras. 61-63, </w:t>
      </w:r>
      <w:r>
        <w:rPr>
          <w:rFonts w:ascii="arial" w:eastAsia="arial" w:hAnsi="arial" w:cs="arial"/>
          <w:i/>
          <w:color w:val="000000"/>
          <w:sz w:val="20"/>
          <w:lang w:val="en-US" w:eastAsia="en-US" w:bidi="ar-SA"/>
        </w:rPr>
        <w:t>R. v. Omar</w:t>
      </w:r>
      <w:r>
        <w:rPr>
          <w:rFonts w:ascii="arial" w:eastAsia="arial" w:hAnsi="arial" w:cs="arial"/>
          <w:color w:val="000000"/>
          <w:sz w:val="20"/>
          <w:lang w:val="en-US" w:eastAsia="en-US" w:bidi="ar-SA"/>
        </w:rPr>
        <w:t xml:space="preserve">, </w:t>
      </w:r>
      <w:hyperlink r:id="rId603" w:history="1">
        <w:r>
          <w:rPr>
            <w:rFonts w:ascii="arial" w:eastAsia="arial" w:hAnsi="arial" w:cs="arial"/>
            <w:i/>
            <w:color w:val="0077CC"/>
            <w:sz w:val="20"/>
            <w:u w:val="single"/>
            <w:shd w:val="clear" w:color="auto" w:fill="FFFFFF"/>
            <w:lang w:val="en-US" w:eastAsia="en-US" w:bidi="ar-SA"/>
          </w:rPr>
          <w:t>2018 ONCA 975</w:t>
        </w:r>
      </w:hyperlink>
      <w:r>
        <w:rPr>
          <w:rFonts w:ascii="arial" w:eastAsia="arial" w:hAnsi="arial" w:cs="arial"/>
          <w:color w:val="000000"/>
          <w:sz w:val="20"/>
          <w:lang w:val="en-US" w:eastAsia="en-US" w:bidi="ar-SA"/>
        </w:rPr>
        <w:t xml:space="preserve"> where the dissenting opinion was "substantially endorsed" by the majority, at </w:t>
      </w:r>
      <w:hyperlink r:id="rId587" w:history="1">
        <w:r>
          <w:rPr>
            <w:rFonts w:ascii="arial" w:eastAsia="arial" w:hAnsi="arial" w:cs="arial"/>
            <w:i/>
            <w:color w:val="0077CC"/>
            <w:sz w:val="20"/>
            <w:u w:val="single"/>
            <w:shd w:val="clear" w:color="auto" w:fill="FFFFFF"/>
            <w:lang w:val="en-US" w:eastAsia="en-US" w:bidi="ar-SA"/>
          </w:rPr>
          <w:t>2019 SCC 32</w:t>
        </w:r>
      </w:hyperlink>
      <w:r>
        <w:rPr>
          <w:rFonts w:ascii="arial" w:eastAsia="arial" w:hAnsi="arial" w:cs="arial"/>
          <w:color w:val="000000"/>
          <w:sz w:val="20"/>
          <w:lang w:val="en-US" w:eastAsia="en-US" w:bidi="ar-SA"/>
        </w:rPr>
        <w:t xml:space="preserve">, and para. 142 of </w:t>
      </w:r>
      <w:r>
        <w:rPr>
          <w:rFonts w:ascii="arial" w:eastAsia="arial" w:hAnsi="arial" w:cs="arial"/>
          <w:i/>
          <w:color w:val="000000"/>
          <w:sz w:val="20"/>
          <w:lang w:val="en-US" w:eastAsia="en-US" w:bidi="ar-SA"/>
        </w:rPr>
        <w:t>Le</w:t>
      </w:r>
      <w:r>
        <w:rPr>
          <w:rFonts w:ascii="arial" w:eastAsia="arial" w:hAnsi="arial" w:cs="arial"/>
          <w:color w:val="000000"/>
          <w:sz w:val="20"/>
          <w:lang w:val="en-US" w:eastAsia="en-US" w:bidi="ar-SA"/>
        </w:rPr>
        <w:t xml:space="preserve">. The minority opinion in </w:t>
      </w:r>
      <w:r>
        <w:rPr>
          <w:rFonts w:ascii="arial" w:eastAsia="arial" w:hAnsi="arial" w:cs="arial"/>
          <w:i/>
          <w:color w:val="000000"/>
          <w:sz w:val="20"/>
          <w:lang w:val="en-US" w:eastAsia="en-US" w:bidi="ar-SA"/>
        </w:rPr>
        <w:t>Le</w:t>
      </w:r>
      <w:r>
        <w:rPr>
          <w:rFonts w:ascii="arial" w:eastAsia="arial" w:hAnsi="arial" w:cs="arial"/>
          <w:color w:val="000000"/>
          <w:sz w:val="20"/>
          <w:lang w:val="en-US" w:eastAsia="en-US" w:bidi="ar-SA"/>
        </w:rPr>
        <w:t xml:space="preserve"> did not directly challenge the majority's slight re-framing of the </w:t>
      </w:r>
      <w:r>
        <w:rPr>
          <w:rFonts w:ascii="arial" w:eastAsia="arial" w:hAnsi="arial" w:cs="arial"/>
          <w:i/>
          <w:color w:val="000000"/>
          <w:sz w:val="20"/>
          <w:lang w:val="en-US" w:eastAsia="en-US" w:bidi="ar-SA"/>
        </w:rPr>
        <w:t>McGuffie</w:t>
      </w:r>
      <w:r>
        <w:rPr>
          <w:rFonts w:ascii="arial" w:eastAsia="arial" w:hAnsi="arial" w:cs="arial"/>
          <w:color w:val="000000"/>
          <w:sz w:val="20"/>
          <w:lang w:val="en-US" w:eastAsia="en-US" w:bidi="ar-SA"/>
        </w:rPr>
        <w:t xml:space="preserve"> paradigm but did suggest "</w:t>
      </w:r>
      <w:r>
        <w:rPr>
          <w:rFonts w:ascii="arial" w:eastAsia="arial" w:hAnsi="arial" w:cs="arial"/>
          <w:i/>
          <w:color w:val="000000"/>
          <w:sz w:val="20"/>
          <w:lang w:val="en-US" w:eastAsia="en-US" w:bidi="ar-SA"/>
        </w:rPr>
        <w:t>Grant</w:t>
      </w:r>
      <w:r>
        <w:rPr>
          <w:rFonts w:ascii="arial" w:eastAsia="arial" w:hAnsi="arial" w:cs="arial"/>
          <w:color w:val="000000"/>
          <w:sz w:val="20"/>
          <w:lang w:val="en-US" w:eastAsia="en-US" w:bidi="ar-SA"/>
        </w:rPr>
        <w:t xml:space="preserve"> requires a more nuanced, contextual approach, one that involves a realistic appraisal of the situation in light of all the circumstances" (para. 294) and would have placed much greater weight on the third </w:t>
      </w:r>
      <w:r>
        <w:rPr>
          <w:rFonts w:ascii="arial" w:eastAsia="arial" w:hAnsi="arial" w:cs="arial"/>
          <w:i/>
          <w:color w:val="000000"/>
          <w:sz w:val="20"/>
          <w:lang w:val="en-US" w:eastAsia="en-US" w:bidi="ar-SA"/>
        </w:rPr>
        <w:t>Grant</w:t>
      </w:r>
      <w:r>
        <w:rPr>
          <w:rFonts w:ascii="arial" w:eastAsia="arial" w:hAnsi="arial" w:cs="arial"/>
          <w:color w:val="000000"/>
          <w:sz w:val="20"/>
          <w:lang w:val="en-US" w:eastAsia="en-US" w:bidi="ar-SA"/>
        </w:rPr>
        <w:t xml:space="preserve"> factor (see paras. 300-301).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McGuffie</w:t>
      </w:r>
      <w:r>
        <w:rPr>
          <w:rFonts w:ascii="arial" w:eastAsia="arial" w:hAnsi="arial" w:cs="arial"/>
          <w:color w:val="000000"/>
          <w:sz w:val="20"/>
          <w:lang w:val="en-US" w:eastAsia="en-US" w:bidi="ar-SA"/>
        </w:rPr>
        <w:t xml:space="preserve"> was endorsed by our Court of Appeal in </w:t>
      </w:r>
      <w:r>
        <w:rPr>
          <w:rFonts w:ascii="arial" w:eastAsia="arial" w:hAnsi="arial" w:cs="arial"/>
          <w:i/>
          <w:color w:val="000000"/>
          <w:sz w:val="20"/>
          <w:lang w:val="en-US" w:eastAsia="en-US" w:bidi="ar-SA"/>
        </w:rPr>
        <w:t>Robertson</w:t>
      </w:r>
      <w:r>
        <w:rPr>
          <w:rFonts w:ascii="arial" w:eastAsia="arial" w:hAnsi="arial" w:cs="arial"/>
          <w:color w:val="000000"/>
          <w:sz w:val="20"/>
          <w:lang w:val="en-US" w:eastAsia="en-US" w:bidi="ar-SA"/>
        </w:rPr>
        <w:t xml:space="preserve"> (para. 51) where it was ultimately held that "while the third </w:t>
      </w:r>
      <w:r>
        <w:rPr>
          <w:rFonts w:ascii="arial" w:eastAsia="arial" w:hAnsi="arial" w:cs="arial"/>
          <w:i/>
          <w:color w:val="000000"/>
          <w:sz w:val="20"/>
          <w:lang w:val="en-US" w:eastAsia="en-US" w:bidi="ar-SA"/>
        </w:rPr>
        <w:t>Grant</w:t>
      </w:r>
      <w:r>
        <w:rPr>
          <w:rFonts w:ascii="arial" w:eastAsia="arial" w:hAnsi="arial" w:cs="arial"/>
          <w:color w:val="000000"/>
          <w:sz w:val="20"/>
          <w:lang w:val="en-US" w:eastAsia="en-US" w:bidi="ar-SA"/>
        </w:rPr>
        <w:t xml:space="preserve"> factor will seldom tip the balance in favour of admissibility on its own, here it works together with the second factor to support admissibility" (para. 65). It should be noted the dissenting opinion in </w:t>
      </w:r>
      <w:r>
        <w:rPr>
          <w:rFonts w:ascii="arial" w:eastAsia="arial" w:hAnsi="arial" w:cs="arial"/>
          <w:i/>
          <w:color w:val="000000"/>
          <w:sz w:val="20"/>
          <w:lang w:val="en-US" w:eastAsia="en-US" w:bidi="ar-SA"/>
        </w:rPr>
        <w:t>Omar</w:t>
      </w:r>
      <w:r>
        <w:rPr>
          <w:rFonts w:ascii="arial" w:eastAsia="arial" w:hAnsi="arial" w:cs="arial"/>
          <w:color w:val="000000"/>
          <w:sz w:val="20"/>
          <w:lang w:val="en-US" w:eastAsia="en-US" w:bidi="ar-SA"/>
        </w:rPr>
        <w:t xml:space="preserve"> at the Ontario Court of Appeal expressed grave concern that the </w:t>
      </w:r>
      <w:r>
        <w:rPr>
          <w:rFonts w:ascii="arial" w:eastAsia="arial" w:hAnsi="arial" w:cs="arial"/>
          <w:i/>
          <w:color w:val="000000"/>
          <w:sz w:val="20"/>
          <w:lang w:val="en-US" w:eastAsia="en-US" w:bidi="ar-SA"/>
        </w:rPr>
        <w:t>McGuffie</w:t>
      </w:r>
      <w:r>
        <w:rPr>
          <w:rFonts w:ascii="arial" w:eastAsia="arial" w:hAnsi="arial" w:cs="arial"/>
          <w:color w:val="000000"/>
          <w:sz w:val="20"/>
          <w:lang w:val="en-US" w:eastAsia="en-US" w:bidi="ar-SA"/>
        </w:rPr>
        <w:t xml:space="preserve"> formula might turn into some kind of inappropriate "two-strikes-and-the-evidence-is-out" rule. The minority in </w:t>
      </w:r>
      <w:r>
        <w:rPr>
          <w:rFonts w:ascii="arial" w:eastAsia="arial" w:hAnsi="arial" w:cs="arial"/>
          <w:i/>
          <w:color w:val="000000"/>
          <w:sz w:val="20"/>
          <w:lang w:val="en-US" w:eastAsia="en-US" w:bidi="ar-SA"/>
        </w:rPr>
        <w:t>Le</w:t>
      </w:r>
      <w:r>
        <w:rPr>
          <w:rFonts w:ascii="arial" w:eastAsia="arial" w:hAnsi="arial" w:cs="arial"/>
          <w:color w:val="000000"/>
          <w:sz w:val="20"/>
          <w:lang w:val="en-US" w:eastAsia="en-US" w:bidi="ar-SA"/>
        </w:rPr>
        <w:t xml:space="preserve"> articulated powerful reasons why the third factor in </w:t>
      </w:r>
      <w:r>
        <w:rPr>
          <w:rFonts w:ascii="arial" w:eastAsia="arial" w:hAnsi="arial" w:cs="arial"/>
          <w:i/>
          <w:color w:val="000000"/>
          <w:sz w:val="20"/>
          <w:lang w:val="en-US" w:eastAsia="en-US" w:bidi="ar-SA"/>
        </w:rPr>
        <w:t>Grant</w:t>
      </w:r>
      <w:r>
        <w:rPr>
          <w:rFonts w:ascii="arial" w:eastAsia="arial" w:hAnsi="arial" w:cs="arial"/>
          <w:color w:val="000000"/>
          <w:sz w:val="20"/>
          <w:lang w:val="en-US" w:eastAsia="en-US" w:bidi="ar-SA"/>
        </w:rPr>
        <w:t xml:space="preserve"> should have attributed more weight in the analysis in that case (see paras. 300-301).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In any event, the latest iteration of the balancing exercise is para. 142 of </w:t>
      </w:r>
      <w:r>
        <w:rPr>
          <w:rFonts w:ascii="arial" w:eastAsia="arial" w:hAnsi="arial" w:cs="arial"/>
          <w:i/>
          <w:color w:val="000000"/>
          <w:sz w:val="20"/>
          <w:lang w:val="en-US" w:eastAsia="en-US" w:bidi="ar-SA"/>
        </w:rPr>
        <w:t>Le</w:t>
      </w:r>
      <w:r>
        <w:rPr>
          <w:rFonts w:ascii="arial" w:eastAsia="arial" w:hAnsi="arial" w:cs="arial"/>
          <w:color w:val="000000"/>
          <w:sz w:val="20"/>
          <w:lang w:val="en-US" w:eastAsia="en-US" w:bidi="ar-SA"/>
        </w:rPr>
        <w:t>, a formulation by which I am bound and which provides:</w:t>
      </w:r>
      <w:r>
        <w:rPr>
          <w:rFonts w:ascii="arial" w:eastAsia="arial" w:hAnsi="arial" w:cs="arial"/>
          <w:sz w:val="20"/>
          <w:lang w:val="en-US" w:eastAsia="en-US" w:bidi="ar-SA"/>
        </w:rPr>
        <w:cr/>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the first and second </w:t>
      </w:r>
      <w:r>
        <w:rPr>
          <w:rFonts w:ascii="arial" w:eastAsia="arial" w:hAnsi="arial" w:cs="arial"/>
          <w:i/>
          <w:color w:val="000000"/>
          <w:sz w:val="20"/>
          <w:lang w:val="en-US" w:eastAsia="en-US" w:bidi="ar-SA"/>
        </w:rPr>
        <w:t>Grant</w:t>
      </w:r>
      <w:r>
        <w:rPr>
          <w:rFonts w:ascii="arial" w:eastAsia="arial" w:hAnsi="arial" w:cs="arial"/>
          <w:color w:val="000000"/>
          <w:sz w:val="20"/>
          <w:lang w:val="en-US" w:eastAsia="en-US" w:bidi="ar-SA"/>
        </w:rPr>
        <w:t xml:space="preserve"> inquiries, taken together, make a strong case for exclusion, the third </w:t>
      </w:r>
      <w:r>
        <w:rPr>
          <w:rFonts w:ascii="arial" w:eastAsia="arial" w:hAnsi="arial" w:cs="arial"/>
          <w:i/>
          <w:color w:val="000000"/>
          <w:sz w:val="20"/>
          <w:lang w:val="en-US" w:eastAsia="en-US" w:bidi="ar-SA"/>
        </w:rPr>
        <w:t>Grant</w:t>
      </w:r>
      <w:r>
        <w:rPr>
          <w:rFonts w:ascii="arial" w:eastAsia="arial" w:hAnsi="arial" w:cs="arial"/>
          <w:color w:val="000000"/>
          <w:sz w:val="20"/>
          <w:lang w:val="en-US" w:eastAsia="en-US" w:bidi="ar-SA"/>
        </w:rPr>
        <w:t xml:space="preserve"> inquiry will seldom if ever tip the balance of admissibility;</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however, if the first two </w:t>
      </w:r>
      <w:r>
        <w:rPr>
          <w:rFonts w:ascii="arial" w:eastAsia="arial" w:hAnsi="arial" w:cs="arial"/>
          <w:i/>
          <w:color w:val="000000"/>
          <w:sz w:val="20"/>
          <w:lang w:val="en-US" w:eastAsia="en-US" w:bidi="ar-SA"/>
        </w:rPr>
        <w:t>Grant</w:t>
      </w:r>
      <w:r>
        <w:rPr>
          <w:rFonts w:ascii="arial" w:eastAsia="arial" w:hAnsi="arial" w:cs="arial"/>
          <w:color w:val="000000"/>
          <w:sz w:val="20"/>
          <w:lang w:val="en-US" w:eastAsia="en-US" w:bidi="ar-SA"/>
        </w:rPr>
        <w:t xml:space="preserve"> inquiries together reveal weaker support for the exclusion of the evidence, the third </w:t>
      </w:r>
      <w:r>
        <w:rPr>
          <w:rFonts w:ascii="arial" w:eastAsia="arial" w:hAnsi="arial" w:cs="arial"/>
          <w:i/>
          <w:color w:val="000000"/>
          <w:sz w:val="20"/>
          <w:lang w:val="en-US" w:eastAsia="en-US" w:bidi="ar-SA"/>
        </w:rPr>
        <w:t>Grant</w:t>
      </w:r>
      <w:r>
        <w:rPr>
          <w:rFonts w:ascii="arial" w:eastAsia="arial" w:hAnsi="arial" w:cs="arial"/>
          <w:color w:val="000000"/>
          <w:sz w:val="20"/>
          <w:lang w:val="en-US" w:eastAsia="en-US" w:bidi="ar-SA"/>
        </w:rPr>
        <w:t xml:space="preserve"> inquiry will most often confirm that the administration of justice would not be brought into disrepute by admitting the evidence; and</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hence, the third line of </w:t>
      </w:r>
      <w:r>
        <w:rPr>
          <w:rFonts w:ascii="arial" w:eastAsia="arial" w:hAnsi="arial" w:cs="arial"/>
          <w:i/>
          <w:color w:val="000000"/>
          <w:sz w:val="20"/>
          <w:lang w:val="en-US" w:eastAsia="en-US" w:bidi="ar-SA"/>
        </w:rPr>
        <w:t>Grant</w:t>
      </w:r>
      <w:r>
        <w:rPr>
          <w:rFonts w:ascii="arial" w:eastAsia="arial" w:hAnsi="arial" w:cs="arial"/>
          <w:color w:val="000000"/>
          <w:sz w:val="20"/>
          <w:lang w:val="en-US" w:eastAsia="en-US" w:bidi="ar-SA"/>
        </w:rPr>
        <w:t xml:space="preserve"> inquiry becomes particularly important where one, but not both, of the first two inquiries pull towards the exclusion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In the present case, I have concluded that the first </w:t>
      </w:r>
      <w:r>
        <w:rPr>
          <w:rFonts w:ascii="arial" w:eastAsia="arial" w:hAnsi="arial" w:cs="arial"/>
          <w:i/>
          <w:color w:val="000000"/>
          <w:sz w:val="20"/>
          <w:lang w:val="en-US" w:eastAsia="en-US" w:bidi="ar-SA"/>
        </w:rPr>
        <w:t>Grant</w:t>
      </w:r>
      <w:r>
        <w:rPr>
          <w:rFonts w:ascii="arial" w:eastAsia="arial" w:hAnsi="arial" w:cs="arial"/>
          <w:color w:val="000000"/>
          <w:sz w:val="20"/>
          <w:lang w:val="en-US" w:eastAsia="en-US" w:bidi="ar-SA"/>
        </w:rPr>
        <w:t xml:space="preserve"> factor, the seriousness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breach, militates in favour of exclusion although the conduct is properly situated in the middle of any "scale of culpability". I have also concluded that the second </w:t>
      </w:r>
      <w:r>
        <w:rPr>
          <w:rFonts w:ascii="arial" w:eastAsia="arial" w:hAnsi="arial" w:cs="arial"/>
          <w:i/>
          <w:color w:val="000000"/>
          <w:sz w:val="20"/>
          <w:lang w:val="en-US" w:eastAsia="en-US" w:bidi="ar-SA"/>
        </w:rPr>
        <w:t>Grant</w:t>
      </w:r>
      <w:r>
        <w:rPr>
          <w:rFonts w:ascii="arial" w:eastAsia="arial" w:hAnsi="arial" w:cs="arial"/>
          <w:color w:val="000000"/>
          <w:sz w:val="20"/>
          <w:lang w:val="en-US" w:eastAsia="en-US" w:bidi="ar-SA"/>
        </w:rPr>
        <w:t xml:space="preserve"> factor, the impact of the breach on Mr. Oswald's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-protected interests, provides weaker support for the exclusion of the evidence. Hence, the third </w:t>
      </w:r>
      <w:r>
        <w:rPr>
          <w:rFonts w:ascii="arial" w:eastAsia="arial" w:hAnsi="arial" w:cs="arial"/>
          <w:i/>
          <w:color w:val="000000"/>
          <w:sz w:val="20"/>
          <w:lang w:val="en-US" w:eastAsia="en-US" w:bidi="ar-SA"/>
        </w:rPr>
        <w:t>Grant</w:t>
      </w:r>
      <w:r>
        <w:rPr>
          <w:rFonts w:ascii="arial" w:eastAsia="arial" w:hAnsi="arial" w:cs="arial"/>
          <w:color w:val="000000"/>
          <w:sz w:val="20"/>
          <w:lang w:val="en-US" w:eastAsia="en-US" w:bidi="ar-SA"/>
        </w:rPr>
        <w:t xml:space="preserve"> factor, society's interest in the adjudication of the case on the merits, which pulls strongly towards admission, tips the balance in favour of admissibility. In the result, I conclude that the administration of justice would not be brought into disrepute in this case by admitting at trial the evidence secured by the police from suite 507.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 and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police conducted a warrantless search of Mr. Oswald's suite that was not incidental to his arrest away from the premises. In doing so, they saw evidence that likely supported allegations that Mr. Oswald was trafficking in drugs. That evidence was later secured by way of a valid search warrant but the earlier entry into Mr. Oswald's suite was unauthorized by law and a breach of his rights under s. 8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Mr. Oswald applies pursuant to s. 24(2)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for an order that the evidence later seized from his suite pursuant to the search warrant is not admissible at his upcoming trial. The law makes it mandatory for such evidence to be excluded if its admission would bring the administration of justice into disrepute. However, having regard to all the circumstances of this case and applying the three lines of inquiry mandated by the Supreme Court of Canada in </w:t>
      </w:r>
      <w:r>
        <w:rPr>
          <w:rFonts w:ascii="arial" w:eastAsia="arial" w:hAnsi="arial" w:cs="arial"/>
          <w:i/>
          <w:color w:val="000000"/>
          <w:sz w:val="20"/>
          <w:lang w:val="en-US" w:eastAsia="en-US" w:bidi="ar-SA"/>
        </w:rPr>
        <w:t>Grant</w:t>
      </w:r>
      <w:r>
        <w:rPr>
          <w:rFonts w:ascii="arial" w:eastAsia="arial" w:hAnsi="arial" w:cs="arial"/>
          <w:color w:val="000000"/>
          <w:sz w:val="20"/>
          <w:lang w:val="en-US" w:eastAsia="en-US" w:bidi="ar-SA"/>
        </w:rPr>
        <w:t>, I conclude that the admission at trial of the evidence obtained from Mr. Oswald's suite would not bring the administration of justice into disrepute. Mr. Oswald's application is therefore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N.P. KENT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0" style="position:absolute;z-index:2517893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04"/>
          <w:headerReference w:type="default" r:id="rId605"/>
          <w:footerReference w:type="even" r:id="rId606"/>
          <w:footerReference w:type="default" r:id="rId607"/>
          <w:headerReference w:type="first" r:id="rId608"/>
          <w:footerReference w:type="first" r:id="rId60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10" w:history="1">
        <w:r>
          <w:rPr>
            <w:rFonts w:ascii="arial" w:eastAsia="arial" w:hAnsi="arial" w:cs="arial"/>
            <w:b/>
            <w:bCs/>
            <w:i/>
            <w:color w:val="0077CC"/>
            <w:kern w:val="32"/>
            <w:sz w:val="28"/>
            <w:szCs w:val="32"/>
            <w:u w:val="single"/>
            <w:shd w:val="clear" w:color="auto" w:fill="FFFFFF"/>
            <w:lang w:val="en-US" w:eastAsia="en-US" w:bidi="ar-SA"/>
          </w:rPr>
          <w:t>Samra v. Bring, [2020] B.C.J. No. 137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 Brown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19,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29, 2020.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S205314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[2020] B.C.J. No. 137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2020 BCSC 109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Arshveer Samra, Plaintiff, and Amandeep Singh Bring, Jagdev Singh Sikham, Jagdev Singh Sikham, Kudratvir Singh "Kujo" Singh Jhaj, East to West Group of Companies, East to West Holdings Ltd., East to West Insurance Ltd., East to West Financial Corporation, East to West Insurance Brokerage Ltd., East to West Leasing Ltd., and Buckley Hogan Law Corporation,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(46 paras.)</w:t>
      </w:r>
    </w:p>
    <w:p>
      <w:pPr>
        <w:jc w:val="both"/>
        <w:rPr>
          <w:rFonts w:ascii="arial" w:eastAsia="arial" w:hAnsi="arial" w:cs="arial"/>
          <w:sz w:val="20"/>
          <w:lang w:val="en-US" w:eastAsia="en-US" w:bidi="ar-SA"/>
        </w:rPr>
      </w:pPr>
      <w:bookmarkStart w:id="96" w:name="Counsel_28"/>
      <w:bookmarkEnd w:id="9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1" style="position:absolute;z-index:2516889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appearing in person: A. Samra.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Kudratvir Singh Jhaj: K. Murray, J. Stansfield.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97" w:name="Judgment_28"/>
      <w:bookmarkEnd w:id="97"/>
      <w:r>
        <w:pict>
          <v:line id="_x0000_s1122" style="position:absolute;z-index:25174016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98" w:name="B. BROWN J."/>
            <w:bookmarkEnd w:id="98"/>
            <w:r>
              <w:rPr>
                <w:rFonts w:ascii="arial" w:eastAsia="arial" w:hAnsi="arial" w:cs="arial"/>
                <w:b/>
                <w:color w:val="000000"/>
                <w:sz w:val="30"/>
                <w:lang w:val="en-US" w:eastAsia="en-US" w:bidi="ar-SA"/>
              </w:rPr>
              <w:t>B. BROWN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There are two summary trial applications before me. The first is brought by Mr. Samra (Although he does not specify the rule on which he relies, it is clear from his application and submissions that he intends this application to be brought pursuant to Rule 9-7). The only remaining defendant, Mr. Jhaj also brings an application pursuant to Rule 9-7 to have the action against him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his pleadings, Mr. Samra seeks judgment against Mr. Jhaj for general damages, compensatory damages, expectation damages, consequential damages, pecuniary and non-pecuniary damages, punitive damages, aggravated damages and court order interest and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Mr. Samra pleads duty of loyalty/conflict of interest;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negligent misrepresentation; intentional and/or negligent infliction of mental suffering/emotional distress; nervous shock; breach of contract/void contract; joint and several liability; vicarious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 Mr. Jhaj raises a number of defences to the claim and says that the action must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Samra is a lawyer. In 2018 he was looking to purchase a commercial strata unit for his law office. He learned that Unit 221 8028 128 Street in Surrey was available. He made an offer to purchase that unit for $675,000 including furnishings. He paid a deposit of $33,750.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MLS listing showed the square footage for unit 221 at 1183 ft.2. That listing was provided to Mr. Samra at his request by one of the principals of the vender.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Samra says that he believed that the unit was 1183 ft.2 and that this was fundamental to his purchase.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agreement was drawn by the real estate agent acting for the vendor, Mr. Jhaj. It did not contain any subjects with respect to verifying the square footage of the unit. Mr. Samra inspected the unit himself prior to signing the agreement of purchase and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After the agreement was signed, Mr. Samra retained an appraiser to appraise the unit so that he could obtain mortgage financing. The appraiser provided an opinion that the property was worth $645,000, and was 1076 ft.2, rather than 1183 ft.2 as indicated in the listing. The agreed-upon price was $675,000 which included certain furniture and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Samra was very disappointed. In his view, he was losing approximately $61,000 in value because the unit was smaller than represented. On June 25, 2018 Mr. Samra notified the principal of the vendor that the property was not 1183 ft.2 as indicated and that he wanted a price reduction or return of his deposit.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June 26, 2018 Mr. Jhaj emailed Mr. Samra advising that the deposit would be returned once he signed a deposit release and a collapsed sale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Samra was not prepared to sign a deposit release and collapsed sale report. Apparently he thought that this request was some form of fraud or that return of the money would be proceeds of crime.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the closing date, July 2, 2018, Mr. Samra did not complete the agreement of purchase and sale. On August 31, 2018 the property was sold to another purchaser for $670,000 including the furniture and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Samra says that before these events he had been diagnosed with bi-polar disorder. He had occasional depressed mood and repeated manic episodes between 2012 and 2014. In 2015-2018 he was treated by a psychiatrist, Dr. Khan, and did not experience prominent manic episodes.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Samra says that because of the misrepresentation and the communications back and forth he became paranoid, hyper-focused and stressed. His condition worsened. He went to his doctor, who prescribed a different medication. After taking that medication, he became delusional and developed a full-blown manic episode. He says that that this would have happened even without the change in medication. His condition deteriorated. He was not able to practice as a lawyer from mid-July to mid-October 2018 because of his medical condition. He returned to practice but has not earned as much as he did before these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summary, Mr. Samra asks the court to find there was a negligent misrepresentation. He says he must be put in the position he would have been in had the misrepresentation not been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If negligent misrepresentation is not established, Mr. Samra asks the court to find there was an innocent misrepresentation and order the return of his deposit.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Samra also claims for intentional and/or negligent infliction of mental suffering/emotional distress.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Samra seeks damages of:</w:t>
      </w:r>
      <w:r>
        <w:rPr>
          <w:rFonts w:ascii="arial" w:eastAsia="arial" w:hAnsi="arial" w:cs="arial"/>
          <w:sz w:val="20"/>
          <w:lang w:val="en-US" w:eastAsia="en-US" w:bidi="ar-SA"/>
        </w:rPr>
        <w:cr/>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$200,000 in non-pecuniary damages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$144,750 for past wage loss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$1,118,000 for future wage loss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Aggravated damages of $20,000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Appropriateness for Summary Trial;</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Negligent Misrepresentation;</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Innocent Misrepresentation;</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Intentional and/or negligent infliction of mental suffering; and</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Miscellaneous Claims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Appropriateness of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Both of the parties take the position that it is appropriate to deal with their application by way of summary trial. The defendant Mr. Jhaj takes the view that the action can be dismissed by way of summary trial, but that Mr. Samra's claims could not be granted without a full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It is my view that the matter can be dismissed by way of summary trial. The onus remains on Mr. Samra to establish his claims: </w:t>
      </w:r>
      <w:r>
        <w:rPr>
          <w:rFonts w:ascii="arial" w:eastAsia="arial" w:hAnsi="arial" w:cs="arial"/>
          <w:i/>
          <w:color w:val="000000"/>
          <w:sz w:val="20"/>
          <w:lang w:val="en-US" w:eastAsia="en-US" w:bidi="ar-SA"/>
        </w:rPr>
        <w:t>Gichuru v. Pallai</w:t>
      </w:r>
      <w:r>
        <w:rPr>
          <w:rFonts w:ascii="arial" w:eastAsia="arial" w:hAnsi="arial" w:cs="arial"/>
          <w:color w:val="000000"/>
          <w:sz w:val="20"/>
          <w:lang w:val="en-US" w:eastAsia="en-US" w:bidi="ar-SA"/>
        </w:rPr>
        <w:t xml:space="preserve">, </w:t>
      </w:r>
      <w:hyperlink r:id="rId611" w:history="1">
        <w:r>
          <w:rPr>
            <w:rFonts w:ascii="arial" w:eastAsia="arial" w:hAnsi="arial" w:cs="arial"/>
            <w:i/>
            <w:color w:val="0077CC"/>
            <w:sz w:val="20"/>
            <w:u w:val="single"/>
            <w:shd w:val="clear" w:color="auto" w:fill="FFFFFF"/>
            <w:lang w:val="en-US" w:eastAsia="en-US" w:bidi="ar-SA"/>
          </w:rPr>
          <w:t>2013 BCCA 60</w:t>
        </w:r>
      </w:hyperlink>
      <w:r>
        <w:rPr>
          <w:rFonts w:ascii="arial" w:eastAsia="arial" w:hAnsi="arial" w:cs="arial"/>
          <w:color w:val="000000"/>
          <w:sz w:val="20"/>
          <w:lang w:val="en-US" w:eastAsia="en-US" w:bidi="ar-SA"/>
        </w:rPr>
        <w:t xml:space="preserve"> at para. 35. He has not done so. There is no real dispute with respect to the necessary underlying facts. I am satisfied that the action can be dismissed on the evidence before me. It is the position of the defendant that the action must be dismissed in law because the plaintiff's claims are fatally flawed. This does not depend on a determination of credibility or other assessment of the evidence per 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Samra argues that Mr. Jhaj made a negligent misrepresentation of the square footage of the unit which resulted in the damages which he seeks.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parties agree that the elements for negligent misrepresentation are set out in </w:t>
      </w:r>
      <w:r>
        <w:rPr>
          <w:rFonts w:ascii="arial" w:eastAsia="arial" w:hAnsi="arial" w:cs="arial"/>
          <w:i/>
          <w:color w:val="000000"/>
          <w:sz w:val="20"/>
          <w:lang w:val="en-US" w:eastAsia="en-US" w:bidi="ar-SA"/>
        </w:rPr>
        <w:t>Queen v. Cognos Inc.</w:t>
      </w:r>
      <w:r>
        <w:rPr>
          <w:rFonts w:ascii="arial" w:eastAsia="arial" w:hAnsi="arial" w:cs="arial"/>
          <w:color w:val="000000"/>
          <w:sz w:val="20"/>
          <w:lang w:val="en-US" w:eastAsia="en-US" w:bidi="ar-SA"/>
        </w:rPr>
        <w:t xml:space="preserve">, </w:t>
      </w:r>
      <w:hyperlink r:id="rId612" w:history="1">
        <w:r>
          <w:rPr>
            <w:rFonts w:ascii="arial" w:eastAsia="arial" w:hAnsi="arial" w:cs="arial"/>
            <w:i/>
            <w:color w:val="0077CC"/>
            <w:sz w:val="20"/>
            <w:u w:val="single"/>
            <w:shd w:val="clear" w:color="auto" w:fill="FFFFFF"/>
            <w:lang w:val="en-US" w:eastAsia="en-US" w:bidi="ar-SA"/>
          </w:rPr>
          <w:t>[1993] 1 S.C.R. 87</w:t>
        </w:r>
      </w:hyperlink>
      <w:r>
        <w:rPr>
          <w:rFonts w:ascii="arial" w:eastAsia="arial" w:hAnsi="arial" w:cs="arial"/>
          <w:color w:val="000000"/>
          <w:sz w:val="20"/>
          <w:lang w:val="en-US" w:eastAsia="en-US" w:bidi="ar-SA"/>
        </w:rPr>
        <w:t>. These are:</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a duty of care based on a special relationship between the representor and the representee;</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representation must be untrue, inaccurate or misleading;</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representor must have acted negligently in making the misrepresentation;</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representee must have reasonably relied on the negligent misrepresentation; and</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reliance must be detrimental to the representee in the sense that damages resulted.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Although I have some doubt as to whether the plaintiff can establish a special relationship between Mr. Jhaj and himself, given that Mr. Jhaj was agent for the vendor, I am satisfied that the plaintiff cannot make out other elements of this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Jhaj concedes that the square footage in the listing was inaccurate.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There is no evidence that Mr. Jhaj acted negligently in making the misrepresentation. He measured the plans to determine the square footage. I do not have any evidence from any other real estate agent as to the usual conduct of a real estate agent in determining the square footage of a property. There is no evidence to persuade me that Mr. Jhaj acted negligently.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Secondly, I am not persuaded that Mr. Samra reasonably relied on the misrepresentation. In this regard, he personally viewed the property and determined that it was acceptable for its intended use. The size of the property is obvious and investigating the property to determine its square footage would normally be something that a purchaser would undertake.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Moreover, in this case the multiple listing stated that "Information herein deemed reliable but not guaranteed". This is sufficient to put the purchaser on notice that the information may not be accurate. If the purchaser wished to verify the information, he may do so. It is not reasonable for him to rely on the square footage as stated in the listing when it is specifically stated that it is not guaranteed.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Finally, I am not persuaded that the reliance was detrimental to Mr. Samra in the sense that the property was worth less than he offered. The property was sold very shortly afterward for $670,000. This is a difference of less than 1%. I am simply not persuaded that there was any loss in the property purchase that flowed from the misrepresentation, assuming that a misrepresentation can be made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Samra has stressed after the fact that the square footage of the office was of great importance to him. However, Mr. Samra could not recall whether he requested verification of the size of the unit before signing the contract and the contract does not contain any terms concerning the square footage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most significant aspect of Mr. Samra's claim however flows from his mental health crisis and the loss to his practice. In this regard, it is my view that, even if Mr. Samra had established negligent misrepresentation, his damages were not foreseeable.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This issue was addressed by the Supreme Court of Canada in </w:t>
      </w:r>
      <w:r>
        <w:rPr>
          <w:rFonts w:ascii="arial" w:eastAsia="arial" w:hAnsi="arial" w:cs="arial"/>
          <w:i/>
          <w:color w:val="000000"/>
          <w:sz w:val="20"/>
          <w:lang w:val="en-US" w:eastAsia="en-US" w:bidi="ar-SA"/>
        </w:rPr>
        <w:t>Mustapha v. Culligan of Canada Ltd.</w:t>
      </w:r>
      <w:r>
        <w:rPr>
          <w:rFonts w:ascii="arial" w:eastAsia="arial" w:hAnsi="arial" w:cs="arial"/>
          <w:color w:val="000000"/>
          <w:sz w:val="20"/>
          <w:lang w:val="en-US" w:eastAsia="en-US" w:bidi="ar-SA"/>
        </w:rPr>
        <w:t xml:space="preserve">, </w:t>
      </w:r>
      <w:hyperlink r:id="rId613" w:history="1">
        <w:r>
          <w:rPr>
            <w:rFonts w:ascii="arial" w:eastAsia="arial" w:hAnsi="arial" w:cs="arial"/>
            <w:i/>
            <w:color w:val="0077CC"/>
            <w:sz w:val="20"/>
            <w:u w:val="single"/>
            <w:shd w:val="clear" w:color="auto" w:fill="FFFFFF"/>
            <w:lang w:val="en-US" w:eastAsia="en-US" w:bidi="ar-SA"/>
          </w:rPr>
          <w:t>2008 SCC 27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Mustapha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The fourth and final question to address in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is whether the defendant's breach caused the plaintiff's harm in fact and in law. The evidence before the trial judge establishes that the defendant's breach of its duty of care in fact caused Mr. Mustapha's psychiatric injury. We are not asked to revisit this conclusion. The remaining question is whether that breach also caused the plaintiff's damage in law or whether it is too remote to warrant recovery.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The remoteness inquiry asks whether "the harm [is] too unrelated to the wrongful conduct to hold the defendant fairly liable" (Linden and Feldthusen, at p. 360). Since </w:t>
      </w:r>
      <w:r>
        <w:rPr>
          <w:rFonts w:ascii="arial" w:eastAsia="arial" w:hAnsi="arial" w:cs="arial"/>
          <w:i/>
          <w:color w:val="000000"/>
          <w:sz w:val="20"/>
          <w:lang w:val="en-US" w:eastAsia="en-US" w:bidi="ar-SA"/>
        </w:rPr>
        <w:t>The Wagon Mound (No. 1)</w:t>
      </w:r>
      <w:r>
        <w:rPr>
          <w:rFonts w:ascii="arial" w:eastAsia="arial" w:hAnsi="arial" w:cs="arial"/>
          <w:color w:val="000000"/>
          <w:sz w:val="20"/>
          <w:lang w:val="en-US" w:eastAsia="en-US" w:bidi="ar-SA"/>
        </w:rPr>
        <w:t>, the principle has been that "it is the foresight of the reasonable man which alone can determine responsibility" (</w:t>
      </w:r>
      <w:r>
        <w:rPr>
          <w:rFonts w:ascii="arial" w:eastAsia="arial" w:hAnsi="arial" w:cs="arial"/>
          <w:i/>
          <w:color w:val="000000"/>
          <w:sz w:val="20"/>
          <w:lang w:val="en-US" w:eastAsia="en-US" w:bidi="ar-SA"/>
        </w:rPr>
        <w:t>Overseas Tankship (U.K.) Ltd. v. Morts Dock &amp; Engineering Co.</w:t>
      </w:r>
      <w:r>
        <w:rPr>
          <w:rFonts w:ascii="arial" w:eastAsia="arial" w:hAnsi="arial" w:cs="arial"/>
          <w:color w:val="000000"/>
          <w:sz w:val="20"/>
          <w:lang w:val="en-US" w:eastAsia="en-US" w:bidi="ar-SA"/>
        </w:rPr>
        <w:t>, [1961] A.C. 388 (P.C.), at p. 424).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 Much has been written on how probable or likely a harm needs to be in order to be considered reasonably foreseeable. The parties raise the question of whether a reasonably foreseeable harm is one whose occurrence is </w:t>
      </w:r>
      <w:r>
        <w:rPr>
          <w:rFonts w:ascii="arial" w:eastAsia="arial" w:hAnsi="arial" w:cs="arial"/>
          <w:i/>
          <w:color w:val="000000"/>
          <w:sz w:val="20"/>
          <w:lang w:val="en-US" w:eastAsia="en-US" w:bidi="ar-SA"/>
        </w:rPr>
        <w:t>probable</w:t>
      </w:r>
      <w:r>
        <w:rPr>
          <w:rFonts w:ascii="arial" w:eastAsia="arial" w:hAnsi="arial" w:cs="arial"/>
          <w:color w:val="000000"/>
          <w:sz w:val="20"/>
          <w:lang w:val="en-US" w:eastAsia="en-US" w:bidi="ar-SA"/>
        </w:rPr>
        <w:t xml:space="preserve"> or merely </w:t>
      </w:r>
      <w:r>
        <w:rPr>
          <w:rFonts w:ascii="arial" w:eastAsia="arial" w:hAnsi="arial" w:cs="arial"/>
          <w:i/>
          <w:color w:val="000000"/>
          <w:sz w:val="20"/>
          <w:lang w:val="en-US" w:eastAsia="en-US" w:bidi="ar-SA"/>
        </w:rPr>
        <w:t>possible</w:t>
      </w:r>
      <w:r>
        <w:rPr>
          <w:rFonts w:ascii="arial" w:eastAsia="arial" w:hAnsi="arial" w:cs="arial"/>
          <w:color w:val="000000"/>
          <w:sz w:val="20"/>
          <w:lang w:val="en-US" w:eastAsia="en-US" w:bidi="ar-SA"/>
        </w:rPr>
        <w:t xml:space="preserve">. In my view, these terms are misleading. Any harm which has actually occurred is "possible"; it is therefore clear that possibility alone does not provide a meaningful standard for the application of reasonable foreseeability. The degree of probability that would satisfy the reasonable foreseeability requirement was described in </w:t>
      </w:r>
      <w:r>
        <w:rPr>
          <w:rFonts w:ascii="arial" w:eastAsia="arial" w:hAnsi="arial" w:cs="arial"/>
          <w:i/>
          <w:color w:val="000000"/>
          <w:sz w:val="20"/>
          <w:lang w:val="en-US" w:eastAsia="en-US" w:bidi="ar-SA"/>
        </w:rPr>
        <w:t>The Wagon Mound (No. 2)</w:t>
      </w:r>
      <w:r>
        <w:rPr>
          <w:rFonts w:ascii="arial" w:eastAsia="arial" w:hAnsi="arial" w:cs="arial"/>
          <w:color w:val="000000"/>
          <w:sz w:val="20"/>
          <w:lang w:val="en-US" w:eastAsia="en-US" w:bidi="ar-SA"/>
        </w:rPr>
        <w:t xml:space="preserve"> as a "real risk", i.e. "one which would occur to the mind of a reasonable man in the position of the defendant ... and which he would not brush aside as far-fetched" (</w:t>
      </w:r>
      <w:r>
        <w:rPr>
          <w:rFonts w:ascii="arial" w:eastAsia="arial" w:hAnsi="arial" w:cs="arial"/>
          <w:i/>
          <w:color w:val="000000"/>
          <w:sz w:val="20"/>
          <w:lang w:val="en-US" w:eastAsia="en-US" w:bidi="ar-SA"/>
        </w:rPr>
        <w:t>Overseas Tankship (U.K.) Ltd. v. Miller Steamship Co. Pty.</w:t>
      </w:r>
      <w:r>
        <w:rPr>
          <w:rFonts w:ascii="arial" w:eastAsia="arial" w:hAnsi="arial" w:cs="arial"/>
          <w:color w:val="000000"/>
          <w:sz w:val="20"/>
          <w:lang w:val="en-US" w:eastAsia="en-US" w:bidi="ar-SA"/>
        </w:rPr>
        <w:t>, [1967] A.C. 617, at p. 643).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 The remoteness inquiry depends not only upon the degree of probability required to meet the reasonable foreseeability requirement, but also upon whether or not the plaintiff is considered objectively or subjectively. One of the questions that arose in this case was whether, in judging whether the personal injury was foreseeable, one looks at a person of "ordinary fortitude" or at a particular plaintiff with his or her particular vulnerabilities. This question may be acute in claims for mental injury, since there is a wide variation in how particular people respond to particular stressors. The law has consistently held - albeit within the duty of care analysis - that the question is what a person of ordinary fortitude would suffer: see </w:t>
      </w:r>
      <w:r>
        <w:rPr>
          <w:rFonts w:ascii="arial" w:eastAsia="arial" w:hAnsi="arial" w:cs="arial"/>
          <w:i/>
          <w:color w:val="000000"/>
          <w:sz w:val="20"/>
          <w:lang w:val="en-US" w:eastAsia="en-US" w:bidi="ar-SA"/>
        </w:rPr>
        <w:t>White v. Chief Constable of South Yorkshire Police</w:t>
      </w:r>
      <w:r>
        <w:rPr>
          <w:rFonts w:ascii="arial" w:eastAsia="arial" w:hAnsi="arial" w:cs="arial"/>
          <w:color w:val="000000"/>
          <w:sz w:val="20"/>
          <w:lang w:val="en-US" w:eastAsia="en-US" w:bidi="ar-SA"/>
        </w:rPr>
        <w:t xml:space="preserve">, [1998] 3 W.L.R. 1509 (H.L.); </w:t>
      </w:r>
      <w:r>
        <w:rPr>
          <w:rFonts w:ascii="arial" w:eastAsia="arial" w:hAnsi="arial" w:cs="arial"/>
          <w:i/>
          <w:color w:val="000000"/>
          <w:sz w:val="20"/>
          <w:lang w:val="en-US" w:eastAsia="en-US" w:bidi="ar-SA"/>
        </w:rPr>
        <w:t>Devji v. Burnaby (District)</w:t>
      </w:r>
      <w:r>
        <w:rPr>
          <w:rFonts w:ascii="arial" w:eastAsia="arial" w:hAnsi="arial" w:cs="arial"/>
          <w:color w:val="000000"/>
          <w:sz w:val="20"/>
          <w:lang w:val="en-US" w:eastAsia="en-US" w:bidi="ar-SA"/>
        </w:rPr>
        <w:t xml:space="preserve"> </w:t>
      </w:r>
      <w:hyperlink r:id="rId614" w:history="1">
        <w:r>
          <w:rPr>
            <w:rFonts w:ascii="arial" w:eastAsia="arial" w:hAnsi="arial" w:cs="arial"/>
            <w:i/>
            <w:color w:val="0077CC"/>
            <w:sz w:val="20"/>
            <w:u w:val="single"/>
            <w:shd w:val="clear" w:color="auto" w:fill="FFFFFF"/>
            <w:lang w:val="en-US" w:eastAsia="en-US" w:bidi="ar-SA"/>
          </w:rPr>
          <w:t>(1999), 180 D.L.R. (4th) 205</w:t>
        </w:r>
      </w:hyperlink>
      <w:r>
        <w:rPr>
          <w:rFonts w:ascii="arial" w:eastAsia="arial" w:hAnsi="arial" w:cs="arial"/>
          <w:color w:val="000000"/>
          <w:sz w:val="20"/>
          <w:lang w:val="en-US" w:eastAsia="en-US" w:bidi="ar-SA"/>
        </w:rPr>
        <w:t xml:space="preserve">, </w:t>
      </w:r>
      <w:hyperlink r:id="rId614" w:history="1">
        <w:r>
          <w:rPr>
            <w:rFonts w:ascii="arial" w:eastAsia="arial" w:hAnsi="arial" w:cs="arial"/>
            <w:i/>
            <w:color w:val="0077CC"/>
            <w:sz w:val="20"/>
            <w:u w:val="single"/>
            <w:shd w:val="clear" w:color="auto" w:fill="FFFFFF"/>
            <w:lang w:val="en-US" w:eastAsia="en-US" w:bidi="ar-SA"/>
          </w:rPr>
          <w:t>1999 BCCA 599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Vanek</w:t>
      </w:r>
      <w:r>
        <w:rPr>
          <w:rFonts w:ascii="arial" w:eastAsia="arial" w:hAnsi="arial" w:cs="arial"/>
          <w:color w:val="000000"/>
          <w:sz w:val="20"/>
          <w:lang w:val="en-US" w:eastAsia="en-US" w:bidi="ar-SA"/>
        </w:rPr>
        <w:t xml:space="preserve">. As stated in </w:t>
      </w:r>
      <w:r>
        <w:rPr>
          <w:rFonts w:ascii="arial" w:eastAsia="arial" w:hAnsi="arial" w:cs="arial"/>
          <w:i/>
          <w:color w:val="000000"/>
          <w:sz w:val="20"/>
          <w:lang w:val="en-US" w:eastAsia="en-US" w:bidi="ar-SA"/>
        </w:rPr>
        <w:t>White</w:t>
      </w:r>
      <w:r>
        <w:rPr>
          <w:rFonts w:ascii="arial" w:eastAsia="arial" w:hAnsi="arial" w:cs="arial"/>
          <w:color w:val="000000"/>
          <w:sz w:val="20"/>
          <w:lang w:val="en-US" w:eastAsia="en-US" w:bidi="ar-SA"/>
        </w:rPr>
        <w:t>, at p. 1512: "The law expects reasonable fortitude and robustness of its citizens and will not impose liability for the exceptional frailty of certain individuals."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To say this is not to marginalize or penalize those particularly vulnerable to mental injury. It is merely to confirm that the law of tort imposes an obligation to compensate for any harm done on the basis of </w:t>
      </w:r>
      <w:r>
        <w:rPr>
          <w:rFonts w:ascii="arial" w:eastAsia="arial" w:hAnsi="arial" w:cs="arial"/>
          <w:i/>
          <w:color w:val="000000"/>
          <w:sz w:val="20"/>
          <w:lang w:val="en-US" w:eastAsia="en-US" w:bidi="ar-SA"/>
        </w:rPr>
        <w:t>reasonable</w:t>
      </w:r>
      <w:r>
        <w:rPr>
          <w:rFonts w:ascii="arial" w:eastAsia="arial" w:hAnsi="arial" w:cs="arial"/>
          <w:color w:val="000000"/>
          <w:sz w:val="20"/>
          <w:lang w:val="en-US" w:eastAsia="en-US" w:bidi="ar-SA"/>
        </w:rPr>
        <w:t xml:space="preserve"> foresight, not as insurance.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seeks to impose a result that is fair to both plaintiffs and defendants, and that is socially useful. In this quest, it draws the line for compensability of damage, not at perfection, but at reasonable foreseeability. Once a plaintiff establishes the foreseeability that a mental injury would occur in a person of ordinary fortitude, by contrast, the defendant must take the plaintiff as it finds him for purposes of damages. As stated in </w:t>
      </w:r>
      <w:r>
        <w:rPr>
          <w:rFonts w:ascii="arial" w:eastAsia="arial" w:hAnsi="arial" w:cs="arial"/>
          <w:i/>
          <w:color w:val="000000"/>
          <w:sz w:val="20"/>
          <w:lang w:val="en-US" w:eastAsia="en-US" w:bidi="ar-SA"/>
        </w:rPr>
        <w:t>White</w:t>
      </w:r>
      <w:r>
        <w:rPr>
          <w:rFonts w:ascii="arial" w:eastAsia="arial" w:hAnsi="arial" w:cs="arial"/>
          <w:color w:val="000000"/>
          <w:sz w:val="20"/>
          <w:lang w:val="en-US" w:eastAsia="en-US" w:bidi="ar-SA"/>
        </w:rPr>
        <w:t>, at p. 1512, focusing on the person of ordinary fortitude for the purposes of determining foreseeability "is not to be confused with the 'eggshell skull' situation, where as a result of a breach of duty the damage inflicted proves to be more serious than expected". Rather, it is a threshold test for establishing compensability of damages at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question of whether the misrepresentation caused Mr. Samra's medical deterioration in fact cannot be determined on this application. There is conflicting evidence on this point. However, I am satisfied that Mr. Samra's damage is too remote to warrant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As is indicated in </w:t>
      </w:r>
      <w:r>
        <w:rPr>
          <w:rFonts w:ascii="arial" w:eastAsia="arial" w:hAnsi="arial" w:cs="arial"/>
          <w:i/>
          <w:color w:val="000000"/>
          <w:sz w:val="20"/>
          <w:lang w:val="en-US" w:eastAsia="en-US" w:bidi="ar-SA"/>
        </w:rPr>
        <w:t>Mustapha</w:t>
      </w:r>
      <w:r>
        <w:rPr>
          <w:rFonts w:ascii="arial" w:eastAsia="arial" w:hAnsi="arial" w:cs="arial"/>
          <w:color w:val="000000"/>
          <w:sz w:val="20"/>
          <w:lang w:val="en-US" w:eastAsia="en-US" w:bidi="ar-SA"/>
        </w:rPr>
        <w:t xml:space="preserve"> the law expects reasonable fortitude and robustness of its citizens and will not impose liability for exceptional frailty of certain individuals. Assuming that Mr. Samra's loss was caused by the representation, Mr. Samra did not have the reasonable fortitude and robustness of most citizens. His vulnerability and frailty were exceptional. The response that he had was not foreseeable.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Jhaj was not aware that Mr. Samra was psychiatrically or psychologically vulnerable. There is no evidence that he was aware of Mr. Samra's particular condition. It is not foreseeable that the circumstances of this case would result in the harm suffered by Mr. Samra. Mr. Samra asked for a reduced purchase price or return of his deposit on June 25. On June 26 Mr. Jhaj advised Mr. Samra that he could have his deposit back if he signed the requisite documents. Mr. Samra was not willing to do so. There was nothing to suggest that Mr. Samra would suffer any loss because of the 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This foreseeability requirement applies equally to negligent misrepresentation as to other forms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Feldstein v. 364 Northern Development Corporation</w:t>
      </w:r>
      <w:r>
        <w:rPr>
          <w:rFonts w:ascii="arial" w:eastAsia="arial" w:hAnsi="arial" w:cs="arial"/>
          <w:color w:val="000000"/>
          <w:sz w:val="20"/>
          <w:lang w:val="en-US" w:eastAsia="en-US" w:bidi="ar-SA"/>
        </w:rPr>
        <w:t xml:space="preserve">, </w:t>
      </w:r>
      <w:hyperlink r:id="rId615" w:history="1">
        <w:r>
          <w:rPr>
            <w:rFonts w:ascii="arial" w:eastAsia="arial" w:hAnsi="arial" w:cs="arial"/>
            <w:i/>
            <w:color w:val="0077CC"/>
            <w:sz w:val="20"/>
            <w:u w:val="single"/>
            <w:shd w:val="clear" w:color="auto" w:fill="FFFFFF"/>
            <w:lang w:val="en-US" w:eastAsia="en-US" w:bidi="ar-SA"/>
          </w:rPr>
          <w:t>2017 BCCA 174</w:t>
        </w:r>
      </w:hyperlink>
      <w:r>
        <w:rPr>
          <w:rFonts w:ascii="arial" w:eastAsia="arial" w:hAnsi="arial" w:cs="arial"/>
          <w:color w:val="000000"/>
          <w:sz w:val="20"/>
          <w:lang w:val="en-US" w:eastAsia="en-US" w:bidi="ar-SA"/>
        </w:rPr>
        <w:t xml:space="preserve"> at para. 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Innocent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Samra argued, in the alternative, that if the court finds only an innocent misrepresentation, he should be entitled to return of his deposit.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am satisfied that Mr. Jhaj, as the real estate agent in this case, who had no contract with Mr. Samra, cannot be liable for the return of the deposit. Mr. Samra's claims against the other parties to this action, who would include the vendor in this case, were dismissed by consent order on October 18, 2019.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Samra says, at another point, that regardless of whether the misrepresentation was fraudulent, negligent or innocent the agreement should be rescinded based on the legal doctrine of rescission. This claim can be similarly dealt with. Mr. Samra did not have a contract with Mr. Jhaj, the remaining defendant, and there can be no contractual 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Intentional or Negligent Infliction of Mental/Emotional Suffering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Samra also says that Mr. Jhaj is responsible for intentional or negligent infliction of mental suffering. Here he refers to Mr. Jhaj's email where Mr. Jhaj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you failed to sign Legal Fraser Valley Real Estate Board documents we cannot give you your deposit back as that would mean the deal is still active and you are going to provide my sellers with the remaining balance of $675,000 minus the deposit paid... This documents were sent to you as a convenience and courtesy for you to review before tomorrow to save time and again based on goodwill. We will have them filled out before you sign... So I request we stop playing all the games and we all get back to business and you sign these documents, collect your deposit and we move on. My sellers are working with you at every point let's be reasonable and resolve this and not waste any more of anyone's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Mr. Samra asserts that the reference to "playing games" indicates that Mr. Jhaj intentionally inflicted mental suffering and emotional distress. He refers to a number of cases, including </w:t>
      </w:r>
      <w:r>
        <w:rPr>
          <w:rFonts w:ascii="arial" w:eastAsia="arial" w:hAnsi="arial" w:cs="arial"/>
          <w:i/>
          <w:color w:val="000000"/>
          <w:sz w:val="20"/>
          <w:lang w:val="en-US" w:eastAsia="en-US" w:bidi="ar-SA"/>
        </w:rPr>
        <w:t>Johnson v. Smith</w:t>
      </w:r>
      <w:r>
        <w:rPr>
          <w:rFonts w:ascii="arial" w:eastAsia="arial" w:hAnsi="arial" w:cs="arial"/>
          <w:color w:val="000000"/>
          <w:sz w:val="20"/>
          <w:lang w:val="en-US" w:eastAsia="en-US" w:bidi="ar-SA"/>
        </w:rPr>
        <w:t xml:space="preserve">, </w:t>
      </w:r>
      <w:hyperlink r:id="rId616" w:history="1">
        <w:r>
          <w:rPr>
            <w:rFonts w:ascii="arial" w:eastAsia="arial" w:hAnsi="arial" w:cs="arial"/>
            <w:i/>
            <w:color w:val="0077CC"/>
            <w:sz w:val="20"/>
            <w:u w:val="single"/>
            <w:shd w:val="clear" w:color="auto" w:fill="FFFFFF"/>
            <w:lang w:val="en-US" w:eastAsia="en-US" w:bidi="ar-SA"/>
          </w:rPr>
          <w:t>2018 BCSC 836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Johnson</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Johnson</w:t>
      </w:r>
      <w:r>
        <w:rPr>
          <w:rFonts w:ascii="arial" w:eastAsia="arial" w:hAnsi="arial" w:cs="arial"/>
          <w:color w:val="000000"/>
          <w:sz w:val="20"/>
          <w:lang w:val="en-US" w:eastAsia="en-US" w:bidi="ar-SA"/>
        </w:rPr>
        <w:t xml:space="preserve"> Mr. Justice Butler summarized a claim for intentional infliction of mental suffering and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To establish a claim for intentional infliction of mental suffering, a plaintiff must plead the following material facts: flagrant or outrageous conduct by the defendants that was calculated to harm the plaintiff; and which caused the plaintiff to suffer a visible and provable medical illness: </w:t>
      </w:r>
      <w:r>
        <w:rPr>
          <w:rFonts w:ascii="arial" w:eastAsia="arial" w:hAnsi="arial" w:cs="arial"/>
          <w:i/>
          <w:color w:val="000000"/>
          <w:sz w:val="20"/>
          <w:lang w:val="en-US" w:eastAsia="en-US" w:bidi="ar-SA"/>
        </w:rPr>
        <w:t>Frame v. Smith</w:t>
      </w:r>
      <w:r>
        <w:rPr>
          <w:rFonts w:ascii="arial" w:eastAsia="arial" w:hAnsi="arial" w:cs="arial"/>
          <w:color w:val="000000"/>
          <w:sz w:val="20"/>
          <w:lang w:val="en-US" w:eastAsia="en-US" w:bidi="ar-SA"/>
        </w:rPr>
        <w:t xml:space="preserve">, </w:t>
      </w:r>
      <w:hyperlink r:id="rId445" w:history="1">
        <w:r>
          <w:rPr>
            <w:rFonts w:ascii="arial" w:eastAsia="arial" w:hAnsi="arial" w:cs="arial"/>
            <w:i/>
            <w:color w:val="0077CC"/>
            <w:sz w:val="20"/>
            <w:u w:val="single"/>
            <w:shd w:val="clear" w:color="auto" w:fill="FFFFFF"/>
            <w:lang w:val="en-US" w:eastAsia="en-US" w:bidi="ar-SA"/>
          </w:rPr>
          <w:t>[1987] 2 S.C.R. 99</w:t>
        </w:r>
      </w:hyperlink>
      <w:r>
        <w:rPr>
          <w:rFonts w:ascii="arial" w:eastAsia="arial" w:hAnsi="arial" w:cs="arial"/>
          <w:color w:val="000000"/>
          <w:sz w:val="20"/>
          <w:lang w:val="en-US" w:eastAsia="en-US" w:bidi="ar-SA"/>
        </w:rPr>
        <w:t xml:space="preserve"> at 127-128.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The tort has received limited consideration in Canada but is in the nature of a personal injury claim: </w:t>
      </w:r>
      <w:r>
        <w:rPr>
          <w:rFonts w:ascii="arial" w:eastAsia="arial" w:hAnsi="arial" w:cs="arial"/>
          <w:i/>
          <w:color w:val="000000"/>
          <w:sz w:val="20"/>
          <w:lang w:val="en-US" w:eastAsia="en-US" w:bidi="ar-SA"/>
        </w:rPr>
        <w:t>Edgar v. The British Columbia Institute of Technology</w:t>
      </w:r>
      <w:r>
        <w:rPr>
          <w:rFonts w:ascii="arial" w:eastAsia="arial" w:hAnsi="arial" w:cs="arial"/>
          <w:color w:val="000000"/>
          <w:sz w:val="20"/>
          <w:lang w:val="en-US" w:eastAsia="en-US" w:bidi="ar-SA"/>
        </w:rPr>
        <w:t xml:space="preserve">, </w:t>
      </w:r>
      <w:hyperlink r:id="rId617" w:history="1">
        <w:r>
          <w:rPr>
            <w:rFonts w:ascii="arial" w:eastAsia="arial" w:hAnsi="arial" w:cs="arial"/>
            <w:i/>
            <w:color w:val="0077CC"/>
            <w:sz w:val="20"/>
            <w:u w:val="single"/>
            <w:shd w:val="clear" w:color="auto" w:fill="FFFFFF"/>
            <w:lang w:val="en-US" w:eastAsia="en-US" w:bidi="ar-SA"/>
          </w:rPr>
          <w:t>2015 BCSC 710</w:t>
        </w:r>
      </w:hyperlink>
      <w:r>
        <w:rPr>
          <w:rFonts w:ascii="arial" w:eastAsia="arial" w:hAnsi="arial" w:cs="arial"/>
          <w:color w:val="000000"/>
          <w:sz w:val="20"/>
          <w:lang w:val="en-US" w:eastAsia="en-US" w:bidi="ar-SA"/>
        </w:rPr>
        <w:t xml:space="preserve"> at para. 38. The defendants' conduct must be shown to be intentional; reckless indifference is insufficient to establish liability: </w:t>
      </w:r>
      <w:r>
        <w:rPr>
          <w:rFonts w:ascii="arial" w:eastAsia="arial" w:hAnsi="arial" w:cs="arial"/>
          <w:i/>
          <w:color w:val="000000"/>
          <w:sz w:val="20"/>
          <w:lang w:val="en-US" w:eastAsia="en-US" w:bidi="ar-SA"/>
        </w:rPr>
        <w:t>Piresferreira v. Ayotte</w:t>
      </w:r>
      <w:r>
        <w:rPr>
          <w:rFonts w:ascii="arial" w:eastAsia="arial" w:hAnsi="arial" w:cs="arial"/>
          <w:color w:val="000000"/>
          <w:sz w:val="20"/>
          <w:lang w:val="en-US" w:eastAsia="en-US" w:bidi="ar-SA"/>
        </w:rPr>
        <w:t xml:space="preserve">, </w:t>
      </w:r>
      <w:hyperlink r:id="rId618" w:history="1">
        <w:r>
          <w:rPr>
            <w:rFonts w:ascii="arial" w:eastAsia="arial" w:hAnsi="arial" w:cs="arial"/>
            <w:i/>
            <w:color w:val="0077CC"/>
            <w:sz w:val="20"/>
            <w:u w:val="single"/>
            <w:shd w:val="clear" w:color="auto" w:fill="FFFFFF"/>
            <w:lang w:val="en-US" w:eastAsia="en-US" w:bidi="ar-SA"/>
          </w:rPr>
          <w:t>2010 ONCA 384</w:t>
        </w:r>
      </w:hyperlink>
      <w:r>
        <w:rPr>
          <w:rFonts w:ascii="arial" w:eastAsia="arial" w:hAnsi="arial" w:cs="arial"/>
          <w:color w:val="000000"/>
          <w:sz w:val="20"/>
          <w:lang w:val="en-US" w:eastAsia="en-US" w:bidi="ar-SA"/>
        </w:rPr>
        <w:t xml:space="preserve"> at para. 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There is no evidence in this case that could constitute flagrant or outrageous conduct by Mr. Jhaj that was calculated to harm Mr. Samra. A passing reference to "playing games" is not outrageous nor is there evidence that by using these words Mr. Jhaj intended to harm Mr. Samra. This claim could not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Miscellaneous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As indicated above, Mr. Samra references a number of different concepts under the Legal Basis portion of 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First, Mr. Samra makes reference to nervous shock. Nervous shock is not a claim, it is a description of the damage received as a result of a tort. No tort has been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Samra asserts joint liability and vicarious liability. As I have noted, Samra's action against the other defendants has been dismissed. I do not see that Mr. Jhaj could be vicariously or jointly and severally liable for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Accordingly, Mr. Samra's action is dismissed with costs to Mr. Jhaj. Although Mr. Jhaj has sought special costs, there is nothing in this action of such an outrageous nature as to merit special costs against Mr. Samra.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 BROWN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3" style="position:absolute;z-index:2517903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19"/>
          <w:headerReference w:type="default" r:id="rId620"/>
          <w:footerReference w:type="even" r:id="rId621"/>
          <w:footerReference w:type="default" r:id="rId622"/>
          <w:headerReference w:type="first" r:id="rId623"/>
          <w:footerReference w:type="first" r:id="rId62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25" w:history="1">
        <w:r>
          <w:rPr>
            <w:rFonts w:ascii="arial" w:eastAsia="arial" w:hAnsi="arial" w:cs="arial"/>
            <w:b/>
            <w:bCs/>
            <w:i/>
            <w:color w:val="0077CC"/>
            <w:kern w:val="32"/>
            <w:sz w:val="28"/>
            <w:szCs w:val="32"/>
            <w:u w:val="single"/>
            <w:shd w:val="clear" w:color="auto" w:fill="FFFFFF"/>
            <w:lang w:val="en-US" w:eastAsia="en-US" w:bidi="ar-SA"/>
          </w:rPr>
          <w:t>Sandhu v. Hennessy, [2020] B.C.J. No. 543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 Tucker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4, 2020.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2, 2020.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S176219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[2020] B.C.J. No. 543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2020 BCSC 515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Christine Sandhu, Plaintiff, and Cameron Hennessy, Samuel Murphy, and The Three Brits Enterprises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(59 paras.)</w:t>
      </w:r>
    </w:p>
    <w:p>
      <w:pPr>
        <w:jc w:val="both"/>
        <w:rPr>
          <w:rFonts w:ascii="arial" w:eastAsia="arial" w:hAnsi="arial" w:cs="arial"/>
          <w:sz w:val="20"/>
          <w:lang w:val="en-US" w:eastAsia="en-US" w:bidi="ar-SA"/>
        </w:rPr>
      </w:pPr>
      <w:bookmarkStart w:id="99" w:name="Counsel_29"/>
      <w:bookmarkEnd w:id="9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4" style="position:absolute;z-index:2516899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appearing in person: C. Sandhu.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Cameron Hennessy: I. Sorenson.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Samuel Murphy and The Three Brits Enterprises Ltd.: J. McAfee.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Naz Kohan: P.W. Hansen.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0" w:name="Judgment_29"/>
      <w:bookmarkEnd w:id="100"/>
      <w:r>
        <w:pict>
          <v:line id="_x0000_s1125" style="position:absolute;z-index:25174118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01" w:name="S. TUCKER J."/>
            <w:bookmarkEnd w:id="101"/>
            <w:r>
              <w:rPr>
                <w:rFonts w:ascii="arial" w:eastAsia="arial" w:hAnsi="arial" w:cs="arial"/>
                <w:b/>
                <w:color w:val="000000"/>
                <w:sz w:val="30"/>
                <w:lang w:val="en-US" w:eastAsia="en-US" w:bidi="ar-SA"/>
              </w:rPr>
              <w:t>S. TUCKER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 decision on an application filed December 19, 2019 ("Enforcement Application") by the defendants Samuel Murphy and The Three Brits Enterprises Ltd. ("Three Brits") (collectively, the "Pub Defendants"). The Enforcement Application seeks to enforce a settlement agreement between the Pub Defendants and the plaintiff, Christine Sandhu. The application came before me on March 4, 2020.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Neither Ms. Sandhu nor the defendant Cameron Hennessy filed responses to the Enforcement Application. Ms. Sandhu participated in the hearing by teleconference, representing herself on the application. Ms. Sandhu was permitted, without objection, to speak to the Enforcement Application notwithstanding her failure to file a response.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This decision also deals with an application dated March 3, 2020 (filed March 4, 2020), brought by Naz Kohan. She seeks leave to withdraw as Ms. Sandhu's counsel of record in the proceedings ("Withdrawal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April 2, 2019, Ms. Sandhu filed an amended notice of civil claim ("Amended Claim"). The Amended Claim alleges she was sexually assaulted by Mr. Hennessy in his home after being at a pub ("Pub")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Pub is operated by Three Brits and managed by Mr. Murphy. Mr. Hennessy is a Pub employee, but was not working the night of the alleged assault. Another Pub employee, "Taylor" (who may be "Mr. Taylor" or "Taylor Smith" - the Amended Claim is inconsistent) was working at the bar that night, as was Mr. Murphy. The Amended Claim alleges that Mr. Murphy and Taylor served Ms. Sandhu alcohol at the Pub.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Amended Claim asserts claims of assault, battery, infliction of mental distress, conspiracy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Mr. Hennessy is alleged to be liable for assault, battery, infliction of mental distress and conspiracy. The Pub Defendants are said to be liable for conspiracy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Shortly,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alleges that Ms. Sandhu was overserved at the Pub and that the Pub Defendants failed to take reasonable steps to ensure Ms. Sandhu's safety, including failing to supervise and monitor the service of alcohol and alcohol consumption at the Pub. The conspirators are alleged to be Mr. Hennessy and Taylor. The conspiracy allegations include conspiracy to unlawfully overserve Ms. Sandhu. Three Brits is alleged to be vicariously liable for Mr. Murphy, Mr. Hennessy and other Pub staff (e.g., Taylor).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Pub Defendants made a formal offer to settle on January 22, 2019.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Matters proceeded in the litigation and various applications were filed and discoveries conducted through November 2019.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November 25, 2019, Ms. Kohan, Ms. Sandhu's then counsel of record, asked if the January settlement offer was still open for acceptance. The Pub Defendants said it was, but that acceptance of the offer was conditional on agreement to execute a covenant not to sue and to file a notice of discontinuance as against the Pub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Kohan accepted the offer on November 26, 2019, and Ms. McAfee sent her a draft covenant for review. On December 9, 2019, Ms. Kohan proposed some changes. The proposed changes were accepted by Ms. McAfee, who forwarded the agreed form of covenant ("Covenant") to Ms. Kohan at 9:48 a.m. on December 16, 2019, for execution.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Covenant includes the following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WHEREAS:</w:t>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CHRISTINE SANDHU (the "Covenantor") has claimed injury, loss, damage and expense as a result of an alleged sexual assault that occurred on or about June 30, 2015, in the City of Vancouver, Province of British Columbia (the "Incident").</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Covenantor has commenced an action against the Defendants, </w:t>
      </w:r>
      <w:r>
        <w:rPr>
          <w:rFonts w:ascii="arial" w:eastAsia="arial" w:hAnsi="arial" w:cs="arial"/>
          <w:color w:val="000000"/>
          <w:sz w:val="20"/>
          <w:u w:val="single"/>
          <w:lang w:val="en-US" w:eastAsia="en-US" w:bidi="ar-SA"/>
        </w:rPr>
        <w:t>SAMUEL MURPHY AND THE THREE BRITS ENTERPRISES LTD. ("the Defendants")</w:t>
      </w:r>
      <w:r>
        <w:rPr>
          <w:rFonts w:ascii="arial" w:eastAsia="arial" w:hAnsi="arial" w:cs="arial"/>
          <w:color w:val="000000"/>
          <w:sz w:val="20"/>
          <w:lang w:val="en-US" w:eastAsia="en-US" w:bidi="ar-SA"/>
        </w:rPr>
        <w:t xml:space="preserve"> in the Supreme Court of British Columbia, Vancouver Registry Action Number S176219, (the "Action") as a result of the Incident.</w:t>
      </w:r>
    </w:p>
    <w:p>
      <w:pPr>
        <w:numPr>
          <w:numId w:val="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Covenantor and the Defendants have agreed to resolve and settle all issues or potential issues as between themselves arising out of or in connection with the Action and the Incident.</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Covenantor intends to continue the Action against CAMERON HENNESSY.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COVENANTOR HEREBY COVENANTS NOT TO CONTINUE TO MAINTAIN THE ACTION AGAINST THE DEFENDANTS, OR COMMENCE ANY NEW ACTION WITH RESPECT TO THE INCIDENT AGAINST THE DEFENDANTS, or any one or more of their heirs, executors, servants, successors or assigns in respect of any causes of action, claims, or demands of any nature whatsoever, which the Covenantor now has or at any time hereafter may have against the Defendants, arising out of any cause, matter or thing whatsoever existing up to and inclusive of the date of this Covenant Not to Continue or Maintain the Action or Commence New Action, and in particular, but without in any manner restricting the generality of the foregoing, THE COVENANTOR HEREBY COVENANTS NOT TO CONTINUE OR MAINTAIN THE ACTION AGAINST THE DEFENDANTS, OR COMMENCE ANY NEW ACTION AGAINST THE DEFENDANTS, OR COMMENCE ANY NEW ACTION WITH RESPECT TO THE INCIDENT AGAINST THE DEFENDANTS, in respect of any and all causes of action claims and demands arising out of, </w:t>
      </w:r>
      <w:r>
        <w:rPr>
          <w:rFonts w:ascii="arial" w:eastAsia="arial" w:hAnsi="arial" w:cs="arial"/>
          <w:color w:val="000000"/>
          <w:sz w:val="20"/>
          <w:u w:val="single"/>
          <w:lang w:val="en-US" w:eastAsia="en-US" w:bidi="ar-SA"/>
        </w:rPr>
        <w:t>directly or indirectly, or in any way connected</w:t>
      </w:r>
      <w:r>
        <w:rPr>
          <w:rFonts w:ascii="arial" w:eastAsia="arial" w:hAnsi="arial" w:cs="arial"/>
          <w:color w:val="000000"/>
          <w:sz w:val="20"/>
          <w:lang w:val="en-US" w:eastAsia="en-US" w:bidi="ar-SA"/>
        </w:rPr>
        <w:t xml:space="preserve"> with the Incident or any damages which heretofore have been or hereafter may be sustained in consequence of arising out of or in any way connected with any of the allegations made or which could made in the Action or in relation to the Incident;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condition precedent to the waiver of costs and disbursements, the Covenantor covenants to:</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the first reasonable opportunity notify the Court of the Covenant Not to Continue or Maintain the Action or Commence a New Action herein and obtain an order of the Court to </w:t>
      </w:r>
      <w:r>
        <w:rPr>
          <w:rFonts w:ascii="arial" w:eastAsia="arial" w:hAnsi="arial" w:cs="arial"/>
          <w:color w:val="000000"/>
          <w:sz w:val="20"/>
          <w:u w:val="single"/>
          <w:lang w:val="en-US" w:eastAsia="en-US" w:bidi="ar-SA"/>
        </w:rPr>
        <w:t>amend its Amended Notice of Civil Claim as follows</w:t>
      </w:r>
      <w:r>
        <w:rPr>
          <w:rFonts w:ascii="arial" w:eastAsia="arial" w:hAnsi="arial" w:cs="arial"/>
          <w:color w:val="000000"/>
          <w:sz w:val="20"/>
          <w:lang w:val="en-US" w:eastAsia="en-US" w:bidi="ar-SA"/>
        </w:rPr>
        <w:t>:</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deleting the Defendants from the style of cause;</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inserting the following paragraph into the Amended Notice of Civil Claim;</w:t>
      </w:r>
    </w:p>
    <w:p>
      <w:pPr>
        <w:spacing w:before="120" w:line="260" w:lineRule="atLeast"/>
        <w:ind w:left="1440"/>
        <w:rPr>
          <w:rFonts w:ascii="arial" w:eastAsia="arial" w:hAnsi="arial" w:cs="arial"/>
          <w:sz w:val="20"/>
          <w:lang w:val="en-US" w:eastAsia="en-US" w:bidi="ar-SA"/>
        </w:rPr>
      </w:pPr>
      <w:r>
        <w:rPr>
          <w:rFonts w:ascii="arial" w:eastAsia="arial" w:hAnsi="arial" w:cs="arial"/>
          <w:i/>
          <w:color w:val="000000"/>
          <w:sz w:val="20"/>
          <w:lang w:val="en-US" w:eastAsia="en-US" w:bidi="ar-SA"/>
        </w:rPr>
        <w:t xml:space="preserve">"The Plaintiff expressly waives any right to recover from CAMERON HENNESSY any portion of the loss which the Plaintiff claims and which the court may attribute to the fault, liability or responsibility of SAMUEL MURPHY and THE THREE BRITS ENTERPRISES LTD. or any one or more of their heirs, executors, administrators, officers, directors, servants, employees, agents, partners, successors, or assigns for which CAMERON HENNESSY, might reasonably be entitled to claim contribution, indemnity or an apportionment against SAMUEL MURPHY and THE THREE BRITS ENTERPRISES LTD. or any one or more of their heirs, executors, administrators, officers, directors, servants, employees, agents, partners, successors, or assigns pursuant to section 1 or 4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 R,S.B.C. 1996, c. 333 or any successor or equivalent legislation."</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deleting any other reference to the Defendants within the body of the Amended Notice of Civil Claim</w:t>
      </w:r>
      <w:r>
        <w:rPr>
          <w:rFonts w:ascii="arial" w:eastAsia="arial" w:hAnsi="arial" w:cs="arial"/>
          <w:color w:val="000000"/>
          <w:sz w:val="20"/>
          <w:lang w:val="en-US" w:eastAsia="en-US" w:bidi="ar-SA"/>
        </w:rPr>
        <w:t>;</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forthwith discontinue the Action against the Defendants without any costs, either by consent or having sought the necessary leave, and filed the said Discontinuance in the Court Registry.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At 2:26 p.m. on December 16, 2019, Ms. Kohan delivered a notice of intention to withdraw as counsel and provided Ms. Sandhu's personal email address for direct contact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December 18, 2019, Ms. McAfee wrote Ms. Kohan enclosing a filed objection to the withdrawal ("Objection") on behalf the Pub Defendants and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Our instructions are to proceed with an application to enforce the terms of the settlement reached between the Plaintiff and our clients prior to the Notice of Withdrawal and in this regard, we ask Ms. Kohan to provide us with her available dates for hearing in January 2020.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Given Ms. Kohan is the third counsel the Plaintiff has retained in connection with this matter and prior withdrawals have protracted this litigation, including derailing of a previous Summary Trial, we ask that Ms. Kohan arrange to have the Plaintiff participate in this hearing by telephone.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No other objection was filed.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December 19, 2019, the Enforcement Application was filed with a January 15, 2020 hearing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January 8, 2020, Ms. McAfee's office emailed Ms. Kohan advising that Ms. McAfee was working directly with Ms. Sandhu on "closing documents" for the settlement and the January 15, 2020 hearing date would not proceed. The same day, Ms. Kohan emailed Ms. McAfee back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confirm that in light of your direct communication with Ms. Sandhu, there could be no possible basis to maintain the objection and whether you could please withdraw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McAfee replied within minutes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 Naz - if you don't mind can we bf until next Wednesday when I hope to be in receipt of the Amended NOC. At that point I am happy to withdraw the objection.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February 5, 2020, Ms. Kohan emailed Ms. McAfee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following up on your previous email. Can you please withdraw the objection?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To which email, Ms. McAfee again replied within minutes saying: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 Naz - the Plaintiff has not circulated the Amended Notice of Claim for approval. We have given her until the end of the week to do so, failing which we will reset our application and give you notice. Sorry I hoped this would be resolved by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February 19, 2020, Ms. McAfee's office emailed Ms. Kohan that the Enforcement Application would be reset for March 4, 2020, as "the Plaintiff has failed to circulate an Amended Notice of Civil Claim for filing", and on February 24, 2020, emailed Ms. Kohan a copy of the application materials. On February 25, Ms. Kohan emailed back stating that she had ceased acting for Ms. Sandhu and seeking confirmation the application materials had also been sent directly to Ms. Sandhu. By email of same date, Ms. McAfee's office confirmed the materials had also been sent to Ms. Sandhu.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At the March 4, 2020 hearing, Ms. McAfee and Ms. Sandhu advised the Court that the settlement implementation had stalled due to disagreement on whether para. 5(a)(iii) of the Covenant ("Reference Prohibition") prohibited Ms. Sandhu from retaining language in four paragraphs of the Amended Claim ("Disputed Paragraphs") in her further amended claim. This dispute was the sole remaining issue under the Enforcement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March 4, 2020, Mr. Hansen, counsel for Ms. Kohan, attended in chambers seeking short leave to have the Withdrawal Application heard that day and, in fact, to have it heard prior to the Enforcement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Ms. Sandhu confirmed that she was representing herself for purposes of the Enforcement Application hearing. As Ms. Kohan was in the court gallery, Ms. Sandhu was asked whether she understood that Ms. Kohan was not representing her at the hearing. Ms. Sandhu confirmed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opted to hear the Enforcement Application, and then consider the request for short leave. After hearing the Enforcement Application, I granted short leave and heard the Withdrawal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The Enforcement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material in support of the Enforcement Application was not updated to address the developments between December 19, 2019 and the hearing date. However, the affidavit filed in support of the Withdrawal Application filled the gap to a significant extent. Although Ms. McAfee worked directly with Ms. Sandhu regarding the settlement following Ms. Kohan's notice of intention to withdraw, Ms. McAfee continued to update Ms. Kohan given the Objection, and much of that correspondence was in Ms. Kohan's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While it is not unusual for the court to rely on representations from counsel with regard to matters such as the status of a settlement agreement, it should be kept to a minimum where, as here, the implementation of the settlement is the subject matter of the application itself. That said, Ms. Sandhu and Ms. McAfee were in clear and express agreement on their representations, which were largely confirmed by the content of Ms. Kohan's affidavit.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relevant order sought under the Enforcement Application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Order enforcing the terms of the Settlement Agreement reached on or about December 16, 2019, whereby the Plaintiff offered to execute a Covenant Not to Continue or Maintain the Action or Commence New Action on terms specified by her and file a Notice of Discontinuance as against the Applicants in exchange for the Applicants agreement to waive their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There is no dispute as to the existence of a binding settlement agreement. Ms. Sandhu signed the Covenant and returned a signed copy to Ms. McAfee. There is no dispute that Ms. Sandhu is obliged to file a further amended claim that complies with the Covenant in order to fully implement the settlement. The sole issue sought to be determined is whether the Disputed Paragraphs can be retained in light of the Reference Prohibition.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 questioned whether I had jurisdiction to determine that issue. Ms. McAfee relies on the court's inherent jurisdiction and s. 8 of the </w:t>
      </w:r>
      <w:r>
        <w:rPr>
          <w:rFonts w:ascii="arial" w:eastAsia="arial" w:hAnsi="arial" w:cs="arial"/>
          <w:i/>
          <w:color w:val="000000"/>
          <w:sz w:val="20"/>
          <w:lang w:val="en-US" w:eastAsia="en-US" w:bidi="ar-SA"/>
        </w:rPr>
        <w:t>Law and Equity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253</w:t>
      </w:r>
      <w:r>
        <w:rPr>
          <w:rFonts w:ascii="arial" w:eastAsia="arial" w:hAnsi="arial" w:cs="arial"/>
          <w:color w:val="000000"/>
          <w:sz w:val="20"/>
          <w:lang w:val="en-US" w:eastAsia="en-US" w:bidi="ar-SA"/>
        </w:rPr>
        <w:t xml:space="preserve">, citing, in particular, the decision of Justice Sewell in </w:t>
      </w:r>
      <w:r>
        <w:rPr>
          <w:rFonts w:ascii="arial" w:eastAsia="arial" w:hAnsi="arial" w:cs="arial"/>
          <w:i/>
          <w:color w:val="000000"/>
          <w:sz w:val="20"/>
          <w:lang w:val="en-US" w:eastAsia="en-US" w:bidi="ar-SA"/>
        </w:rPr>
        <w:t>Roumanis v. Hill</w:t>
      </w:r>
      <w:r>
        <w:rPr>
          <w:rFonts w:ascii="arial" w:eastAsia="arial" w:hAnsi="arial" w:cs="arial"/>
          <w:color w:val="000000"/>
          <w:sz w:val="20"/>
          <w:lang w:val="en-US" w:eastAsia="en-US" w:bidi="ar-SA"/>
        </w:rPr>
        <w:t xml:space="preserve">, </w:t>
      </w:r>
      <w:hyperlink r:id="rId626" w:history="1">
        <w:r>
          <w:rPr>
            <w:rFonts w:ascii="arial" w:eastAsia="arial" w:hAnsi="arial" w:cs="arial"/>
            <w:i/>
            <w:color w:val="0077CC"/>
            <w:sz w:val="20"/>
            <w:u w:val="single"/>
            <w:shd w:val="clear" w:color="auto" w:fill="FFFFFF"/>
            <w:lang w:val="en-US" w:eastAsia="en-US" w:bidi="ar-SA"/>
          </w:rPr>
          <w:t>2013 BCSC 1047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Roumanis</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[55] The question of the proper procedure to adjudicate the enforceability of a settlement was addressed in </w:t>
      </w:r>
      <w:r>
        <w:rPr>
          <w:rFonts w:ascii="arial" w:eastAsia="arial" w:hAnsi="arial" w:cs="arial"/>
          <w:i/>
          <w:color w:val="000000"/>
          <w:sz w:val="20"/>
          <w:lang w:val="en-US" w:eastAsia="en-US" w:bidi="ar-SA"/>
        </w:rPr>
        <w:t>McKenzie v. McKenzie</w:t>
      </w:r>
      <w:r>
        <w:rPr>
          <w:rFonts w:ascii="arial" w:eastAsia="arial" w:hAnsi="arial" w:cs="arial"/>
          <w:color w:val="000000"/>
          <w:sz w:val="20"/>
          <w:lang w:val="en-US" w:eastAsia="en-US" w:bidi="ar-SA"/>
        </w:rPr>
        <w:t xml:space="preserve">, </w:t>
      </w:r>
      <w:hyperlink r:id="rId627" w:history="1">
        <w:r>
          <w:rPr>
            <w:rFonts w:ascii="arial" w:eastAsia="arial" w:hAnsi="arial" w:cs="arial"/>
            <w:i/>
            <w:color w:val="0077CC"/>
            <w:sz w:val="20"/>
            <w:u w:val="single"/>
            <w:shd w:val="clear" w:color="auto" w:fill="FFFFFF"/>
            <w:lang w:val="en-US" w:eastAsia="en-US" w:bidi="ar-SA"/>
          </w:rPr>
          <w:t>[1975] B.C.J. No. 1114</w:t>
        </w:r>
      </w:hyperlink>
      <w:r>
        <w:rPr>
          <w:rFonts w:ascii="arial" w:eastAsia="arial" w:hAnsi="arial" w:cs="arial"/>
          <w:color w:val="000000"/>
          <w:sz w:val="20"/>
          <w:lang w:val="en-US" w:eastAsia="en-US" w:bidi="ar-SA"/>
        </w:rPr>
        <w:t xml:space="preserve"> (B.C.S.C.). In that case Macfarlane J., as he then was, reviewed the authorities and concluded that the court ought to enforce a settlement upon application in the action if justice could be done by proceeding summarily.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[56] In </w:t>
      </w:r>
      <w:r>
        <w:rPr>
          <w:rFonts w:ascii="arial" w:eastAsia="arial" w:hAnsi="arial" w:cs="arial"/>
          <w:i/>
          <w:color w:val="000000"/>
          <w:sz w:val="20"/>
          <w:lang w:val="en-US" w:eastAsia="en-US" w:bidi="ar-SA"/>
        </w:rPr>
        <w:t>Robertson</w:t>
      </w:r>
      <w:r>
        <w:rPr>
          <w:rFonts w:ascii="arial" w:eastAsia="arial" w:hAnsi="arial" w:cs="arial"/>
          <w:color w:val="000000"/>
          <w:sz w:val="20"/>
          <w:lang w:val="en-US" w:eastAsia="en-US" w:bidi="ar-SA"/>
        </w:rPr>
        <w:t>, Lambert J.A., speaking for the court stated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8 Once it has been conceded, as it has been conceded in this case, that a settlement agreement was made with the knowledge and consent of the parties to the litigation, and where no ground is advanced for setting aside the agreement under general contract principles, such as fraud, duress, lack of capacity, or mutual mistake, then the court has no alternative, in the end, but to enforce the agreement. That being so, the proper course is normally to grant the stay of proceedings when it is applied for, rather than to defer the inevitable result by refusing the stay and leaving the defence of settlement to be upheld at trial or in collateral proceedings.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9 Justice affects both parties and requires a balancing of their interests. The fact that the settlement agreement may not have been a desirable one from the point of view of the Robertsons, or the fact that they may have received poor advice from their lawyer, or the fact that they later changed their minds, cannot provide grounds for setting aside the settlement agreement, or for a refusal to enforce it. And it would do scant justice to the interests of the defendants in this case to recognize the validity of the settlement agreement, and that it will ultimately prevail, but to refuse to enforce it at this time and in these proceedings.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[57] In my view, I should proceed summarily unless I am satisfied that there is a genuine issue as to whether the settlement agreement is binding pursuant to the law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Roumanis</w:t>
      </w:r>
      <w:r>
        <w:rPr>
          <w:rFonts w:ascii="arial" w:eastAsia="arial" w:hAnsi="arial" w:cs="arial"/>
          <w:color w:val="000000"/>
          <w:sz w:val="20"/>
          <w:lang w:val="en-US" w:eastAsia="en-US" w:bidi="ar-SA"/>
        </w:rPr>
        <w:t xml:space="preserve">, Sewell J. relied on s. 8 of the </w:t>
      </w:r>
      <w:r>
        <w:rPr>
          <w:rFonts w:ascii="arial" w:eastAsia="arial" w:hAnsi="arial" w:cs="arial"/>
          <w:i/>
          <w:color w:val="000000"/>
          <w:sz w:val="20"/>
          <w:lang w:val="en-US" w:eastAsia="en-US" w:bidi="ar-SA"/>
        </w:rPr>
        <w:t>Law and Equity Act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 (1) A cause or proceeding pending in the court must not be restrained by prohibition or injunction, but every matter of equity on which an injunction against the prosecution of that cause or proceeding might have been obtained before April 29, 1879, either conditionally or unconditionally, may be relied on by way of defence.</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Nothing in this Act disables the court from directing a stay of proceedings in a cause or matter pending before it, if it thinks fit.</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Any person, whether or not a party to a cause or matter pending before the court, who would have been entitled, but for this Act, to apply to the court to restrain the prosecution of it, or who may be entitled to enforce, by attachment or otherwise, any judgment, decree, rule or order, contrary to which all or any part of the proceedings in the cause or matter may have been taken, may apply to the court, by motion in a summary way, for a stay of proceedings in the cause or matter, either generally or so far as may be necessary for the purposes of justice and the court must make any order that is just.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 am not convinced s. 8 of the </w:t>
      </w:r>
      <w:r>
        <w:rPr>
          <w:rFonts w:ascii="arial" w:eastAsia="arial" w:hAnsi="arial" w:cs="arial"/>
          <w:i/>
          <w:color w:val="000000"/>
          <w:sz w:val="20"/>
          <w:lang w:val="en-US" w:eastAsia="en-US" w:bidi="ar-SA"/>
        </w:rPr>
        <w:t>Law and Equity Act</w:t>
      </w:r>
      <w:r>
        <w:rPr>
          <w:rFonts w:ascii="arial" w:eastAsia="arial" w:hAnsi="arial" w:cs="arial"/>
          <w:color w:val="000000"/>
          <w:sz w:val="20"/>
          <w:lang w:val="en-US" w:eastAsia="en-US" w:bidi="ar-SA"/>
        </w:rPr>
        <w:t xml:space="preserve"> is of any assistance here. Ms. Sandhu is willing to remove all of the paragraphs of the Amended Claim that assert a cause of action against the Pub Defendants and the others protected from liability by the Covenant. None of the Disputed Paragraphs assert a claim. I am not being asked to stay any cause or matter from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This Court has made orders ancillary to a declaration of binding settlement that go beyond merely staying proceedings. For example, in </w:t>
      </w:r>
      <w:r>
        <w:rPr>
          <w:rFonts w:ascii="arial" w:eastAsia="arial" w:hAnsi="arial" w:cs="arial"/>
          <w:i/>
          <w:color w:val="000000"/>
          <w:sz w:val="20"/>
          <w:lang w:val="en-US" w:eastAsia="en-US" w:bidi="ar-SA"/>
        </w:rPr>
        <w:t>Tige Industries Ltd. v. 0763636 B.C. Ltd.</w:t>
      </w:r>
      <w:r>
        <w:rPr>
          <w:rFonts w:ascii="arial" w:eastAsia="arial" w:hAnsi="arial" w:cs="arial"/>
          <w:color w:val="000000"/>
          <w:sz w:val="20"/>
          <w:lang w:val="en-US" w:eastAsia="en-US" w:bidi="ar-SA"/>
        </w:rPr>
        <w:t xml:space="preserve">, </w:t>
      </w:r>
      <w:hyperlink r:id="rId628" w:history="1">
        <w:r>
          <w:rPr>
            <w:rFonts w:ascii="arial" w:eastAsia="arial" w:hAnsi="arial" w:cs="arial"/>
            <w:i/>
            <w:color w:val="0077CC"/>
            <w:sz w:val="20"/>
            <w:u w:val="single"/>
            <w:shd w:val="clear" w:color="auto" w:fill="FFFFFF"/>
            <w:lang w:val="en-US" w:eastAsia="en-US" w:bidi="ar-SA"/>
          </w:rPr>
          <w:t>2020 BCSC 50</w:t>
        </w:r>
      </w:hyperlink>
      <w:r>
        <w:rPr>
          <w:rFonts w:ascii="arial" w:eastAsia="arial" w:hAnsi="arial" w:cs="arial"/>
          <w:color w:val="000000"/>
          <w:sz w:val="20"/>
          <w:lang w:val="en-US" w:eastAsia="en-US" w:bidi="ar-SA"/>
        </w:rPr>
        <w:t xml:space="preserve">, Justice Crossin, having found a binding settlement, ordered the parties to execute the agreed upon release, make the payment provided for in settlement, and execute a consent dismissal order. It is not clear whether this type of ancillary order relies on s. 8 of the </w:t>
      </w:r>
      <w:r>
        <w:rPr>
          <w:rFonts w:ascii="arial" w:eastAsia="arial" w:hAnsi="arial" w:cs="arial"/>
          <w:i/>
          <w:color w:val="000000"/>
          <w:sz w:val="20"/>
          <w:lang w:val="en-US" w:eastAsia="en-US" w:bidi="ar-SA"/>
        </w:rPr>
        <w:t>Law and Equity Act</w:t>
      </w:r>
      <w:r>
        <w:rPr>
          <w:rFonts w:ascii="arial" w:eastAsia="arial" w:hAnsi="arial" w:cs="arial"/>
          <w:color w:val="000000"/>
          <w:sz w:val="20"/>
          <w:lang w:val="en-US" w:eastAsia="en-US" w:bidi="ar-SA"/>
        </w:rPr>
        <w:t xml:space="preserve"> or is based on the court's inherent jurisdiction alone. Either way, I agree that there is authority to support an order that Ms. Sandhu execute and file the discontinuance promised under the Covenant. But, she is willing to do that in any event; that is not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Reference Prohibition is not about liability. Ms. McAfee described the underlying concern it addresses as reputational interest. I think that is 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However, I am satisfied that the court's inherent jurisdiction and s. 10 of the </w:t>
      </w:r>
      <w:r>
        <w:rPr>
          <w:rFonts w:ascii="arial" w:eastAsia="arial" w:hAnsi="arial" w:cs="arial"/>
          <w:i/>
          <w:color w:val="000000"/>
          <w:sz w:val="20"/>
          <w:lang w:val="en-US" w:eastAsia="en-US" w:bidi="ar-SA"/>
        </w:rPr>
        <w:t>Law and Equity Act</w:t>
      </w:r>
      <w:r>
        <w:rPr>
          <w:rFonts w:ascii="arial" w:eastAsia="arial" w:hAnsi="arial" w:cs="arial"/>
          <w:color w:val="000000"/>
          <w:sz w:val="20"/>
          <w:lang w:val="en-US" w:eastAsia="en-US" w:bidi="ar-SA"/>
        </w:rPr>
        <w:t xml:space="preserve"> provide jurisdiction for the determination sought. The question of whether the Disputed Paragraphs can be retained must be determined in order for the existing settlement to be implemented and, significantly, in order for the agreed upon notice of discontinuance to be filed.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Section 10 of the </w:t>
      </w:r>
      <w:r>
        <w:rPr>
          <w:rFonts w:ascii="arial" w:eastAsia="arial" w:hAnsi="arial" w:cs="arial"/>
          <w:i/>
          <w:color w:val="000000"/>
          <w:sz w:val="20"/>
          <w:lang w:val="en-US" w:eastAsia="en-US" w:bidi="ar-SA"/>
        </w:rPr>
        <w:t>Law and Equity Act</w:t>
      </w:r>
      <w:r>
        <w:rPr>
          <w:rFonts w:ascii="arial" w:eastAsia="arial" w:hAnsi="arial" w:cs="arial"/>
          <w:color w:val="000000"/>
          <w:sz w:val="20"/>
          <w:lang w:val="en-US" w:eastAsia="en-US" w:bidi="ar-SA"/>
        </w:rPr>
        <w:t xml:space="preserve">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Avoidance of multiplicity of proceedings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10 In the exercise of its jurisdiction in a cause or matter before it, the court must grant, either absolutely or on reasonable conditions that to it seem just, all remedies that any of the parties may appear to be entitled to in respect of any legal or equitable claim properly brought forward by them in the cause or matter so that, as far as possible, all matters in controversy between the parties may be completely and finally determined and all multiplicity of legal proceedings concerning any of those matters may be avoided.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Sievert v. Napier</w:t>
      </w:r>
      <w:r>
        <w:rPr>
          <w:rFonts w:ascii="arial" w:eastAsia="arial" w:hAnsi="arial" w:cs="arial"/>
          <w:color w:val="000000"/>
          <w:sz w:val="20"/>
          <w:lang w:val="en-US" w:eastAsia="en-US" w:bidi="ar-SA"/>
        </w:rPr>
        <w:t xml:space="preserve">, </w:t>
      </w:r>
      <w:hyperlink r:id="rId629" w:history="1">
        <w:r>
          <w:rPr>
            <w:rFonts w:ascii="arial" w:eastAsia="arial" w:hAnsi="arial" w:cs="arial"/>
            <w:i/>
            <w:color w:val="0077CC"/>
            <w:sz w:val="20"/>
            <w:u w:val="single"/>
            <w:shd w:val="clear" w:color="auto" w:fill="FFFFFF"/>
            <w:lang w:val="en-US" w:eastAsia="en-US" w:bidi="ar-SA"/>
          </w:rPr>
          <w:t>2006 BCSC 613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Sievert</w:t>
      </w:r>
      <w:r>
        <w:rPr>
          <w:rFonts w:ascii="arial" w:eastAsia="arial" w:hAnsi="arial" w:cs="arial"/>
          <w:color w:val="000000"/>
          <w:sz w:val="20"/>
          <w:lang w:val="en-US" w:eastAsia="en-US" w:bidi="ar-SA"/>
        </w:rPr>
        <w:t xml:space="preserve">], Justice Melnick relied on inherent jurisdiction and s. 10 of the </w:t>
      </w:r>
      <w:r>
        <w:rPr>
          <w:rFonts w:ascii="arial" w:eastAsia="arial" w:hAnsi="arial" w:cs="arial"/>
          <w:i/>
          <w:color w:val="000000"/>
          <w:sz w:val="20"/>
          <w:lang w:val="en-US" w:eastAsia="en-US" w:bidi="ar-SA"/>
        </w:rPr>
        <w:t>Law and Equity Act</w:t>
      </w:r>
      <w:r>
        <w:rPr>
          <w:rFonts w:ascii="arial" w:eastAsia="arial" w:hAnsi="arial" w:cs="arial"/>
          <w:color w:val="000000"/>
          <w:sz w:val="20"/>
          <w:lang w:val="en-US" w:eastAsia="en-US" w:bidi="ar-SA"/>
        </w:rPr>
        <w:t xml:space="preserve"> to resolve a dispute in which the parties agreed there was a settlement agreement, but disagreed as to what was required to comply with the settlement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In my view, the plaintiffs are bound by the terms of their settlement agreement which is that the sole asset in the estate in which they are entitled to a half interest is valued at $570,000 less an amount to repair the water damage. Ms. Napier has put forward her two repair estimates (in my view she is no more entitled to have them "updated" than are the plaintiffs entitled to have an updated appraisal). Now the plaintiffs must put forward their two appraisals (if they wish to have more than the one they appear to have already obtained).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Ms. Napier shall have 90 days to obtain financing from the date that the last of the plaintiffs' two estimates are obtained (not from the date when the parties agree on the amount). In that way, the intent of the wording of the original amending agreement of September 2, 2004, will be honoured.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I add this: the settlement agreement also includes a compromise of the plaintiffs' claims for physical and sexual abuse.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 There is liberty to apply with respect to the question of the value of the repairs if the parties cannot agree upon an amount. In that regard, however, I take from the exchange of correspondence with respect to the request of the plaintiffs to be able to obtain two additional appraisals, that there was a recognition on the part of Ms. Napier that another qualified individual might well provide an estimate that was lower than the two that she had obtained. The sense of what the parties appear to have agreed on is that the value of the only asset of the estate, the house, would be reduced by an amount to effect reasonable and necessary repairs. One would expect that would be the lowest price for which those repairs can properly be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Similarly, the Ontario Supreme Court has relied upon its inherent jurisdiction not only to declare the existence of a binding settlement agreement, but to make a further declaratory order effectively implementing the terms of the agreement (i.e., a declaration of entitlement to manage the disputed property): </w:t>
      </w:r>
      <w:r>
        <w:rPr>
          <w:rFonts w:ascii="arial" w:eastAsia="arial" w:hAnsi="arial" w:cs="arial"/>
          <w:i/>
          <w:color w:val="000000"/>
          <w:sz w:val="20"/>
          <w:lang w:val="en-US" w:eastAsia="en-US" w:bidi="ar-SA"/>
        </w:rPr>
        <w:t>PSB Equity Inc. v. Kutner</w:t>
      </w:r>
      <w:r>
        <w:rPr>
          <w:rFonts w:ascii="arial" w:eastAsia="arial" w:hAnsi="arial" w:cs="arial"/>
          <w:color w:val="000000"/>
          <w:sz w:val="20"/>
          <w:lang w:val="en-US" w:eastAsia="en-US" w:bidi="ar-SA"/>
        </w:rPr>
        <w:t xml:space="preserve">, 177 A.C.W.S. (3d) 947, </w:t>
      </w:r>
      <w:hyperlink r:id="rId630" w:history="1">
        <w:r>
          <w:rPr>
            <w:rFonts w:ascii="arial" w:eastAsia="arial" w:hAnsi="arial" w:cs="arial"/>
            <w:i/>
            <w:color w:val="0077CC"/>
            <w:sz w:val="20"/>
            <w:u w:val="single"/>
            <w:shd w:val="clear" w:color="auto" w:fill="FFFFFF"/>
            <w:lang w:val="en-US" w:eastAsia="en-US" w:bidi="ar-SA"/>
          </w:rPr>
          <w:t>[2009] O.J. No. 2385</w:t>
        </w:r>
      </w:hyperlink>
      <w:r>
        <w:rPr>
          <w:rFonts w:ascii="arial" w:eastAsia="arial" w:hAnsi="arial" w:cs="arial"/>
          <w:color w:val="000000"/>
          <w:sz w:val="20"/>
          <w:lang w:val="en-US" w:eastAsia="en-US" w:bidi="ar-SA"/>
        </w:rPr>
        <w:t xml:space="preserve"> (S.C.J) at paras. 36-40 and 51-53.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In terms of inherent jurisdiction to control proceedings, prevent delay and avoid multiple proceedings, the present facts are more compelling than those in </w:t>
      </w:r>
      <w:r>
        <w:rPr>
          <w:rFonts w:ascii="arial" w:eastAsia="arial" w:hAnsi="arial" w:cs="arial"/>
          <w:i/>
          <w:color w:val="000000"/>
          <w:sz w:val="20"/>
          <w:lang w:val="en-US" w:eastAsia="en-US" w:bidi="ar-SA"/>
        </w:rPr>
        <w:t>Sievert</w:t>
      </w:r>
      <w:r>
        <w:rPr>
          <w:rFonts w:ascii="arial" w:eastAsia="arial" w:hAnsi="arial" w:cs="arial"/>
          <w:color w:val="000000"/>
          <w:sz w:val="20"/>
          <w:lang w:val="en-US" w:eastAsia="en-US" w:bidi="ar-SA"/>
        </w:rPr>
        <w:t>. The settlement sought to be enforced does not resolve the litigation entirely, but only the dispute as between certain parties. The terms of the settlement agreement reached bear directly upon the pleadings in the ongoing litigation. The disagreement regarding the Disputed Paragraphs impacts and delays the proceeding against Mr. Hennessy. Mr. Hennessy faces extremely serious allegations and has for some time already. He, and the court system itself, have an interest in the pleadings being closed and the matter proceeding to trial.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The Disputed Paragraphs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Disputed Paragraphs are paragraphs 22 and 23 of Part 1, and paragraphs 3 and 18(c) of Part 3 of the Amended Claim. They are reproduced below, along with some additional paragraphs for context and with added underlining. Ms. McAfee's position is that the Reference Prohibition obliges Ms. Sandhu to delete all of the underlined language.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Part 1: STATEMENT OF FACTS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Throughout the course of their time sitting together, Ms. Sandhu was provided with a number of alcoholic beverages by a second bartender, Taylor Smith. Some of those drinks were paid for and other were provided by Mr. Taylor on a complimentary basis. Mr. Smith provided those drinks largely at Mr. Hennessey's direction</w:t>
      </w:r>
      <w:r>
        <w:rPr>
          <w:rFonts w:ascii="arial" w:eastAsia="arial" w:hAnsi="arial" w:cs="arial"/>
          <w:color w:val="000000"/>
          <w:sz w:val="20"/>
          <w:lang w:val="en-US" w:eastAsia="en-US" w:bidi="ar-SA"/>
        </w:rPr>
        <w:t>.</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At no point did Mr. Murphy, Mr. Taylor or any other staff take steps to ensure that Ms. Sandhu was not overly intoxicated</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Part 3: LEGAL BASIS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Liability of Mr. Hennessey</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Hennessey committed the torts of sexual assault and battery. ...</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Hennessey's conduct was flagrant and outrageous. ...</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Hennessey </w:t>
      </w:r>
      <w:r>
        <w:rPr>
          <w:rFonts w:ascii="arial" w:eastAsia="arial" w:hAnsi="arial" w:cs="arial"/>
          <w:color w:val="000000"/>
          <w:sz w:val="20"/>
          <w:u w:val="single"/>
          <w:lang w:val="en-US" w:eastAsia="en-US" w:bidi="ar-SA"/>
        </w:rPr>
        <w:t xml:space="preserve">also acted in concert, by agreement or with a common design or intention with Mr. Taylor. Mr. Hennessey and Mr. Taylor engaged in unlawful conduct, including the torts identified herein and breach of s. 61 of the Liquor Control and Licensing Act, </w:t>
      </w:r>
      <w:r>
        <w:rPr>
          <w:rFonts w:ascii="arial" w:eastAsia="arial" w:hAnsi="arial" w:cs="arial"/>
          <w:i/>
          <w:color w:val="000000"/>
          <w:sz w:val="20"/>
          <w:u w:val="single"/>
          <w:lang w:val="en-US" w:eastAsia="en-US" w:bidi="ar-SA"/>
        </w:rPr>
        <w:t>SBC 2015, c. 19</w:t>
      </w:r>
      <w:r>
        <w:rPr>
          <w:rFonts w:ascii="arial" w:eastAsia="arial" w:hAnsi="arial" w:cs="arial"/>
          <w:color w:val="000000"/>
          <w:sz w:val="20"/>
          <w:lang w:val="en-US" w:eastAsia="en-US" w:bidi="ar-SA"/>
        </w:rPr>
        <w:t>. That conduct was directed towards Ms. Sandhu for the predominant purpose of causing injury. In the alternative, Mr. Hennessey should have known that injury was likely to result.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support of her claim, Ms. Sandhu also pleads and relies 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the Liquor Control and Licensing Act, </w:t>
      </w:r>
      <w:r>
        <w:rPr>
          <w:rFonts w:ascii="arial" w:eastAsia="arial" w:hAnsi="arial" w:cs="arial"/>
          <w:i/>
          <w:color w:val="000000"/>
          <w:sz w:val="20"/>
          <w:u w:val="single"/>
          <w:lang w:val="en-US" w:eastAsia="en-US" w:bidi="ar-SA"/>
        </w:rPr>
        <w:t>SBC 2015, c. 19</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Ms. Sandhu's position on the merits was a simple assertion that the Disputed Paragraphs are not inconsistent with the Reference Prohibition. Ms. McAfee's position is the mirror opposite- that the paragraphs obviously are inconsistent.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issue, thus put, is a question of contractual interpretation. Thus, I refer to </w:t>
      </w:r>
      <w:r>
        <w:rPr>
          <w:rFonts w:ascii="arial" w:eastAsia="arial" w:hAnsi="arial" w:cs="arial"/>
          <w:i/>
          <w:color w:val="000000"/>
          <w:sz w:val="20"/>
          <w:lang w:val="en-US" w:eastAsia="en-US" w:bidi="ar-SA"/>
        </w:rPr>
        <w:t>Sattva Capital Corp. v. Creston Moly Corp</w:t>
      </w:r>
      <w:r>
        <w:rPr>
          <w:rFonts w:ascii="arial" w:eastAsia="arial" w:hAnsi="arial" w:cs="arial"/>
          <w:color w:val="000000"/>
          <w:sz w:val="20"/>
          <w:lang w:val="en-US" w:eastAsia="en-US" w:bidi="ar-SA"/>
        </w:rPr>
        <w:t xml:space="preserve">. </w:t>
      </w:r>
      <w:hyperlink r:id="rId631" w:history="1">
        <w:r>
          <w:rPr>
            <w:rFonts w:ascii="arial" w:eastAsia="arial" w:hAnsi="arial" w:cs="arial"/>
            <w:i/>
            <w:color w:val="0077CC"/>
            <w:sz w:val="20"/>
            <w:u w:val="single"/>
            <w:shd w:val="clear" w:color="auto" w:fill="FFFFFF"/>
            <w:lang w:val="en-US" w:eastAsia="en-US" w:bidi="ar-SA"/>
          </w:rPr>
          <w:t>2014 SCC 53</w:t>
        </w:r>
      </w:hyperlink>
      <w:r>
        <w:rPr>
          <w:rFonts w:ascii="arial" w:eastAsia="arial" w:hAnsi="arial" w:cs="arial"/>
          <w:color w:val="000000"/>
          <w:sz w:val="20"/>
          <w:lang w:val="en-US" w:eastAsia="en-US" w:bidi="ar-SA"/>
        </w:rPr>
        <w:t xml:space="preserve">, </w:t>
      </w:r>
      <w:hyperlink r:id="rId631" w:history="1">
        <w:r>
          <w:rPr>
            <w:rFonts w:ascii="arial" w:eastAsia="arial" w:hAnsi="arial" w:cs="arial"/>
            <w:i/>
            <w:color w:val="0077CC"/>
            <w:sz w:val="20"/>
            <w:u w:val="single"/>
            <w:shd w:val="clear" w:color="auto" w:fill="FFFFFF"/>
            <w:lang w:val="en-US" w:eastAsia="en-US" w:bidi="ar-SA"/>
          </w:rPr>
          <w:t>[2014] 2 S.C.R. 633</w:t>
        </w:r>
      </w:hyperlink>
      <w:r>
        <w:rPr>
          <w:rFonts w:ascii="arial" w:eastAsia="arial" w:hAnsi="arial" w:cs="arial"/>
          <w:color w:val="000000"/>
          <w:sz w:val="20"/>
          <w:lang w:val="en-US" w:eastAsia="en-US" w:bidi="ar-SA"/>
        </w:rPr>
        <w:t>, in which the Supreme Court of Canada re-examined the principles of contractual interpretation. At paragraphs 47 and 48,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Regarding the first development, the interpretation of contracts has evolved towards a practical, common-sense approach not dominated by technical rules of construction. The overriding concern is to determine "the intent of the parties and the scope of their understanding" (</w:t>
      </w:r>
      <w:r>
        <w:rPr>
          <w:rFonts w:ascii="arial" w:eastAsia="arial" w:hAnsi="arial" w:cs="arial"/>
          <w:i/>
          <w:color w:val="000000"/>
          <w:sz w:val="20"/>
          <w:lang w:val="en-US" w:eastAsia="en-US" w:bidi="ar-SA"/>
        </w:rPr>
        <w:t>Jesuit Fathers of Upper Canada v. Guardian Insurance Co. of Canada</w:t>
      </w:r>
      <w:r>
        <w:rPr>
          <w:rFonts w:ascii="arial" w:eastAsia="arial" w:hAnsi="arial" w:cs="arial"/>
          <w:color w:val="000000"/>
          <w:sz w:val="20"/>
          <w:lang w:val="en-US" w:eastAsia="en-US" w:bidi="ar-SA"/>
        </w:rPr>
        <w:t xml:space="preserve">, </w:t>
      </w:r>
      <w:hyperlink r:id="rId632" w:history="1">
        <w:r>
          <w:rPr>
            <w:rFonts w:ascii="arial" w:eastAsia="arial" w:hAnsi="arial" w:cs="arial"/>
            <w:i/>
            <w:color w:val="0077CC"/>
            <w:sz w:val="20"/>
            <w:u w:val="single"/>
            <w:shd w:val="clear" w:color="auto" w:fill="FFFFFF"/>
            <w:lang w:val="en-US" w:eastAsia="en-US" w:bidi="ar-SA"/>
          </w:rPr>
          <w:t>2006 SCC 21</w:t>
        </w:r>
      </w:hyperlink>
      <w:r>
        <w:rPr>
          <w:rFonts w:ascii="arial" w:eastAsia="arial" w:hAnsi="arial" w:cs="arial"/>
          <w:color w:val="000000"/>
          <w:sz w:val="20"/>
          <w:lang w:val="en-US" w:eastAsia="en-US" w:bidi="ar-SA"/>
        </w:rPr>
        <w:t xml:space="preserve">, </w:t>
      </w:r>
      <w:hyperlink r:id="rId632" w:history="1">
        <w:r>
          <w:rPr>
            <w:rFonts w:ascii="arial" w:eastAsia="arial" w:hAnsi="arial" w:cs="arial"/>
            <w:i/>
            <w:color w:val="0077CC"/>
            <w:sz w:val="20"/>
            <w:u w:val="single"/>
            <w:shd w:val="clear" w:color="auto" w:fill="FFFFFF"/>
            <w:lang w:val="en-US" w:eastAsia="en-US" w:bidi="ar-SA"/>
          </w:rPr>
          <w:t>[2006] 1 S.C.R. 744</w:t>
        </w:r>
      </w:hyperlink>
      <w:r>
        <w:rPr>
          <w:rFonts w:ascii="arial" w:eastAsia="arial" w:hAnsi="arial" w:cs="arial"/>
          <w:color w:val="000000"/>
          <w:sz w:val="20"/>
          <w:lang w:val="en-US" w:eastAsia="en-US" w:bidi="ar-SA"/>
        </w:rPr>
        <w:t xml:space="preserve">, at para. 27, per LeBel J.; see also </w:t>
      </w:r>
      <w:r>
        <w:rPr>
          <w:rFonts w:ascii="arial" w:eastAsia="arial" w:hAnsi="arial" w:cs="arial"/>
          <w:i/>
          <w:color w:val="000000"/>
          <w:sz w:val="20"/>
          <w:lang w:val="en-US" w:eastAsia="en-US" w:bidi="ar-SA"/>
        </w:rPr>
        <w:t>Tercon Contractors Ltd. v. British Columbia (Transportation and Highways</w:t>
      </w:r>
      <w:r>
        <w:rPr>
          <w:rFonts w:ascii="arial" w:eastAsia="arial" w:hAnsi="arial" w:cs="arial"/>
          <w:color w:val="000000"/>
          <w:sz w:val="20"/>
          <w:lang w:val="en-US" w:eastAsia="en-US" w:bidi="ar-SA"/>
        </w:rPr>
        <w:t xml:space="preserve">), </w:t>
      </w:r>
      <w:hyperlink r:id="rId633" w:history="1">
        <w:r>
          <w:rPr>
            <w:rFonts w:ascii="arial" w:eastAsia="arial" w:hAnsi="arial" w:cs="arial"/>
            <w:i/>
            <w:color w:val="0077CC"/>
            <w:sz w:val="20"/>
            <w:u w:val="single"/>
            <w:shd w:val="clear" w:color="auto" w:fill="FFFFFF"/>
            <w:lang w:val="en-US" w:eastAsia="en-US" w:bidi="ar-SA"/>
          </w:rPr>
          <w:t>2010 SCC 4</w:t>
        </w:r>
      </w:hyperlink>
      <w:r>
        <w:rPr>
          <w:rFonts w:ascii="arial" w:eastAsia="arial" w:hAnsi="arial" w:cs="arial"/>
          <w:color w:val="000000"/>
          <w:sz w:val="20"/>
          <w:lang w:val="en-US" w:eastAsia="en-US" w:bidi="ar-SA"/>
        </w:rPr>
        <w:t xml:space="preserve">, </w:t>
      </w:r>
      <w:hyperlink r:id="rId633" w:history="1">
        <w:r>
          <w:rPr>
            <w:rFonts w:ascii="arial" w:eastAsia="arial" w:hAnsi="arial" w:cs="arial"/>
            <w:i/>
            <w:color w:val="0077CC"/>
            <w:sz w:val="20"/>
            <w:u w:val="single"/>
            <w:shd w:val="clear" w:color="auto" w:fill="FFFFFF"/>
            <w:lang w:val="en-US" w:eastAsia="en-US" w:bidi="ar-SA"/>
          </w:rPr>
          <w:t>[2010] 1 S.C.R. 69</w:t>
        </w:r>
      </w:hyperlink>
      <w:r>
        <w:rPr>
          <w:rFonts w:ascii="arial" w:eastAsia="arial" w:hAnsi="arial" w:cs="arial"/>
          <w:color w:val="000000"/>
          <w:sz w:val="20"/>
          <w:lang w:val="en-US" w:eastAsia="en-US" w:bidi="ar-SA"/>
        </w:rPr>
        <w:t>, at paras. 64-65, per Cromwell J.). To do so, a decision-maker must read the contract as a whole, giving the words used their ordinary and grammatical meaning, consistent with the surrounding circumstances known to the parties at the time of formation of the contract. Consideration of the surrounding circumstances recognizes that ascertaining contractual intention can be difficult when looking at words on their own, because words alone do not have an immutable or absolute meaning: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No contracts are made in a vacuum: there is always a setting in which they have to be placed... . In a commercial contract it is certainly right that the court should know the commercial purpose of the contract and this in turn presupposes knowledge of the genesis of the transaction, the background, the context, the market in which the parties are operating.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(Reardon Smith Line, at p. 574,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Lord Wilberforce)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meaning of words is often derived from a number of contextual factors, including the purpose of the agreement and the nature of the relationship created by the agreement (see </w:t>
      </w:r>
      <w:r>
        <w:rPr>
          <w:rFonts w:ascii="arial" w:eastAsia="arial" w:hAnsi="arial" w:cs="arial"/>
          <w:i/>
          <w:color w:val="000000"/>
          <w:sz w:val="20"/>
          <w:lang w:val="en-US" w:eastAsia="en-US" w:bidi="ar-SA"/>
        </w:rPr>
        <w:t>Moore Realty Inc. v. Manitoba Motor League</w:t>
      </w:r>
      <w:r>
        <w:rPr>
          <w:rFonts w:ascii="arial" w:eastAsia="arial" w:hAnsi="arial" w:cs="arial"/>
          <w:color w:val="000000"/>
          <w:sz w:val="20"/>
          <w:lang w:val="en-US" w:eastAsia="en-US" w:bidi="ar-SA"/>
        </w:rPr>
        <w:t xml:space="preserve">, </w:t>
      </w:r>
      <w:hyperlink r:id="rId634" w:history="1">
        <w:r>
          <w:rPr>
            <w:rFonts w:ascii="arial" w:eastAsia="arial" w:hAnsi="arial" w:cs="arial"/>
            <w:i/>
            <w:color w:val="0077CC"/>
            <w:sz w:val="20"/>
            <w:u w:val="single"/>
            <w:shd w:val="clear" w:color="auto" w:fill="FFFFFF"/>
            <w:lang w:val="en-US" w:eastAsia="en-US" w:bidi="ar-SA"/>
          </w:rPr>
          <w:t>2003 MBCA 71</w:t>
        </w:r>
      </w:hyperlink>
      <w:r>
        <w:rPr>
          <w:rFonts w:ascii="arial" w:eastAsia="arial" w:hAnsi="arial" w:cs="arial"/>
          <w:color w:val="000000"/>
          <w:sz w:val="20"/>
          <w:lang w:val="en-US" w:eastAsia="en-US" w:bidi="ar-SA"/>
        </w:rPr>
        <w:t xml:space="preserve">, </w:t>
      </w:r>
      <w:hyperlink r:id="rId634" w:history="1">
        <w:r>
          <w:rPr>
            <w:rFonts w:ascii="arial" w:eastAsia="arial" w:hAnsi="arial" w:cs="arial"/>
            <w:i/>
            <w:color w:val="0077CC"/>
            <w:sz w:val="20"/>
            <w:u w:val="single"/>
            <w:shd w:val="clear" w:color="auto" w:fill="FFFFFF"/>
            <w:lang w:val="en-US" w:eastAsia="en-US" w:bidi="ar-SA"/>
          </w:rPr>
          <w:t>173 Man. R. (2d) 300</w:t>
        </w:r>
      </w:hyperlink>
      <w:r>
        <w:rPr>
          <w:rFonts w:ascii="arial" w:eastAsia="arial" w:hAnsi="arial" w:cs="arial"/>
          <w:color w:val="000000"/>
          <w:sz w:val="20"/>
          <w:lang w:val="en-US" w:eastAsia="en-US" w:bidi="ar-SA"/>
        </w:rPr>
        <w:t xml:space="preserve">, at para. 15, per Hamilton J.A.; see also Hall, at p. 22; and McCamus, at pp. 749-50). As stated by Lord Hoffmann in </w:t>
      </w:r>
      <w:r>
        <w:rPr>
          <w:rFonts w:ascii="arial" w:eastAsia="arial" w:hAnsi="arial" w:cs="arial"/>
          <w:i/>
          <w:color w:val="000000"/>
          <w:sz w:val="20"/>
          <w:lang w:val="en-US" w:eastAsia="en-US" w:bidi="ar-SA"/>
        </w:rPr>
        <w:t>Investors Compensation Scheme Ltd. v. West Bromwich Building Society</w:t>
      </w:r>
      <w:r>
        <w:rPr>
          <w:rFonts w:ascii="arial" w:eastAsia="arial" w:hAnsi="arial" w:cs="arial"/>
          <w:color w:val="000000"/>
          <w:sz w:val="20"/>
          <w:lang w:val="en-US" w:eastAsia="en-US" w:bidi="ar-SA"/>
        </w:rPr>
        <w:t>, [1998] 1 All E.R. 98 (H.L.):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meaning which a document (or any other utterance) would convey to a reasonable man is not the same thing as the meaning of its words. The meaning of words is a matter of dictionaries and grammars; the meaning of the document is what the parties using those words against the relevant background would reasonably have been understood to mean. [p. 115]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Having done so, I agree with Ms. Sandhu with the exception of the express mention of Mr. Murphy found in Part 1, para. 23 of the Amended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First, "Defendants" is a defined term in the Covenant: "SAMUEL MURPHY AND THE THREE BRITS ENTERPRISES LTD. ("the Defendants")". The "Defendants" is a vastly narrower class than those protected from liability under the Covenant.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Second, the "Defendants" will continue to be referenced in the further amended claim by virtue of paragraph 5(a)(ii). It is not possible for Ms. Sandhu to both comply with the Covenant and make her pleadings wholly generic with regard to the Pub Defendants. Due to para. 5(a)(ii), indirect statements elsewhere in the further amended claim will be, when read in context of the entire claim, identifiably made in relation to the Defendants. That being the case, the possibility of indirect identification in the further amended claim was reasonably apparent at the time the Covenant terms were agreed upon.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Third, the Covenant deals with "indirect" impacts expressly in para. 1, indicating such matters were considered in the drafting and negotiation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Finally, the Covenant is a settlement document. Attempts to be exhaustive in that legal context typically produce the sort of language found in para. 1. The Reference Prohibition is not drafted in that or a similar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On the whole, I am persuaded that had "reference" in the Reference Prohibition been intended to extend to wording that can be read in context as indirectly relating to the Defendants, more precise language would have been employed. The term "reference" for purposes of the Reference Prohibition is limited to direct reference, and does not to extend to indirect allusion.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Under the Reference Prohibition, Ms. Sandhu agreed to delete any "reference" to the "Defendants". Taylor is not a "Defendant". The Reference Prohibition does not prohibit Ms. Sandhu from identifying Taylor by name or using the term "staff".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Reference Prohibition does not prevent Ms. Sandhu from alleging Taylor and Mr. Hennessey are co-conspirators, although other terms in the Covenant address the extent of any claim for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Reference Prohibition does not prohibit Ms. Sandhu from identifying Mr. Hennessey and Taylor as "employees" or referring to s. 61 of the </w:t>
      </w:r>
      <w:r>
        <w:rPr>
          <w:rFonts w:ascii="arial" w:eastAsia="arial" w:hAnsi="arial" w:cs="arial"/>
          <w:i/>
          <w:color w:val="000000"/>
          <w:sz w:val="20"/>
          <w:lang w:val="en-US" w:eastAsia="en-US" w:bidi="ar-SA"/>
        </w:rPr>
        <w:t>Liquor Control and Licensing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2015, c. 19</w:t>
      </w:r>
      <w:r>
        <w:rPr>
          <w:rFonts w:ascii="arial" w:eastAsia="arial" w:hAnsi="arial" w:cs="arial"/>
          <w:color w:val="000000"/>
          <w:sz w:val="20"/>
          <w:lang w:val="en-US" w:eastAsia="en-US" w:bidi="ar-SA"/>
        </w:rPr>
        <w:t>. It is true that, on reviewing the entire further amended claim, a reader will likely infer that Mr. Hennessy and Mr. Taylor are employed by Three Brits, and even that Three Brits is the holder of any relevant liquor license, but that is not sufficient to bring the related paragraphs under the protection of the Reference Prohibition.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Other than the inclusion of Mr. Murphy in para. 23 of Part 1, the Disputed Paragraphs are consistent with the Reference Prohibition and may be retained in compliance with the Covenant.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As Ms. Sandhu did not file a response to the Enforcement Application, there will be no order for costs with respect of the Enforcement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The Withdrawal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note, for the record, that Ms. Kohan's evidence was that she filed her notice of intention to withdraw following a breakdown in the client-solicitor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offer no comment on whether the Objection was warranted in the circumstances. Whatever she thought of Ms. McAfee's position on the point, and whatever her basis for deciding to withdraw as counsel of record, Ms. Kohan took no steps to seek leave of the court to withdraw at any time prior to March 3, 2019.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Instead, like the counsel in </w:t>
      </w:r>
      <w:r>
        <w:rPr>
          <w:rFonts w:ascii="arial" w:eastAsia="arial" w:hAnsi="arial" w:cs="arial"/>
          <w:i/>
          <w:color w:val="000000"/>
          <w:sz w:val="20"/>
          <w:lang w:val="en-US" w:eastAsia="en-US" w:bidi="ar-SA"/>
        </w:rPr>
        <w:t>Sandhu v. Household Realty Corporation Limited</w:t>
      </w:r>
      <w:r>
        <w:rPr>
          <w:rFonts w:ascii="arial" w:eastAsia="arial" w:hAnsi="arial" w:cs="arial"/>
          <w:color w:val="000000"/>
          <w:sz w:val="20"/>
          <w:lang w:val="en-US" w:eastAsia="en-US" w:bidi="ar-SA"/>
        </w:rPr>
        <w:t xml:space="preserve">, </w:t>
      </w:r>
      <w:hyperlink r:id="rId635" w:history="1">
        <w:r>
          <w:rPr>
            <w:rFonts w:ascii="arial" w:eastAsia="arial" w:hAnsi="arial" w:cs="arial"/>
            <w:i/>
            <w:color w:val="0077CC"/>
            <w:sz w:val="20"/>
            <w:u w:val="single"/>
            <w:shd w:val="clear" w:color="auto" w:fill="FFFFFF"/>
            <w:lang w:val="en-US" w:eastAsia="en-US" w:bidi="ar-SA"/>
          </w:rPr>
          <w:t>2011 BCSC 1708</w:t>
        </w:r>
      </w:hyperlink>
      <w:r>
        <w:rPr>
          <w:rFonts w:ascii="arial" w:eastAsia="arial" w:hAnsi="arial" w:cs="arial"/>
          <w:color w:val="000000"/>
          <w:sz w:val="20"/>
          <w:lang w:val="en-US" w:eastAsia="en-US" w:bidi="ar-SA"/>
        </w:rPr>
        <w:t>, she sat back and waited for other proceedings to bring the matter to a head: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 I turn to the substance of the application. I have reviewed the plaintiffs' correspondence dated November 24, 2011, July 5, 2011, July 8, 2011, June 30, 2011, June 9, 2011, as well as their written submissions of December 8, 2011. Further I have reviewed correspondence from the defendants' counsel dated November 2 and 29, 2011. The reason there is some uncertainty about a matter that is ordinarily straight forward lies in the history of the proceeding. I reviewed that history in my decision ( </w:t>
      </w:r>
      <w:hyperlink r:id="rId636" w:history="1">
        <w:r>
          <w:rPr>
            <w:rFonts w:ascii="arial" w:eastAsia="arial" w:hAnsi="arial" w:cs="arial"/>
            <w:i/>
            <w:color w:val="0077CC"/>
            <w:sz w:val="20"/>
            <w:u w:val="single"/>
            <w:shd w:val="clear" w:color="auto" w:fill="FFFFFF"/>
            <w:lang w:val="en-US" w:eastAsia="en-US" w:bidi="ar-SA"/>
          </w:rPr>
          <w:t>2011 BCSC 498</w:t>
        </w:r>
      </w:hyperlink>
      <w:r>
        <w:rPr>
          <w:rFonts w:ascii="arial" w:eastAsia="arial" w:hAnsi="arial" w:cs="arial"/>
          <w:color w:val="000000"/>
          <w:sz w:val="20"/>
          <w:lang w:val="en-US" w:eastAsia="en-US" w:bidi="ar-SA"/>
        </w:rPr>
        <w:t xml:space="preserve">). In summary, Mr. Merchant and the plaintiffs had a falling out. Mr. Merchant did not file a notice of intention to withdraw as he should have. On November 24, 2010 Master Young ordered him to do that and he did. </w:t>
      </w:r>
      <w:r>
        <w:rPr>
          <w:rFonts w:ascii="arial" w:eastAsia="arial" w:hAnsi="arial" w:cs="arial"/>
          <w:color w:val="000000"/>
          <w:sz w:val="20"/>
          <w:u w:val="single"/>
          <w:lang w:val="en-US" w:eastAsia="en-US" w:bidi="ar-SA"/>
        </w:rPr>
        <w:t>On December 17, 2010 the plaintiffs filed an objection as provided for in the Rules. Rule 22-6 contemplates that if a notice of objection is filed, and if the lawyer still wishes to be removed as counsel of record then the lawyer is to apply for an order (Rule 22-9). Notwithstanding the plaintiffs' notice of objection, Mr. Merchant did not apply as contemplated by the Rules. The status of Mr. Merchant as counsel of record was brought to a head by the defendants who wanted to make an application to have the plaintiffs' claims dismissed</w:t>
      </w:r>
      <w:r>
        <w:rPr>
          <w:rFonts w:ascii="arial" w:eastAsia="arial" w:hAnsi="arial" w:cs="arial"/>
          <w:color w:val="000000"/>
          <w:sz w:val="20"/>
          <w:lang w:val="en-US" w:eastAsia="en-US" w:bidi="ar-SA"/>
        </w:rPr>
        <w:t>. When they were unable to serve anyone who would accept service, they applied for directions. It was that application which prompted Master Young's order.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Ms. Kohan's position is that the Withdrawal Application became very urgent on March 3, 2020 because otherwise the Enforcement Application would take place before she withdrew. Ms. McAfee was served unfiled materials for the Withdrawal Application late in the day on March 3, 2020 (with knowledge she had a scheduled court hearing in Vancouver on March 4, 2020), and the court was asked to grant short leave for an immediate hearing on the merits.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Ms. Kohan could have applied for leave to withdraw any time after service of the Objection; she chose not to. She could have promptly applied for leave following Ms. McAfee's February 19, 2020 advice to her that the March 4, 2020 hearing was proceeding; she did not. The purported "urgency" in the matter of leave was entirely self-created.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Ms. Kohan has leave to withdraw as counsel of record for Ms. Sandhu. There is no order for costs with regard to the Withdrawal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 TUCKER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6" style="position:absolute;z-index:2517913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37"/>
          <w:headerReference w:type="default" r:id="rId638"/>
          <w:footerReference w:type="even" r:id="rId639"/>
          <w:footerReference w:type="default" r:id="rId640"/>
          <w:headerReference w:type="first" r:id="rId641"/>
          <w:footerReference w:type="first" r:id="rId64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43" w:history="1">
        <w:r>
          <w:rPr>
            <w:rFonts w:ascii="arial" w:eastAsia="arial" w:hAnsi="arial" w:cs="arial"/>
            <w:b/>
            <w:bCs/>
            <w:i/>
            <w:color w:val="0077CC"/>
            <w:kern w:val="32"/>
            <w:sz w:val="28"/>
            <w:szCs w:val="32"/>
            <w:u w:val="single"/>
            <w:shd w:val="clear" w:color="auto" w:fill="FFFFFF"/>
            <w:lang w:val="en-US" w:eastAsia="en-US" w:bidi="ar-SA"/>
          </w:rPr>
          <w:t>Scoffield v. Jentsch, [2012] B.C.J. No. 1590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Nanaimo,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D.A. Halfyard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5-8 and 12,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27,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M61342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Nanaimo</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1590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1130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Catherine Scoffield, Plaintiff, and Corbin Jentsch,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(246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7" style="position:absolute;z-index:2516910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02" w:name="Keywords_0"/>
      <w:bookmarkEnd w:id="102"/>
      <w:r>
        <w:rPr>
          <w:rFonts w:ascii="arial" w:eastAsia="arial" w:hAnsi="arial" w:cs="arial"/>
          <w:b/>
          <w:color w:val="000000"/>
          <w:sz w:val="20"/>
          <w:lang w:val="en-US" w:eastAsia="en-US" w:bidi="ar-SA"/>
        </w:rPr>
        <w:t>Damages — Physical and psychological injuries — Physical injuries — Body injuries — Back and spine — Neck — Action by plaintiff seeking damages for personal injuries sustained in 2009 motor vehicle accident allowed — Plaintiff sustained soft tissue injuries to neck and back in minor collision that substantially resolved within one year — Plaintiff lacked credibility in description of accident as severe and in claiming accident-related injuries persisted for several years — Plaintiff's evidence at odds with medical records — Plaintiff awarded $30,000 for pain, $25,631 for past wage loss and special damages for expenses totalling $3,668 for one-year period following accident.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Considerations — Duration of loss — Special damages — Past loss of income — Expenses and expenditures — Non-pecuniary loss — Pain and suffering — Action by plaintiff seeking damages for personal injuries sustained in 2009 motor vehicle accident allowed — Plaintiff sustained soft tissue injuries to neck and back in minor collision that substantially resolved within one year — Plaintiff lacked credibility in description of accident as severe and in claiming accident-related injuries persisted for several years — Plaintiff's evidence at odds with medical records — Plaintiff awarded $30,000 for pain, $25,631 for past wage loss and special damages for expenses totalling $3,668 for one-year period following accident.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03" w:name="Case Summary_0"/>
            <w:bookmarkEnd w:id="10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Scoffield against Jentsch, seeking damages for personal injuries sustained in an April 2009 motor vehicle accident. Jentsch admitted liability for the accident, which involved his vehicle rear-ending Scoffield's vehicle as it was stopped at a red light. Scoffield was 45 years old and working for BC Ferries at the time of the accident. Her job was physically demanding. She also participated in fitness and recreational activities. She had a pre-existing shoulder injury she had undergone surgery to correct. She had experienced headaches following a 2002 motor vehicle accident that had completely resolved within two weeks of that accident. She claimed the accident with Jentsch caused her to be thrown violently forward then back against her seat. She experienced immediate pain in her right knee. She worked her next four shifts despite experiencing headaches, neck and back pain. She started having trouble sleeping and difficulty breathing. She went to her doctor a week after the accident. The doctor prescribed pain medication, physiotherapy and massage. Within two weeks, Scoffield returned to her doctor complaining her pain was increasing. She was unable to do housework and to participate in recreational activities. She returned to full-time work gradually, by October 2009. Pain persisted, so she requested vacation time from November 27 through December 13. By the time of trial, Scoffield had been hired on as a salaried employee of BC Ferries, a change from her previous hourly wage-based position. She complained of muscle spasms in her neck and back, constant headaches, sleep problems and mood changes. She admitted under cross-examination she did not initially intend on making an injury claim because she thought she was not significantly injured. She admitted she completed a first aid training course to advance in her employment, and that the program was physically demanding. She added that the instructor for the course had been apprised of her condition and made accommodations for them. Scoffield's husband testified that she was physically less active after the accident and that their relationship had suffered. An expert medical report was adduced providing that Scoffield sustained soft tissue injuries to her neck, upper back and shoulders, but not her knee in the accident and, that she had developed a mood disorder that was interfering with her recovery. Jentsch testified, denying the impact of his vehicle was as significant as Scoffield claimed. An insurance adjuster testified the vehicle repair costs from the accident totalled $786.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04" w:name="Holdings of Court_0"/>
            <w:bookmarkEnd w:id="104"/>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Scoffield's credibility was damaged by her inconsistent evidence about the severity of the collision and whether or nor she sustained immediate injury. Her testimony about her symptoms over the years was inconsistent with her medical records. She did not fully disclose the reasons for her changing work schedule that had nothing to do with the accident or her injuries. Her husband tended to exaggerate the impact of the accident on Scoffield's condition and minimized the impact of other, unrelated injuries. The court found this was a minor, low-speed collision that resulted in minimal damage. Scoffield sustained soft tissue injuries that had largely resolved within one year. Pain she continued to experience was associated with the physical demands of her job. She was entitled to $30,000 for non-pecuniary damages, $25,631 for past wage loss, and special damages of $3,668 to cover the one-year period following the accident.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5" w:name="Legislation Cited"/>
      <w:bookmarkEnd w:id="10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28" style="position:absolute;z-index:2517422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Evidence Act, </w:t>
      </w:r>
      <w:hyperlink r:id="rId644" w:history="1">
        <w:r>
          <w:rPr>
            <w:rFonts w:ascii="arial" w:eastAsia="arial" w:hAnsi="arial" w:cs="arial"/>
            <w:i/>
            <w:color w:val="0077CC"/>
            <w:sz w:val="20"/>
            <w:u w:val="single"/>
            <w:shd w:val="clear" w:color="auto" w:fill="FFFFFF"/>
            <w:lang w:val="en-US" w:eastAsia="en-US" w:bidi="ar-SA"/>
          </w:rPr>
          <w:t>RSBC 1996, CHAPTER 124, s. 42</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06" w:name="Counsel_30"/>
      <w:bookmarkEnd w:id="10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9" style="position:absolute;z-index:251792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A. de Turberville.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P. Huggins and P. Dreyer.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7" w:name="Judgment_30"/>
      <w:bookmarkEnd w:id="107"/>
      <w:r>
        <w:pict>
          <v:line id="_x0000_s1130" style="position:absolute;z-index:25181286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08" w:name="D.A. HALFYARD J."/>
            <w:bookmarkEnd w:id="108"/>
            <w:r>
              <w:rPr>
                <w:rFonts w:ascii="arial" w:eastAsia="arial" w:hAnsi="arial" w:cs="arial"/>
                <w:b/>
                <w:color w:val="000000"/>
                <w:sz w:val="30"/>
                <w:lang w:val="en-US" w:eastAsia="en-US" w:bidi="ar-SA"/>
              </w:rPr>
              <w:t>D.A. HALFYARD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the trial of this action for damages for personal injuries, the plaintiff alleges that she was injured in a motor vehicle accident which occurred on April 9, 2009 in Nanaimo and alleges that the accident was caused solely by the negligent driving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Catherine Scoffield alleges that she had been travelling north on the Island Highway 19A, that she stopped for a red traffic light at the intersection of Turner Road, and that while she was stopped, her vehicle was rear-ended by a vehicle being driven by the defendant Corbin Jentsch.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defendant admits that the accident occurred as just described, and admits that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the collision. It is common ground that the plaintiff was driving a 2001 Toyota Corolla Sedan and the defendant was driving a 1992 Oldsmobile Cutlass Supreme two door coupe.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There is a serious dispute between the plaintiff and the defendant as to the severity of the force of impact generated by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alleges that she sustained soft tissue injuries to her neck, upper back and right knee, and minor bruising from seat-belt contact, as a result of the collision. She claims damages under the categories of non-pecuniary loss, past loss of earnings, loss of future earning capacity, loss of housekeeping capacity, special damages and the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Position of the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 accepts that the plaintiff did sustain some soft tissue injury to her neck and upper back (and minor bruising from her seat belt) as a result of the collision but denies that she sustained a knee injury. The defence admits that the plaintiff is entitled to awards for non-pecuniary loss, past loss of earnings and special damages, but the amounts are in dispute. The defence denies that the plaintiff is entitled to any damages for loss of future earning capacity, or for loss of housekeeping capacity or for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These issues arise as a consequence of the serious dispute between the parties as to the severity of the injury sustained by the plaintiff as a result of the collision, and as to the duration and degree of the pain and disability caused by the injury. The plaintiff alleges that her injury was of moderate severity and that the injury is still causing her pain and some impairment of her physical abilities. The defence says that the plaintiff's injury was mild in severity and that any pain and disability caused by the injury had ceased by about the end of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Overview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testified herself and called her common-law husband Steven Blanchette as a second witness. The expert opinion evidence of Dr. William Craig, physical medicine and rehabilitation specialist, was presented by the plaintiff by way of his report dated January 31, 2012. The defence required Dr. Craig to attend for cross-examination, and he was cross-examined extensively on his report and the basis for his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Numerous documentary exhibits were introduced by the plaintiff in addition to Dr. Craig's report. They included records relating to her income and employment, fitness assessments required by her employment and expenses claimed as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 called two witnesses. The defendant Corbin Jentsch testified about events relating to the accident. The ICBC estimator, Brent Reid, gave evidence about the damage to the two vehicles caused by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defence introduced documentary evidence consisting of photographs of the two vehicles, clinical records of the plaintiff's physician, claim file reports and reports of the estimator. No medical evidence was called by the defence. I understood the clinical records to have been admitted as "business records" pursuant to s. 42 of the </w:t>
      </w:r>
      <w:r>
        <w:rPr>
          <w:rFonts w:ascii="arial" w:eastAsia="arial" w:hAnsi="arial" w:cs="arial"/>
          <w:i/>
          <w:color w:val="000000"/>
          <w:sz w:val="20"/>
          <w:lang w:val="en-US" w:eastAsia="en-US" w:bidi="ar-SA"/>
        </w:rPr>
        <w:t>Evidence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Evidence Given by Witnesses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Dr. Craig testified as the first witness in the trial, which was likely related to his availability and convenience. But in logic, the plaintiff's evidence should be considered first. My review of the evidence will generally be in summary form.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Testimony of the Plaintiff Catherine Scoffield</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Direct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was born on September 12, 1966 and is now 45 years of age. She grew up in Port Alberni and graduated from high school there. She took a number of courses at college and university, but did not establish a career related to her post secondary education.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and her partner Steven Blanchette live in Lantzville just north of Nanaimo. They have been together for many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May 2003, the plaintiff commenced work with B.C. Ferry Services Inc. ("B.C. Ferries"). She worked as a catering service attendant and was a casual employee who worked on call as needed by the employer. She worked mainly on the ferries that travelled the route between Departure Bay (in Nanaimo) to Horseshoe Bay (in West Vancouver). Her job duties varied from time to time. They included working in the cafeteria and coffee shop, as a cashier and as a server; as a cashier in the gift shop; and general cleaning tasks throughout the ship which included vacuuming and washing the floors on the passenger deck and cleaning the bathrooms. The cleaning work that she was required to do was physically demanding. The required training for firefighting and rescuing (which included regular training "drills") involved heavy physical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took training in occupational first aid and kept taking courses to increase her first aid qualifications. In January 2009, she took a two week training course and passed it, which gave her a Level 3 certification. This first aid course involved heavy lifting and other physically-demanding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When the plaintiff commenced employment with B.C. Ferries in May 2003, she was an "on call" worker and only worked in the summers and on busy holiday weekends. In March 2007, by reason of her first aid qualifications, the employer began calling the plaintiff for work on a more regular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stated that she was able to perform all of her job duties without any restrictions on her abilities to do the work, before the motor vehicle accident of April 9,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sustained an injury to her right knee which eventually required arthroscopic surgery. That operation was done on September 9, 2005. The plaintiff was off work after the surgery, until January 2, 2006. Other than being off work for those four months, she missed work only occasionally, due to a cold or flu. She also requested time off for vacations, with the agreement of her employer.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described the condition of her neck and upper back as being "fairly good" before the accident. She would sometimes get sore from doing the cleaning work while bent over, or from doing heavy yard work. She was required to obtain a certificate of fitness from her physician, as a pre-requisite for taking the first aid course in January 2009. Her regular physician, Dr. Mark, assessed her and signed the Certificate of Fitness on January 6, 2009, attesting to her physical and psychological fitness (Exhibit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testified that she had not experienced any headaches in the ten years before the accident of April 9, 2009. She said that, when she was aged 22 she was involved in a motor vehicle accident in which she hit her head on the side window of the vehicle. She said she had a headache which lasted three or four days following that collision. Then, two months later, the plaintiff experienced what she called a "visual episode" which affected her eyes and caused her headaches for about a week. Medical investigation was done, but nothing was found. She said that after about two weeks "it was pretty much gone." The plaintiff stated that she took physiotherapy and massage therapy as recommended "for a month or two" by which time the headaches were gone. She said that, after that she only got a headache if she stayed up too long studying.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stated that, before the accident, she had no significant problems with sleeping, except when making short shift changes. She said she had never had any problems with depression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stated that she was quite active before the accident, which activities included gardening, hiking, playing a violin, painting as an artist and as a house painter, jumping on a trampoline, taking long walks and going on boating trips. She also engaged in a regular exercise program using weights and other equipment and practised yoga three to four days per week. She also went swimming, mainly in the summer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 said that she did most of the housework, almost all of the cooking and cut the grass in the yard. She also did extensive work during the renovations on their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 gave the following description of the motor vehicle accident (my summarizing). At around 9:30 p.m. on the evening of Thursday, April 9, 2009, the plaintiff was driving home from work in a Toyota Corolla car owned by Mr. Blanchette. She was driving north on the Island Highway and had stopped for a red light at the intersection of Turner Road. She was wearing a lap and shoulder strap seatbelt. She did not see any cars stopped behind her. The traffic light turned green and she was intending to engage the clutch of the standard transmission of the car and drive forward, but her right foot was still on the brake. Suddenly and without warning, she felt an "extremely hard and violent impact" from the rear and found herself "flying forward" and felt a sharp pain up into her right knee. Her body hit the seat belt and it "hauled me back and I went flying forward again." Her head crashed into the head rest of the driver's seat. There were some compact discs and a park pass in an open storage compartment on the dashboard in front of the gear shift, and these items "all came spewing out of the compartment, flying through the car" (she later found some of them on the floor, one being in the backseat and a couple on the passenger seat).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After the collision, she saw a car to her left, in the left hand turn lane, which was stopped. The driver got out and came over to her car, and she got out. The man asked her how she was, and also said "I wasn't moving." She was angry, but tried to keep calm. The man asked what they should do and she said they should exchange information with each other. They did so. When the plaintiff got out of her car and put weight on her right leg, she felt like her leg would give way and she had a lot of pain in her right knee cap.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 looked at the back end of her car, and she saw some pieces of licence plate holder bracket on the roadway. She believed that some of these pieces were from her car, and some of them were from the car that had struck her. She did not look at the front of the other car. These pieces of licence plate bracket were in an area on the roadway which started from about eight feet behind her rear bumper, and extended about another four feet further back. The plaintiff further testified that she believed that her car had got moved forward by the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stated that her head ached, her right knee was sore, she felt tense and had had a long day at work and really wanted to get home. She said she was feeling tense in her neck, shoulders and upper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 then drove her car home. Mr. Blanchette was not at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 worked her next four scheduled shifts, on April 10, 12, 13, and 15, 2009. But she was experiencing headaches and pain in her neck and upper back, beginning on the morning after the accident. She said that she had "terrible headaches" which felt like someone was pounding on the back of her head with a hammer. She said she also had pain going into her left jaw which made her ears ring. She found it very hard to sleep. She noticed "faint bruising" from the seat belt, from her left shoulder down toward her right hip. She was having pain and difficulty in breathing. Her neck became very painful to move and it was hard for her to bend 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By April 16, she felt incapable of doing her job duties, and booked off work. She saw a doctor for the first time that day (Dr. Jones, because her regular physician, Dr. Mark, was not available). The doctor examined her, prescribed Naproxen and recommended physiotherapy and massage therapy. She started massage therapy on April 21 and physiotherapy on April 22. On April 29, she started seeing a chiropractor (which had not been prescribed by her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 first saw her own physician, Dr. Patricia Mark, on April 29, 2009. She said she was feeling awful at that time, with her pain still getting worse. Physiotherapy seemed to aggravate her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was unable to do any housework or any of her former recreational activities, in the month or so after the accident. She was off work from April 16 to August 9, 2009, at which time she began a gradual return to work. Her work hours and duties were gradually increased, and she returned to full-time employment on or about October 10,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B.C. Ferries required the plaintiff to undergo medical assessments on April 29, May 12, June 29, July 30, August 26, September 14 and October 9, 2009. (These documents are at Tab 1 B of Exhibit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 states that she was still experiencing a lot of pain after returning to full-time work and said that she was "absolutely miserable." Her headaches were almost constant, she had pain in her neck and upper back, was feeling numbness into her arms and hands, her right knee was getting worse and her left jaw was clicking and popping, making her left ear 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 states that she felt unable to continue working and so she requested and received time off for a vacation (which extended from November 27 to December 13, 2009). She resumed working full-time after returning from this vacation.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 testified that in April 2009, her employer had scheduled her to work on the "C" watch crew on the Departure Bay-Horseshoe Bay route for the summer season of 2009. She presented a calculation sheet (Exhibit 4) which she prepared, setting out her claims for past and future loss of income and explained the contents in great detail.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 testified that, in May 2010, she switched her work route from the Departure Bay-Horseshoe Bay route to the Duke Point-Tsawwassen route. She said that she made this change, because it was too difficult for her to work the eight days on and four days off required by the work schedule on the Departure Bay run, as compared to the five days on and five days off schedule on the Duke Point run. She also said that she could not schedule physiotherapy treatments properly, while working on the eight days on four days off schedule.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 November 1, 2011, the plaintiff became a regular full-time employee of B.C. Ferries. She is now paid by salary instead of by hourly rate. She was required to undergo a probationary period of six months after November 1, 2011, to show that she could perform her job. She successfully completed that period of probation. She has continued to work on the Duke Point-Tsawwassen route.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 testified that she had muscle spasms in 2010 and 2011. She said that she gets spasms in her neck and upper back if she goes swimming. She said that she now does some hiking, but less than she did before the accident. She is no longer able to play the violin, because it is too hard for her to hold the instrument between her chin and left shoulder. As to gardening, she now does only minimal yard maintenance, and has to be in a seated position to do gardening. Her partner now cuts the grass. She can no longer work on renovations to the house. She tried jumping on the trampoline about a month before the trial, and ended up with an "excruciating headache" and a sore neck. She says she has lost considerable upper body strength.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As to her current condition, the plaintiff states that she has a headache all of the time, until she gets to her days off work. She says that her neck pain is bad, and she gets muscle spasms several times per week. Her sleeping problems continue.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 testified that she had been feeling "down" since the motor vehicle accident. She says she feels frustrated at the continuing pain, and feels that she cannot accomplish anything.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plaintiff testified to difficulties in her relationship with her partner due to her irritability, which has affected their intimate relations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 says that she has started counselling as recommended by Dr. Craig (for possible mood issues) and says that she intends to continue with counselling. The plaintiff says that she has commenced exercising with a kinesiologist (March 6 to May 29, 2012) in accordance with Dr. Craig's recommendation. She says she intends to continue with this exercise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 testified to confirm her claims for special damages (for physiotherapy, chiropractic treatments, massage therapy, acupuncture and prescription drugs) which are set out in the documents at Tab 3 of Exhibit 5. The claim also includes the cost of three recent counselling sessions, as well as mileage expenses and travel costs, and miscellaneous expenses. The total claim for special damages is $8,205.43.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plaintiff was cross-examined extensively on the evidence she gave in direct examination and related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first subject of inquiry was the accident itself. Counsel for the defendant elicited the following additional information from the plaintiff:</w:t>
      </w:r>
      <w:r>
        <w:rPr>
          <w:rFonts w:ascii="arial" w:eastAsia="arial" w:hAnsi="arial" w:cs="arial"/>
          <w:sz w:val="20"/>
          <w:lang w:val="en-US" w:eastAsia="en-US" w:bidi="ar-SA"/>
        </w:rPr>
        <w:cr/>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was stopped in the through lane that was closest to the centre line of the highway. There were two cars stopped in front of her and there were four or five cars stopped in the outside lane to her right.</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She does not know whether or not the defendant had stopped his car behind her car, before the collision occurred.</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She was stopped about one-half a car length behind the car ahead of her.</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Neither she nor the car ahead of her had started to move forward before she was rear-ended.</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She never took her foot off the brake or engaged the clutch, and she had her foot on the brake at the time of the collision.</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front of her car did not hit the car in front of her.</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She does not know if the defendant backed up his car before he drove along side her to her left.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speaking to the defendant right after the collision, she told him that the damage was minor and that she was going to report the accident to ICBC because there was some damage to her vehicle.</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did not know whether the pieces of licence plate bracket that she found on the roadway could have fallen off the front of the defendant's car when he backed up.</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made an insurance claim to ICBC that night after she got home by telephone, seeking to have her car repaired. The agent told her that there could be some delay in processing her repair claim if the defendant did not make a report of the accident also.</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telephoned the defendant that night, after speaking with the ICBC agent, and told him that he should also make a report of the accident, to avoid any delay in processing her claim for repairs to her car.</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did not tell the ICBC agent or the defendant that she was or would be making a claim for personal injury. The reason why she did not say this was because she did not think that she had sustained any significant injury and thought that she would be alright in a few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plaintiff was questioned about statements attributed to her by Dr. Craig in his report about the facts of the accident. Dr. Craig reported that the plaintiff had told him on January 20, 2012 that her car was pushed forward approximately 10 to 12 feet by the force of the collision, and that it was pushed into the vehicle in front of her. The plaintiff admitted that she told Dr. Craig that her car got pushed forward, but denied that she told him it was pushed forward 10 to 12 feet. She implied that Dr. Craig may have mistakenly assumed that her car had moved 10 to 12 feet forward, when she explained to him where she had seen the debris on the road behind her car. The plaintiff did not distinctly deny that she had told Dr. Craig that her car had been pushed into the vehicle in front of her, but I think that such a denial is implicit in her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plaintiff was referred to photographs of the damage to the rear of her car and counsel implied that the damage was minimal and the cost to repair the damage was small. The plaintiff said that she had seen documents showing the cost for repairs, but said that she did not know the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plaintiff was questioned about the two week training program in January 2009 which the plaintiff attended in order to get her level 3 First Aid Certificate. She was asked whether the program was physically demanding and at first said that it was not as physically onerous as other aspects of her job duties (such as rescue drills and fire drills). She eventually said, in effect, that the first aid training program was physically and mentally challenging.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With respect to the Certificate of Fitness for the first aid course (Exhibit 3) which the plaintiff had signed, the plaintiff confirmed that she had answered all questions by Dr. Mark honestly and truthfully. The plaintiff acknowledged that the examination was on January 6, 2009 which was after her knee surgery, and agreed that her right knee was not listed as a limitation on her physical fitness.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Counsel elicited from the plaintiff that she had to renew her first aid qualifications by taking another two week course in January and February of 2011. She said that she did not have to obtain another Certificate of Fitness as a pre-requisite to this course. The plaintiff agreed with counsel's suggestion that this course was psychologically difficult and also required her to perform physically demanding tasks, such as carrying oxygen tanks. She said that she completed the course successfully and that her certificate was renewed. But she said that she had told her instructor about her neck problems, and so the instructor avoided having the plaintiff strapped onto a board during the training. The plaintiff stated that she could not perform the heavier duties required of a level 3 First Aid attendant for more than an hour, and claimed that she had told her employer about this limitation. She explained that the ship would never be more than an hour from port, in the event of a medical emergency.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plaintiff testified that, as a member of the fire fighting party, she was required to pull fire hoses during drills and would have to do the same thing in the event of a fire aboard the ship. The plaintiff stated that she is able to do this work, but says that "I pay the penalty for it." The plaintiff asserted that her employer knows of her limitation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plaintiff admitted that she completed her six month probationary period which started November 1, 2011 (without missing a shift) and has been accepted as a regular full-time employee. But she claims that she had to have help from the crew to do the vacuuming of the floors and certain other repetitive movements required by her job. She said that she only vacuums floors "on rare occasions".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Defence counsel elicited from the plaintiff that she passed her Seafarer's medical examination on July 28, 2011 which is required as a condition of her employment, and that she was declared to be "unrestricted" in her job duties. The plaintiff stated that the examination was conducted by a doctor chosen by her employer. The plaintiff said that she did not tell that doctor that she could only do first aid work for an hour. She claimed that she did tell the doctor about her "physical problems". The plaintiff stated that the doctor asked her about whether she had any psychological problems. I understood the plaintiff to say that she did not tell the doctor about any psychological problem because she was not yet being treated for any such problem (i.e., not until after she had seen Dr. Craig).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plaintiff was questioned about hand written notes that Dr. Craig had made about what the plaintiff had told him. Two of these notes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reported extensive damage to the rear bumper. (Page 4, Exhibit 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"rear bumper destroyed" (page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plaintiff at first denied having told Dr. Craig that the rear bumper had been "destroyed" and said that she would likely have used the word "shattered." She then explained that the inspection of the rear bumper on April 20, 2009 showed that the inside parts of the bumper (a styrofoam layer) was "shattered". The plaintiff then embarked upon an explanation in which she seemed to say that it would not be incorrect to say that parts of the bumper were destroyed, including the bumper cover, because these parts were replaced. In the end, the plaintiff seemed to concede that she was unsure whether she had used the word "destroyed" when talking to Dr. Craig on January 20,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plaintiff was then referred to Dr. Mark's clinical note of June 29, 2009 (Exhibit 1, Tab 2, p. 12) which indicated that the plaintiff had told Dr. Mark that the bumper of her car had been "destroyed". The plaintiff acknowledged that she may have said that to Dr. Mark.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On being questioned about her symptoms after the accident, the plaintiff stated in effect that she thought she would get better within a few days, but that the pain from her injuries kept getting worse and worse every day, until she had to stop work on April 16, 2009. The plaintiff claimed that her condition was "shocking to the people I worked with". She said that her fellow employees asked about what was wrong with her and she had told them that she had been rear ended. She stated that during her visit to Dr. Jones on April 16, 2009, the doctor told her that she would be okay in no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On being questioned about fire drills, the plaintiff said that such drills could last from 20 to 30 minutes up to 2 1/2 hours. She acknowledged that she can do those drills up to 2 1/2 hours, but said that the drills do not require constant physical exertion. The plaintiff admitted that she had to do various drills during her six months probation period starting November 1, 2011. She admitted that she did not miss any shifts during her six month probation period. The plaintiff said, in essence, that she could get by doing her job, with the five on - five off work schedule.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Counsel then elicited that the plaintiff had taken a vacation in late November to early December 2011 for two to three weeks in Maui, and that she had done the same thing in late 2010 for two weeks. She said that in late November and into December 2009, she and her partner went to Mexico for about two weeks. (Counsel did not explore whether the plaintiff and her partner had gone on vacations at around the same time of year, in the years before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plaintiff was referred to Dr. Mark's clinical note of April 29, 2009, which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Symptoms overall improving but still unable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plaintiff denied making any such statement to Dr. Mark. She stated firmly that her condition was still getting worse, and not improving (even after she had stopped work on April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Counsel questioned the plaintiff about her regular medical assessments for employment purposes, from April 29, 2009 up to October 9, 2009. Counsel asked the plaintiff why she had not mentioned her right knee problem to Dr. Mark in her assessment of April 29, 2009. The plaintiff explained that her knee pain was insignificant compared to the pain in her neck and upper back. The plaintiff gave a similar explanation for not mentioning any jaw problem in the assessments of April 29, 2009 or May 12, 2009. (On her May 26, 2009 assessment by Dr. K. Torrie, the plaintiff mentioned knee pain but not jaw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plaintiff was questioned about Dr. Torrie's note of the plaintiff's visit to her on June 10, 2009, which stated "no c/o knee or back pain." Counsel suggested that the plaintiff had not made any complaint of knee or back pain during that visit. The plaintiff seemed to admit that she did not complain about any pain in her knee or upper back on that date. But she said that was because her neck and her head were bothering her the most. She said her neck pain was the worst and her headaches were bad. She described her condition as being "miserable" and her pain being "awful".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Another note made by Dr. Torrie on June 10, 2009 was: "ROM neck really very good." The plaintiff explained that what the doctor meant was that her neck range of motion was very good, considering her injured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Counsel referred the plaintiff to a note made by Dr. Mark during the plaintiff's visit of June 29, 2009 (which was the same date as her assessment for the employer), where Dr. Mark noted that the plaintiff was complaining about her pain. The plaintiff said that "it [her pain] was unbearably miserable."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During her visit to Dr. Mark on July 20, 2009, the doctor noted: "has improved considerably" and "pain now 4-5 out of 10." When asked whether that was her pain level, the plaintiff answered that she only said the pain was 4 out of 5, because she was sitting still at that moment at the doctor's office. It was implicit in her testimony that the pain was much greater when she was not sitting still. At the same visit, Dr. Mark noted that the plaintiff said her pain was "now improving." The plaintiff agreed that she was starting to improve by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last medical assessment for the employer before the plaintiff returned to full-time work was on October 9, 2009. The report stated that the plaintiff was capable of returning to full work hours and full work duties. When asked about this, the plaintiff testified that this was not really true, but she wanted to try to return to full work duties. She then repeated that she asked for time off for a vacation (November 27 to December 13, 2009) because her work was extremely difficult and was causing her pain. The plaintiff admitted that her right knee was giving her problems, but denied that she took the time off because of her knee condition. She then said, in effect, that it was both her right knee pain and her neck and upper back pain that caused her to request time off for a vacation in November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Counsel then established that, on her examination for discovery on November 1, 2011, the plaintiff had testified (at Q. 316) that in November 2009, on her day off: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I got out of bed and just fell down and it was so painful to walk on, I was in tears.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plaintiff conceded that her discovery evidence was true, but she added that counsel had not asked her on discovery if her neck and upper back were also causing her pain at the time. Plaintiff's counsel then objected, and said that the plaintiff's answer to question 316 should be read together with questions 394-399. Defence counsel agreed. In that series of questions and answers, the plaintiff stated that she had not missed a scheduled day's work since returning to work in October 2009 (Q. 396), but that she had booked time off in November 2009 using her accumulated overtime hours, which was the only way casual employees could take time off for vacation. The plaintiff stated (at Q. 399):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booked it off [late November and early December 2009] because since I went back to work, I was just in agony at times and as soon as I could have approved time off, I took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Later in her cross-examination, the plaintiff stated that when she returned from her vacation, she did not have enough overtime banked to cover her vacation time and so the employer made her work almost every day from December 14, to December 31, 2009 (i.e. December 14 - 20, 22 - 24 and 26 - 31.)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plaintiff was questioned about time gaps between physiotherapy treatments, chiropractic treatments and filling prescriptions for drugs. The plaintiff gave explanations for her conduct in this regard, which I thought were sufficient to neutralize any potential adverse inference.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Counsel suggested to the plaintiff that the reason why she had changed to the Duke Point route was so that she could more easily and regularly get to physiotherapy treatments with the five on-five off work schedule that started in May 2010. The plaintiff agreed with this (as being one of her two reasons for switching routes). Counsel then established that she had only received 16 physiotherapy treatments in 2010. The plaintiff stated that she cut back on attending for physiotherapy, because it was expensive.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plaintiff was then questioned extensively about her claim for past wage loss, which was based on the assumption that she would have worked all of the days scheduled for the "C" watch crew from April 16, 2009 onward. The plaintiff was challenged on her evidence that, on April 9, 2009, she had been assigned to work the entire summer season of 2009 with the "C" watch crew. Under questioning, the plaintiff backtracked somewhat and said that her assignment was not really confirmed in advance for the whole season. She also stated that she had not been historically assigned to the "C" watch crew, but said that this all changed on April 9, 2009. She admitted she had no document from her employer to confirm what she was saying. She conceded that she might not have been called for all of the days worked by the "C" watch crew. But she then asserted that all of the days worked by the "C" watch crew in the summer season of 2009 would still not be the maximum number of days that she could possibly have worked. Her position was that she had adopted a fair and reasonable system in calculating her past wage loss for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Defence counsel next established that 2008 was a good representative year in the plaintiff's employment history. Counsel then established that the plaintiff had worked a considerable number of days on the Duke Point run, in 2008. During this questioning, the plaintiff admitted that she had requested that she be assigned to the Duke Point run during the months from June to September of 2008. She said that she did this so that she could get more time off in the summer of that year. She did not explain why she would want more time off in the summer of 2008 than in any other year since then. On further questioning, counsel established that the plaintiff had also worked a significant number of shifts on the Duke Point run, in 2009, before the accident occurred on April 9,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plaintiff testified that her claim for past wage loss was based on the assumption that she would work 21 days per month. But she said that she sometimes worked more than 21 days per month. Again, the plaintiff stated that, when she takes a vacation, she uses her banked overtime hours to "pay" herself for the two or three weeks vacation so she would not suffer any loss of income during a vacation period. She said she had used up her banked overtime hours by the time she went back to work in October 2009, so that when she took a vacation in late November and up to mid December 2009, she did not receive any pay while she was off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On being questioned about the reason for her visit to the chiropractor on March 24, 2009, the plaintiff stated that the First Aid training course had made her sore. Counsel then pointed out that the chiropractor's notes indicated that he had treated her entire spine, including her neck. The plaintiff did not dispute this, but said that she was "just a little bit sore."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Counsel then established that the plaintiff had given the following testimony on her examination for discovery (Q. 287 - 291):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287</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you saw him two weeks, about two weeks before the accident and the note that he made was neck very stiff, right upper thoracic something or other. Is that what that says?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This? I can't even read that. I do know the reason I went to see him then though. I had just completed my Level 3 first aid course in February, end of January, beginning of February -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288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you went and saw him about getting a job?</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 and I was working. No. I was working at BC Ferries and I also do little bits of office work still for people. So I sit at a desk sometimes for long periods, work on a computer, and by the time I had completed my first aid course and I was back at work, my job is very physical, I was just extremely sore and felt sort of belt (sic) and twisted out of shape, probably because I was strapping 200 pound men into boards and moving them for two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289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So I just needed the tension to be released in my back at that time and it worked. My neck was sore from the -- the neck was sore in the first aid course because they put hard collars around your neck, the other students, and strap you into the boards.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290</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It does appear that this was -- you had seen him over the prior couple of years at least?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Yes, I go every once in a while when I just feel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291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If I'm not mistaken, it's mostly upper back, shoulder, neck areas for the most part?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Sort of my, yeah, my back in general. I get tense from working at a desk and then vacuuming for two hours on board the ship and moving heavy boxes and moving life rafts.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plaintiff acknowledged that she had given that evidence on discovery (which included the statement "I was just extremely sore . . ." and that she had been seeing the chiropractor for several years before the accident "for . . . my back in general", i.e. her upper back, shoulder and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Counsel then asked the plaintiff whether she had told her massage therapist in December 2007 that she had been experiencing chronic pain for 15 years. The plaintiff denied making that statement and asserted that she told the massage therapist that she had experienced chronic pain, at a point in time 15 years earlier. The plaintiff then explained that, when she was 22 or 23 years of age, following a motor vehicle accident, she had severe migraine headaches for a week and that headaches were "an issue" for about two months. She said the headaches "went away." The plaintiff testified that this was what she meant when she told the massage therapist that she had "chronic pain". She said she called it "chronic", because the pain was constant for one week. The plaintiff continued with her explanation by saying that, in 2007, she did not know what the definition of "chronic pain" was, and added: "I had no dictionary." The plaintiff further stated (referring to the effects of that earlier accident) that "it was extremely terrifying", a cat-scan was done, and that she had "life threatening pain in my head, it was chronic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plaintiff also testified that she had told the massage therapist in 2007 that she was getting a sore back from walking, and the massage therapist thought that this might be due to favouring her right knee (from the surgery in 2005). She said that she also got massage therapy on the muscles of her right leg.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Counsel seemed to suggest that the plaintiff may have switched to the Duke Point route so that she could ride back and forth to work with her husband. The plaintiff acknowledged that her husband worked for B.C. Ferries on the Duke Point route, and that sometimes they both worked on the same ship. But she said that, although she car pooled with other employees, she did not car pool with her husband.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Re-examination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On re-examination, counsel for the plaintiff elicited the evidence that the plaintiff's husband had told her that the Trojan Body Shop estimator had told him that there was "extensive damage" to the bumper. The plaintiff also stated that Dr. Mark had been her physician since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plaintiff stated that when she passed her employment medical examination in 2011, the doctor "noted two things", but concluded that those things did not make her unfit for work. (This evidence was properly objected to by defence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Finally, it was shown that the plaintiff had made a verbal statement to the ICBC adjuster on April 20, 2009, that was consistent with her having sustained at least some injury from contact with the seat belt.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Steven Blanchette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Mr. Blanchette is 47 years of age. He has lived with the plaintiff in Lantzville for 19 years. He works for the BC Ferries as a deck hand and bridge watchman and had been employed by BC Ferries for several years before the plaintiff started working there. He works on the Duke Point route on "K" watch, and is in his third year as a regular full-time employee.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Mr. Blanchette was at work aboard ship when the plaintiff called him and told him about the motor vehicle accident. He got home about 1:20 a.m. on April 10,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Mr. Blanchette described the off-work activities of the plaintiff, before the accident, which description was consistent with the plaintiff's account of her activities. He added some details about the renovation work they had done together on residences in past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He said that the plaintiff was not restricted by pain in any of her activities before the accident. He said she did not take any medications except for Tylenol or Aspirin, which she might take after a hard day's work in the back yard.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Mr. Blanchette said that he had often worked on the same shift and the same ship as the plaintiff, particularly in 2007 and 2008, and described her as being energetic, efficient and organized as a worker. He described the catering work that the plaintiff was required to do as being a "tough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Mr. Blanchette described the plaintiff as being upset when she telephoned to tell him about the accident, and again the next morning before she went to work. He said that he saw "slight bruising" on her body, from the seat belt.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Mr. Blanchette testified that after the accident, the plaintiff became withdrawn and was not her usual self. She didn't want to be touched. In the first days after the accident, he said he tried to get the plaintiff to book time off work, but said that she didn't want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Mr. Blanchette gave an account of the plaintiff's difficulties in doing household chores and yard work after the accident, and her stopping or reducing her recreational activities after the accident, which was generally consistent with the plaintiff's own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He said that, when he and the plaintiff were on vacation in Maui, Hawaii in December 2011, the plaintiff said she was in pain after doing some swimming, and he touched her neck and said he felt muscle spasm.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Mr. Blanchette described the summer of 2009 as being a "complete write-off" for the plaintiff. He said that he convinced her to go on a boating trip with him to Princess Louisa Inlet, but the plaintiff would not get off the boat to go hiking.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Mr. Blanchette said that the plaintiff has improved since the accident, that she has "good days and bad days" and that after five shifts of work "she is wiped-out." He says she still cannot do all of her former activities, and those that she can do are done with a lesser intensity. He said that she was unable to do any house painting which required her to reach above her shoulder and look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Mr. Blanchette said that his relationship with the plaintiff has changed since the accident, and has become frustrating for him, due to the plaintiff's reduced activity and her somewhat anti-social behaviour.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On cross-examination, Mr. Blanchette was questioned about his trip to the Trojan Auto Body shop to get a repair estimate for the car damage. He was referred to the photographs in Exhibit 6 at Tab 5 and, when shown photograph No. 9 he described the foam core under the rear bumper cover as being "shattered". He agreed that the styrofoam core was designed to absorb impact from the rear, which could mean that it would have to be replaced after one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Counsel for the defendant elicited from Mr. Blanchette that he and the plaintiff get their five days off work together at the present time. He said that was only because the plaintiff was "filling in" on "J" watch. But he then admitted that this had been the case for about two years, since the spring of 2010. He explained that the employer needed a First Aid attendant on "J" watch, so the plaintiff was put on that watch.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Mr. Blanchette agreed that the plaintiff had received chiropractic treatment and massage therapy, before the motor vehicle accident. He said he knew that the plaintiff had seen a chiropractor before the accident, after she completed her First Aid course, which he described as being "tough." He said that the plaintiff was sore in her lower back, from the First Aid course activities. He said that he thought that the plaintiff was okay within a few days after she completed the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Mr. Blanchette agreed with counsel's suggestion that the plaintiff's catering job is "very physical." He said the plaintiff has told him that she has great difficulty doing five days work, and he repeated that on her days off "she is absolutely wiped-out," He said: "she can do her job, but she is in a lot of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Mr. Blanchette said that he was not present when the plaintiff had a serious problem with her right knee on getting up in the morning (in November 2009). He seemed to be unaware that such an incident had occurred. He said that he believed that the plaintiff had successfully recovered from her knee surgery within about a year after the operation. But he added that, now, the plaintiff seems to be having trouble with her knee. He said she sometimes limps, which she had not done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Mr. Blanchette thought the cost to repair his car was "around $1,000.00."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Admissions made by the Defendant on Examination-for-Discovery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plaintiff read in parts of the evidence given by the defendant on his examination for discovery on November 1, 2011. The defendant admitted that he was driving a 1992 Oldsmobile Cutless Supreme when his vehicle rear-ended the vehicle that was being driving by the plaintiff. He admitted that the plaintiff's car was stopped when his car hit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defendant testified that he may have asked the plaintiff whether she was hurt, after the collision and he admitted that "the other driver indicated her knees when she got out of the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defendant agreed that he was not able to estimate the speed of his vehicle (presumably, its speed when it struck the plaintiff's vehicle).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William Craig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Dr. William Craig is a physiatrist, i.e. a medical specialist in physical medicine and rehabilitation. He is qualified to give opinion evidence relating to the diagnosis, prognosis and treatment of soft tissue injuries similar to those alleged by the plaintiff. He is also qualified and experienced in rehabilitating patients who suffer from chronic pain. Dr. Craig examined the plaintiff on January 20, 2012. His report is dated January 31, 2012 and it is comprehensive.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Dr. Craig elicited a history from the plaintiff which included her description of the motor vehicle accident, the onset of her pain and disability, an outline of the treatment she received and her account of the degree of her recovery and improvement.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plaintiff's main complaints of ongoing pain and disability were, in summary, the following:</w:t>
      </w:r>
      <w:r>
        <w:rPr>
          <w:rFonts w:ascii="arial" w:eastAsia="arial" w:hAnsi="arial" w:cs="arial"/>
          <w:sz w:val="20"/>
          <w:lang w:val="en-US" w:eastAsia="en-US" w:bidi="ar-SA"/>
        </w:rPr>
        <w:cr/>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Constant pain in the back of her neck, which varies in intensity, and which is aggravated by flexing forward, using her arms, and lifting, and which causes headaches when the neck pain increases.</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Pain at the front of her shoulders which extends down her arms (on the right more than on the left) and pain in her right index finger. The pain goes into her collar bone area and the front of her neck. The pain is also between her shoulder blades which is intermittent only, but which "can be incredibly sore." This pain between the shoulder blades is aggravated by prolonged sitting and lying down.</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Pain spreading from her shoulders down the right side to her tail bone area. This pain is aggravated by prolonged sitting. She sometimes gets pain in her entire back. Sometimes the pain goes into her groin and her thigh. She gets episodes of tingling in her right thigh.</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Occasional pain in her right knee around the knee-cap. This pain has mostly resolved, but she has persisting pain in the big toe of her right foot.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plaintiff described the following effects of her pain to Dr. Craig (my summarizing):</w:t>
      </w:r>
      <w:r>
        <w:rPr>
          <w:rFonts w:ascii="arial" w:eastAsia="arial" w:hAnsi="arial" w:cs="arial"/>
          <w:sz w:val="20"/>
          <w:lang w:val="en-US" w:eastAsia="en-US" w:bidi="ar-SA"/>
        </w:rPr>
        <w:cr/>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interferes with her sleep.</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occasionally causes her to have balance problems on the right side.</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Her mood is "down" since the accident.</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often causes her to feel short-tempered.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findings made by Dr. Craig on his examination of the plaintiff included the following:</w:t>
      </w:r>
      <w:r>
        <w:rPr>
          <w:rFonts w:ascii="arial" w:eastAsia="arial" w:hAnsi="arial" w:cs="arial"/>
          <w:sz w:val="20"/>
          <w:lang w:val="en-US" w:eastAsia="en-US" w:bidi="ar-SA"/>
        </w:rPr>
        <w:cr/>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considered the plaintiff to be "pain focused" and she spontaneously and frequently described her symptoms.</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grimacing as if in pain, when he was manually testing her muscles and range of motion in her joints.</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Head and neck: The plaintiff had full neck extension but complained of pain. She had 45 degrees rotation to the right and 40 degrees rotation to the left, and she complained of pain during these movements. The plaintiff could tilt her head 20 degrees to the right and 15 degrees to the left, but complained of pain during these movements. Dr. Craig found the plaintiff "tender throughout the neck and shoulder girdle to light palpation."</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Shoulders: the range of motion, of the plaintiff's shoulders was "essentially full." She had normal strength in the shoulder muscles.</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Arms: no negative findings. The plaintiff complained of diminished sensation to light touch on the palm side of her right index finger.</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Back: The plaintiff had good forward flexion but complained of pain between the shoulder blades and in her neck, on these movements. Extension was only about 5 degrees. The plaintiff "did not tolerate spinal glide through the lower lumbar levels." The plaintiff was tender in her lumbosacral area, in the para spinal muscles.</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Right knee: Tender with palpation in several areas around the knee. The range of motion was full and there was no swelling.</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Hips: The plaintiff was tender to palpation of the gluteus muscles. She was tender on palpation of both thighs. The range of motion of her hips was full.</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Right foot and ankle: Tender in some parts.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Dr. Craig's diagnosis was (my paraphrasing):</w:t>
      </w:r>
      <w:r>
        <w:rPr>
          <w:rFonts w:ascii="arial" w:eastAsia="arial" w:hAnsi="arial" w:cs="arial"/>
          <w:sz w:val="20"/>
          <w:lang w:val="en-US" w:eastAsia="en-US" w:bidi="ar-SA"/>
        </w:rPr>
        <w:cr/>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sustained a soft tissue injury to her neck, shoulders and upper back in the motor vehicle accident, which was moderate in severity.</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did not sustain an injury to her low back as a result of the accident.</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did not sustain an injury to her right knee as a result of the accident.</w:t>
      </w:r>
    </w:p>
    <w:p>
      <w:pPr>
        <w:numPr>
          <w:numId w:val="4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Craig suspects that the plaintiff had a mood disorder, but, assuming that she does, he is unable to say whether it was caused by the accident.</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had pre-existing conditions of pain in her back and neck before the accident of April 9, 2009 but in his opinion these previous problems were "not . . . prominent in the period just before the April 9, 2009 accident."</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Because the plaintiff appears to have had a problem with her neck and upper thoracic region for which she sought chiropractic treatment on March 24, 2009, she was "at risk of a poorer outcome from subsequent injury to these areas, from the April 9, 2009 accident."</w:t>
      </w:r>
    </w:p>
    <w:p>
      <w:pPr>
        <w:numPr>
          <w:numId w:val="4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Craig does not express any opinion as to whether or not the ongoing headaches complained of by the plaintiff were caused by the accident of April 9, 2009.</w:t>
      </w:r>
    </w:p>
    <w:p>
      <w:pPr>
        <w:numPr>
          <w:numId w:val="4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Craig does not expressly state that he believes the neck and upper back pain that is complained of by the plaintiff is "chronic."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Dr. Craig's prognosis for the plaintiff's recovery is that the plaintiff is continuing to improve and that she will not reach her point of "maximal medical improvement" for six months to one year (from January 20, 2012). As to the plaintiff's ability to work, Dr. Craig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feel that with further treatment, she should be able to continue working at her current occupation but would be at risk of periodic time off in the future, due to injuries from the April 9, 2009 accident and ongoing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As to the plaintiff's ability to do her other activities, Dr. Craig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see no limitations long-term in her ability to do her activities of daily living, regular household tasks, and yard tasks with the exception of heavier ones, such as snow shovelling.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final paragraph of the text of Dr. Craig's prognosis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would be at risk of aggravation of her current symptoms or a more prolonged period of recovery if there was another work, recreational, or motor vehicle related injury, due to injuries from this accident. There is a slightly increased risk of accelerated degenerative changes in her neck due to injuries from this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Dr. Craig makes a number of recommendations for the plaintiff's treatment, which include the following:</w:t>
      </w:r>
      <w:r>
        <w:rPr>
          <w:rFonts w:ascii="arial" w:eastAsia="arial" w:hAnsi="arial" w:cs="arial"/>
          <w:sz w:val="20"/>
          <w:lang w:val="en-US" w:eastAsia="en-US" w:bidi="ar-SA"/>
        </w:rPr>
        <w:cr/>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 . she needs her possible mood issues addressed [by a psychologist or psychiatrist], in addition to her sleep."</w:t>
      </w:r>
    </w:p>
    <w:p>
      <w:pPr>
        <w:numPr>
          <w:numId w:val="4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should start increasing her recreational activities, and Dr. Craig recommends that she engage in a regular gym routine. He recommends supervision by a kinesiologist for about 18 to 30 sessions, in the six to twelve months after January 20, 2012.</w:t>
      </w:r>
    </w:p>
    <w:p>
      <w:pPr>
        <w:numPr>
          <w:numId w:val="4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should avoid passive treatments, including acupuncture.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In the appendix attached to his report, Dr. Craig makes a number of additional comments which I would summarize as follows:</w:t>
      </w:r>
      <w:r>
        <w:rPr>
          <w:rFonts w:ascii="arial" w:eastAsia="arial" w:hAnsi="arial" w:cs="arial"/>
          <w:sz w:val="20"/>
          <w:lang w:val="en-US" w:eastAsia="en-US" w:bidi="ar-SA"/>
        </w:rPr>
        <w:cr/>
      </w:r>
    </w:p>
    <w:p>
      <w:pPr>
        <w:numPr>
          <w:numId w:val="5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gives reasons why he concludes that the plaintiff did not suffer an injury to her right knee in the accident.</w:t>
      </w:r>
    </w:p>
    <w:p>
      <w:pPr>
        <w:numPr>
          <w:numId w:val="52"/>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Craig recommends assessment by a psychologist or psychiatrist, to determine whether the plaintiff has a mood disorder. Dr. Craig suspects that the plaintiff does have a mood disorder because she is very pain focused, she "reported pain in her neck and shoulder girdle even with superficial palpation", and her reported symptoms and his findings on examination "would not entirely fit with what she has been able to do at work."</w:t>
      </w:r>
    </w:p>
    <w:p>
      <w:pPr>
        <w:numPr>
          <w:numId w:val="5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gives reasons why the plaintiff's possible mood disorder and her reported sleep disturbance should be investigated (i.e., because these things, if they exist, "can be a major barrier to recovery").</w:t>
      </w:r>
    </w:p>
    <w:p>
      <w:pPr>
        <w:numPr>
          <w:numId w:val="5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Craig notes that the plaintiff has been reporting pain in areas other than the injured areas of her neck and upper back.</w:t>
      </w:r>
    </w:p>
    <w:p>
      <w:pPr>
        <w:numPr>
          <w:numId w:val="5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Craig recommends "another trial of a tricyclic antidepressant."</w:t>
      </w:r>
    </w:p>
    <w:p>
      <w:pPr>
        <w:numPr>
          <w:numId w:val="56"/>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Craig says he is not making a diagnosis of fibromyalgia.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Counsel for the plaintiff asked Dr. Craig a number of questions before he was cross-examined on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Dr. Craig said that his findings as to the plaintiff's neck rotation and head tilt indicated that the plaintiff's range of motion in these respects was less than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Dr. Craig was asked to define "chronic pain" and he said that it was pain that lasts longer than six months and which causes some degree of impairment of physical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In answer to further questions from counsel for the plaintiff, Dr. Craig stated that persons who have anxiety or depression often have a low pain threshold and that a majority of his patients who have chronic pain, also have "mental health issues." I understood him to mean "mental health issues" falling within a recognized psychiatric disorder such as anxiety or depression. But these two comments by Dr. Craig were only general in nature, and were not intended to refer to the plaintiff. These remarks seemed to be intended as further justification for Dr. Craig's recommendation that the plaintiff's possible mood disorder should be further investigated.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Dr. Craig was cross-examined extensively about his opinions and the reasons on which his opinions were based. I will summarize some of the more important evidence elicited by defence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Dr. Craig agreed that the force of the impact from the collision in which the plaintiff was injured is a significant factor in his assessment of the severity of the plaintiff's injury. He also stated that the amount of damage to a motor vehicle involved in a collision can be an indicator of the force of the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On being referred to the notes he made of his discussion with the plaintiff, Dr. Craig testified that the plaintiff told him that her car was pushed forward 10 to 12 feet by the force of the collision and that the rear bumper of her car was destroyed. He was not sure whether the plaintiff had told him that the front of her car had hit the vehicle that was stopped in front of her. Upon being referred to his written report, Dr. Craig then stated that the plaintiff had told him that her car was pushed into the car in front of her. He acknowledged that he had written that there was extensive damage to the rear bumper of the plaintiff's vehicle. Dr. Craig said that the plaintiff had told him that her head had struck the head rest twice during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Dr. Craig said that, as a result of what the plaintiff had told him and what he had seen in the records he had reviewed, he estimated that the force of the collision was of medium or moderate force. He said that he considered the amount of force involved to be significant and that it could cause moderate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Dr. Craig stated that findings of muscle spasm, restricted range of motion in joints, deformity and bruising would be objective evidence that would support the existence of injury. He acknowledged that a patient's complaints of pain on palpation and complaints of restricted range of motion due to pain, were partly objective and partly subjective findings. But I understood him to say that these findings were usually more objective than subjective.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When asked about the date on which Dr. Mark's clinical records showed that she had last made an objective finding of injury, Dr. Craig was unable to give a date. He was referred to the clinical notes of the plaintiff's first doctor's visit on April 16, 2009, the physiotherapist's note of April 22, 2009 and the chiropractor's notes of April 29, 2009. Counsel suggested that there were minimal findings on April 16, some objective findings on April 22, by the physiotherapist, (decreased range of motion and muscle spasm) but no note of any objective findings after that date. Dr. Craig said that it was not his practice to document the findings made in all of a patient's visits to a doctor after an accident, beyond the first few weeks. He added that often an attending doctor does not examine a patient on every visit. He acknowledged that the chiropractor, Dr. Austin had noted: "full ROM but guarding a lot" on April 29,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Defence counsel questioned Dr. Craig about the plaintiff's pre-existing conditions. Dr. Craig agreed with counsel's suggestion that the plaintiff did not sustain any injury to her right knee in the accident of April 9, 2009. It was pointed out to Dr. Craig that the plaintiff had seen a doctor on June 12, 2007, complaining about low back pain. Dr. Craig had not mentioned that event in his report, and did not consider it of significance. He was then questioned at some length about the statements made in his report under the heading "Past Medical History" (at pp. 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Counsel referred Dr. Craig to the statements he made in his report about what the plaintiff had told a massage therapist during a visit on December 21, 2007. Dr. Craig had written (at p. 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December 21, 2007 note comments on back, neck, and knee. She stated that some symptoms had started 15 years ago and the knee two and one-half years before. The note comments on having had migraines for a long time. She was reporting tension and pressure at the back of her knee. She stated she had chronic pain x 15 years and saw a chiropractor which had helped. There was a comment about palpating tension in her right low back and gluteal region.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Counsel for the defendant asked Dr. Craig whether he had questioned the plaintiff about her condition on December 21, 2007 and the statements she had apparently made to the massage therapist. Dr. Craig answered that he did not make a note of specifically asking the plaintiff about whether she had symptoms that had persisted for 15 years as at that date. He added that he had not seen any other similar comments in any of the records that he had reviewed.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Counsel referred Dr. Craig to his report at page 6 where he noted that, in a May 29, 2008 visit to the massage therapist, the therapist had recorded complaints of low back tightness and upper back on the right, and that the plaintiff received "general treatment on her neck." Counsel then referred Dr. Craig to this part of his report (at p. 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August 16, 2006 chiropractic notes comments on right neck, arm, shoulder, back symptoms, and knee achy and swollen. She received treatment March 26, 2008 for upper back and bilateral neck symptoms. The March 24, 2009 chiropractic notes comments on neck, (very illegible) and upper thoracic.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Counsel implied by his questioning that Dr. Craig had not sufficiently explored the plaintiff's pre-existing condition and had not given it sufficient weight in forming his opinions. Dr. Craig answered that he had noticed some pre-existing issues but said that they did not really look like chronic pain to him, from what he had seen in the clinical records provided to him (which he said did not go back more than two years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Dr. Craig testified that he would have asked the plaintiff if she had experienced significant problems with her neck or back, before the accident. He did not say what the plaintiff may have told him, but he did say (at p. 7 of his report) that the plaintiff told him: "she had occasional left shoulder pain, prior to the April 9, 2009 accident, if she overdid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Dr. Craig expressed the opinion that the plaintiff most likely suffered muscular strain. But he then added, as only possibilities, that there could be ligamentous or even disc injury. He acknowledged that the plaintiff's degenerative disc disease in her cervical spine was not caused by the accident. He did say that degenerative disc disease can be accelerated by soft tissue injury to the spinal structures.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On being questioned about the plaintiff's work history following the accident, Dr. Craig acknowledged that he did not know of the specific symptoms complained of by the plaintiff which induced her to take time off work in November and December 2009. Nor did he know whether the plaintiff had recovered from those symptoms when she returned to work in December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Counsel asked Dr. Craig about the wide-spread symptoms she complained of on his examination on January 20, 2012, such as pain in her hip, tail bone and sometimes in her entire back. Dr. Craig seemed to say that these unusual complaints were part of the reasons why he suspected that the plaintiff may have a mood disorder. He stated that he did not think that this motor vehicle accident would cause a mood disorder in the plaintiff (assuming a mood disorder does exist).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Dr. Craig included in the passive treatment that should be avoided by the plaintiff, massage therapy, chiropractic treatment and acupuncture.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Dr. Craig was asked about muscle tone, and he said that muscles could be soft when relaxed, or firm when contracted or activated by muscle spasm. He said that muscles can be contracted by lifting weights or by consciously tensing the muscles (which is a common sense proposition).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Re-Examination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Counsel for the plaintiff asked questions of Dr. Craig in re-examination about a possible right knee injury. On hindsight, I think this question was not proper re-examination. In effect, counsel asked Dr. Craig whether the plaintiff's right knee problem would be related to the motor vehicle accident, if she had reported it to a doctor immediately, and Dr. Craig answered, in effect, "Maybe". Dr. Craig had assumed as a fact (p. 3 of his report) that the plaintiff had right knee pain immediately following the collision, and that the other driver confirmed that the plaintiff mentioned knee pain at the scene of the accident. Having already assumed the truth of those facts, Dr. Craig formed the opinion that the plaintiff's complaints of knee pain are not related to the accident. I understood Dr. Craig to opine that the plaintiff did not sustain an injury to her right knee in the motor vehicle accident. Counsel should not have asked these questions in re-examination. Of course, Dr. Craig did not attempt to change his opinion, in allowing for a possibility that the plaintiff's knee problem was related to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Dr. Craig repeated his opinion that the force of impact was moderate and so it would be capable of causing (and in this case it did cause) moderate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Counsel for the plaintiff then asked questions which elicited answers from Dr. Craig which came close to argument and advocacy. Counsel first suggested that a lack of an objective finding by a doctor does not mean that the patient had recovered. Dr. Craig seemed to agree with that suggestion, but added that a doctor would not make any objective findings if he did not examine the patient. He went on to say that, in this case, it is sometimes hard to tell from the clinical notes if the doctor did examine the plaintiff or not. He proceeded to say that even when doctors do examine the patient, and make an objective finding, they do not always record it in their notes. I consider that answer to be speculation.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Evidence Presented by the Defendant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defendant Corbin Jentsch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 defendant Corbin Jentsch was 19 years of age at the time of the accident and is now 22. He lives and works in Nanaimo.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In describing the motor vehicle accident, the defendant said that the weather was clear and dry at the time. He said that, as he approached the intersection of Turner Road, the traffic light was red and the car ahead of him was stopped. He testified that he stopped his car behind that car (i.e. the plaintiff's car). He said that the light then turned green, and the brake lights in the car ahead of him went off. That caused him to assume that the car was beginning to move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The defendant testified that, at that point, he leaned over and looked down and scratched his right foot, which was itchy. The transmission of his car was then in the "Drive" position, and the car moved forward on its own. He said he then looked up, saw that the car ahead of him had not moved, and the front of his car hit the back end of that car. He said he then backed up. He was not sure if he then steered over to the left and drove into the left turn lane, or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 defendant said that he got out of his car and went to the plaintiff, who had also gotten out. They exchanged information with each other. The plaintiff said that the accident was minor and there was no need to get the police involved. He testified that he saw the plaintiff pick up pieces of what he believed to be his licence plate (cover), from the roadway.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Mr. Jentsch was then questioned about the photographs of his vehicle taken on April 23, 2009. He said that a part of the plastic licence plate holder frame had broken off in the collision but he did not identify any other damage. He said that he had not gotten an estimate of what it would cost to repair that small damage and he did not get it repaired.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The defendant said that he drove home after the accident, and that the plaintiff telephoned him about half an hour later. He said that the plaintiff told him that she had made a claim to ICBC and suggested that he should report the accident too. Mr. Jentsch stated that he did report the accident to ICBC, the next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In cross-examination, the defendant acknowledged that the plaintiff had walked behind her vehicle, to pick up the pieces of licence plate holder from the roadway. He admitted that he did not know what movement may have been caused to the plaintiff's car, by the collision. He acknowledged that there was a partial imprint of his licence plate number faintly visible on the rear bumper of the plaintiff's vehicle as shown in photograph no. 7 of Exhibit 6 at Tab 5, and in the blow-ups of that photograph in Exhibit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At the end of cross-examination, on being questioned by the court, the defendant testified that when he bent down to scratch his foot, his right foot was not on the gas pedal and was not on the brake either. He stated that the movement of his car at the time it hit the plaintiff's car may have been more than simply rolling into her car. He said that the front of his car was approximately one and one-half car lengths behind the plaintiff's car when he bent 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In re-examination, the defendant testified that he was about one car length away when he first stopped behind the plaintiff's car.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Brent Reid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Brent Reid has been an estimator with ICBC since 1996. He inspected the 2001 Toyoto Corolla that the plaintiff was driving at the time of the accident, assessed the damage and estimated the cost for repair.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Mr. Reid described the visible damage to the rear bumper cover and licence plate holder bracket. He confirmed that there was no structural or frame damage to the vehicle. He testified that the total cost to repair the vehicle, for materials, labour and taxes was $785.53.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Mr. Reid gave a detailed description of the damage to the vehicle based on the photographs and his own notes. He said the rear bumper cover and the Styrofoam board underneath the bumper cover (which attaches to the metal bumper) were replaced. He treated the case as a low velocity impact claim. In cross-examination, Mr. Reid was asked questions about photographs 6, 8, 9 and 10 of Tab 5, Exhibit 6. He did not change his description of the damage to the plaintiff's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Issue of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The defence challenges the plaintiff's evidence that the force of the impact was violent. Counsel for the defendant challenges the credibility of the plaintiff on her claim that she continues to suffer pain from the injury she sustained on April 9, 2009 and on her claim that the pain continues to impair her physical abilities to some degree. The plaintiff's assertion that she suffered an injury to her right knee in the accident is disputed.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The defence disputes the plaintiff's claim that the reason she switched from the Departure Bay route to the Duke Point route was because she suffered too much pain when working eight days straight.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The defence also challenged some of the evidence given by the plaintiff's partner, Steven Blanchette, so that his credibility is put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Counsel for the defendant challenges the reliability of the opinions given by Dr. Craig, on the ground that his opinions are based to a significant extent on erroneous assumptions of fact and on statements made by the plaintiff, which are not credible. In particular, Dr. Craig's opinions are challenged to the extent that he accepted the plaintiff's account of the force of the impact and accepted the truth of the plaintiff's complaints that she was having significant ongoing pain and related partial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Counsel for the plaintiff challenged the credibility of the defendant Corbin Jentsch, on his account as to how the collision occurred. The credibility of Brent Reid, the ICBC estimator, was not called into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The credibility of witnesses is an important issue in this trial. I must assess credibility before I can make findings of fact on the material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Credibility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In my opinion, a number of facts have been established which have the potential to adversely affect the plaintiff's credibility. I will summarize these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I think the plaintiff's description of the violent nature of the impact of the collision, and its effects on her body is inconsistent with her evidence to the effect that, after the accident, she did not think she had been injured. I understood that to be her explanation for not reporting any injury to the ICBC agent when she called that night to report the accident and make an insurance claim for the repair of damage to her vehicle. Later in the cross-examination, the plaintiff changed her evidence to some extent when she stated in substance that she did not think she had suffered any injury that was serious or significant. This seemed to be offered as part of the explanation for why she went to work the next day (and three more days), namely, because she thought she would be all right in a few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The plaintiff's assertion that the rear bumper of her car had been "destroyed" (or extensively damaged) in the collision is inconsistent with the photographs of the actual damage and by the evidence of Brent Reid. The amount of damage caused by a collision does not necessarily correspond to the force of the impact. But in my view, the plaintiff's description of the damage to her vehicle is an obvious and gross exaggeration.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The plaintiff has made a number of pre-trial statements that are inconsistent with her trial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The plaintiff told Dr. Craig that her car had been pushed forward by the force of the collision. She denied telling Dr. Craig that her car was pushed forward 10 to 12 feet by the force of impact and denies telling him that the front of her car hit the car that was stopped in front of her. In the face of this direct conflict, I give the benefit of the doubt to the plaintiff with respect to those two alleged statements. But she admits that she told Dr. Craig that her car was pushed forward by the impact. That statement is inconsistent with her trial testimony in which she admitted on cross-examination that she did not know whether her car had been pushed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Dr. Craig testified that the plaintiff had told him that the rear bumper of her car had been "destroyed" in the collision. The plaintiff at first denied that she had made that statement, and said that she probably used the word "shattered" which she claimed would be an accurate description of the bumper damage. When she was shown Dr. Mark's clinical notes of June 29, 2009 (which included the words "bumper destroyed"), the plaintiff conceded that she may have told Dr. Mark that the bumper had been destroyed. The plaintiff conceded that she was not sure whether she had used the word "destroyed" when talking to Dr. Craig, but did not distinctly admit that she had made such a statement. I infer that the plaintiff told both Dr. Mark and Dr. Craig that the car bumper had been "destroyed" in the collision. I find that these statements are inconsistent with her own description in her trial testimony of the damage to the bumper that she saw after the collision (i.e., she saw that some pieces had been broken off the plastic licence plate bracket).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Defence counsel suggested to the plaintiff that her condition was improving by April 29, 2009 and (referring to Dr. Mark's clinical note of that date stating: "symptoms overall improving but still unable to work"), suggested to the plaintiff that she had made this (or a similar) statement to Dr. Mark. The plaintiff denied that she had made any such statement to Dr. Mark, and said that Dr. Mark's note that her condition was improving, was false. The plaintiff asserted that her condition not only was not improving, but it was getting progressively worse. She advanced that as a reason why she would not have told Dr. Mark that her condition was improving. But strangely, the plaintiff did not claim to have told Dr. Mark that her condition was worsening.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Counsel referred the plaintiff to Dr. Mark's note of July 20, 2009 which stated: "has improved considerably, pain now 4-5/10", and suggested to her that she had told Dr. Mark that she had improved considerably by then, and that her statement was true. The plaintiff did not concede that she had improved considerably by that date (only that she had "started" to improve). She either denied or did not admit making a statement that she had made considerable improvement. She said that she only told Dr. Mark that her pain was 4 to 5 out of 10 because that was her pain level when she was sitting still in the doctor's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It seems highly improbable that an experienced health care professional such as Dr. Mark would misinterpret what she had been told by the plaintiff concerning her physical condition. It is true that the defendant chose not to call Dr. Mark to contradict the plaintiff (and may have had no reason to think that the plaintiff would contradict the clinical notes). But nevertheless, the improbability remains and creates doubt about the truth of the plaintiff's denials. I was also suspicious of the plaintiff's attempt to qualify her statement to Dr. Mark about her pain level, in a way that is not reflected in Dr. Mark's notes.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Defence counsel referred the plaintiff to Dr. Torrie's note of June 10, 2009, which stated: "ROM neck really very good", and suggested to the plaintiff that the range of motion in her neck was good on that date. The plaintiff answered to the effect that the doctor had only told her that her neck range of motion was good, for her injured condition. That evidence is inconsistent with Dr. Torrie's note of her finding as to the plaintiff's range of motion in her neck, which is not limited in the way suggested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The plaintiff admitted in cross-examination that she had sought chiropractic treatment on March 24, 2009, because a First Aid training course had made her sore. Under further questioning, the plaintiff testified that the chiropractor had treated her entire spine, including her neck. But she stated that she was "just a little bit sore." It was then shown that, on examination for discovery, the plaintiff had testified that she was "just extremely sore." I consider this to be a serious self-contradiction, having regard to the fact that the plaintiff had completed the two week First Aid training course on January 25, 2009, which was two months before her visit to the chiropractor. There was no explanation given for the inconsistency.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At page 7 of his report, Dr. Craig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had occasional left shoulder pain, prior to the April 9, 2009 accident, if she overdid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cross-examination at trial, Dr. Craig testified that he would have asked the plaintiff if she had any significant problems with her neck or back before the accident. I infer that he did ask the plaintiff this question, and she answered that she had occasional left shoulder pain, if she overdid it. Dr. Craig said that he did not question the plaintiff about her pre-accident neck and back problems which were recorded in the clinical records of the massage therapist and the chiropractor (which Dr. Craig summarizes at p. 6 of his report). At trial, the plaintiff described the pre-accident condition of her neck and upper back as only being "fairly good" and she described certain activities that would make her sore. It is apparent that her statement to Dr. Craig is inconsistent with her trial testimony on the subject of the pre-accident condition of her neck and upper back. In my opinion, the plaintiff failed to fairly disclose to Dr. Craig that she had pre-existing problems with her neck and upper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The plaintiff's evidence upon being questioned about her statements to the massage therapist on December 21, 2007 seemed highly improbable to me. In substance, she said that the "chronic pain" that she was describing to the massage therapist consisted of headaches that were very severe in the first week following a motor vehicle accident some 15 years earlier when she was 22 or 23. Her explanation to the effect that she did not know the definition of chronic pain at that time was at least logically connected to her evidence. But her statement that she did not have a dictionary to look up its meaning, seemed nonsensical to me, and diminished the credibility of the first part of her explanation.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The plaintiff denied telling the massage therapist on December 21, 2007 that she had been experiencing pain in her neck and back for 15 years and that she had been having migraine headaches "for a long time." But she did not deny that she had received massage therapy and chiropractic treatments long before the accident, for her neck and upper back. The plaintiff did try to emphasize that she was also receiving treatment for her right knee problem and said that her limping on her right leg may have been causing pain in her low back. In doing so, she seemed to be attempting to minimize the significance of her neck, upper back and shoulder problems. Unfortunately, the clinical records of the massage therapist and the chiropractor were not put in evidence at the trial. Only Dr. Craig's summary interpretation of those records was presented, through his written report, and he did not ask the plaintiff about those records. While I have grave suspicions about the truth of the plaintiff's evidence on this point, I decline to find that she told the massage therapist in December 2007 that she had been having significant pain problems for 15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Steven Blanchette, near the end of his cross-examination, disclosed that he and the plaintiff have been getting the same five days off work together, for about two years, since the plaintiff changed from the Departure Bay route to the Duke Point route. The plaintiff did not disclose that fact at any time during her testimony and Mr. Blanchette did not reveal it in his direct examination. In my view, when the plaintiff was asked to explain the reasons why she switched routes in May 2010 (and why she wants to continue working on the Duke Point route), she should have disclosed this fact. To my mind, it is such an obvious benefit from the route change that, in common sense, the plaintiff should have at least mentioned it as being part of the reasons for her conduct in this regard. Her failure to do so invites the inference that the plaintiff was attempting to conceal this fact from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The plaintiff testified firmly that she worked "predominantly" on the Departure Bay route before the motor vehicle accident. This conveyed the implication that she worked almost exclusively on the Departure Bay route, before the accident. On cross-examination, it was established that she worked a great many shifts on the Duke Point route, before the accident. The plaintiff did not resile from her assertion that she did work predominately on the Departure Bay route before the accident. But her answers in cross-examination cast grave doubt on her professed interpretation of the word "predominantly", and indicated a degree of carelessness with the truth.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On several occasions during her cross-examination, the plaintiff gave answers which went far beyond the requirements of the questions. I would describe them as being long and elaborate but for the most part, unnecessary. However, I took this to be akin to a habit on her part, and I find that this conduct of the plaintiff has no bearing on her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I have identified a number of prior inconsistent statements made by the plaintiff, and several improbabilities, exaggerations and non-disclosures.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By reason of these matters, I have concerns about the plaintiff's credibility as a witness. As a consequence, I have doubts about the reliability of her evidence on the material issues that are in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xml:space="preserve">  In cases where a plaintiff alleges that he or she has sustained a soft tissue "whiplash" injury, there is an "improbability that pain will continue, in the absence of objective symptoms, well beyond the normal recovery period." There must be "convincing" evidence to overcome this improbability. If it is consistent with the surrounding circumstances, the plaintiff's own evidence may be sufficient to overcome the improbability. See </w:t>
      </w:r>
      <w:r>
        <w:rPr>
          <w:rFonts w:ascii="arial" w:eastAsia="arial" w:hAnsi="arial" w:cs="arial"/>
          <w:i/>
          <w:color w:val="000000"/>
          <w:sz w:val="20"/>
          <w:lang w:val="en-US" w:eastAsia="en-US" w:bidi="ar-SA"/>
        </w:rPr>
        <w:t>Maslen v. Rubenstein</w:t>
      </w:r>
      <w:r>
        <w:rPr>
          <w:rFonts w:ascii="arial" w:eastAsia="arial" w:hAnsi="arial" w:cs="arial"/>
          <w:color w:val="000000"/>
          <w:sz w:val="20"/>
          <w:lang w:val="en-US" w:eastAsia="en-US" w:bidi="ar-SA"/>
        </w:rPr>
        <w:t xml:space="preserve"> </w:t>
      </w:r>
      <w:hyperlink r:id="rId645" w:history="1">
        <w:r>
          <w:rPr>
            <w:rFonts w:ascii="arial" w:eastAsia="arial" w:hAnsi="arial" w:cs="arial"/>
            <w:i/>
            <w:color w:val="0077CC"/>
            <w:sz w:val="20"/>
            <w:u w:val="single"/>
            <w:shd w:val="clear" w:color="auto" w:fill="FFFFFF"/>
            <w:lang w:val="en-US" w:eastAsia="en-US" w:bidi="ar-SA"/>
          </w:rPr>
          <w:t>(1993), 83 B.C.L.R. (2d) 131</w:t>
        </w:r>
      </w:hyperlink>
      <w:r>
        <w:rPr>
          <w:rFonts w:ascii="arial" w:eastAsia="arial" w:hAnsi="arial" w:cs="arial"/>
          <w:color w:val="000000"/>
          <w:sz w:val="20"/>
          <w:lang w:val="en-US" w:eastAsia="en-US" w:bidi="ar-SA"/>
        </w:rPr>
        <w:t xml:space="preserve"> at para 15.1; </w:t>
      </w:r>
      <w:r>
        <w:rPr>
          <w:rFonts w:ascii="arial" w:eastAsia="arial" w:hAnsi="arial" w:cs="arial"/>
          <w:i/>
          <w:color w:val="000000"/>
          <w:sz w:val="20"/>
          <w:lang w:val="en-US" w:eastAsia="en-US" w:bidi="ar-SA"/>
        </w:rPr>
        <w:t>Mariano v. Campbell</w:t>
      </w:r>
      <w:r>
        <w:rPr>
          <w:rFonts w:ascii="arial" w:eastAsia="arial" w:hAnsi="arial" w:cs="arial"/>
          <w:color w:val="000000"/>
          <w:sz w:val="20"/>
          <w:lang w:val="en-US" w:eastAsia="en-US" w:bidi="ar-SA"/>
        </w:rPr>
        <w:t xml:space="preserve"> </w:t>
      </w:r>
      <w:hyperlink r:id="rId646" w:history="1">
        <w:r>
          <w:rPr>
            <w:rFonts w:ascii="arial" w:eastAsia="arial" w:hAnsi="arial" w:cs="arial"/>
            <w:i/>
            <w:color w:val="0077CC"/>
            <w:sz w:val="20"/>
            <w:u w:val="single"/>
            <w:shd w:val="clear" w:color="auto" w:fill="FFFFFF"/>
            <w:lang w:val="en-US" w:eastAsia="en-US" w:bidi="ar-SA"/>
          </w:rPr>
          <w:t>2010 BCCA 410</w:t>
        </w:r>
      </w:hyperlink>
      <w:r>
        <w:rPr>
          <w:rFonts w:ascii="arial" w:eastAsia="arial" w:hAnsi="arial" w:cs="arial"/>
          <w:color w:val="000000"/>
          <w:sz w:val="20"/>
          <w:lang w:val="en-US" w:eastAsia="en-US" w:bidi="ar-SA"/>
        </w:rPr>
        <w:t xml:space="preserve"> at para 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In the present case, my conclusion is that the plaintiff's evidence alone is not sufficient to overcome the improbability. I will require confirmation by other evidence or consistency with the probabilities arising from the surrounding circumstances, before accepting the plaintiff's evidence on any material issue in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Credibility of Steven Blanchette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Counsel for the defendant challenged the reliability of Mr. Blanchette's evidence on disputed points, on a number of grounds. It was first pointed out that he was wrong in saying that the plaintiff sought chiropractic treatment within a few days after completing the first aid training course, when the treatment occurred two months after the end of the course. Next, counsel pointed out the improbability of Mr. Blanchette's evidence that he did not know about the plaintiff's acute problem with her right knee in November 2009 (when she reportedly fell down after getting out of bed and when it was obviously a reason why she wanted to take a vacation). Counsel further submitted that Mr. Blanchette sought to convey the erroneous inference that the auto body repair shop could not repair the damage to his car without first getting an estimate by an ICBC estimator, because of the amount of the damage to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Defence counsel submitted that for these main reasons, and for inherent bias, Mr. Blanchette's evidence about the plaintiff's pre -accident condition and the degree of impairment of her former physical activities due to her injury from the accident, should be discounted. It was said that he tended to exaggerate the effects of accident-related injuries and minimized the effects of other painful areas of the plaintiff's body of which she presently complains (right knee, right ankle and foot, low back and 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The points argued by defence counsel were all well taken, in my view. I will be hesitant to accept Mr. Blanchette's evidence as confirmation of the plaintiff's pre-accident condition or of any complaints of pain and disability made by the plaintiff, post-accident, after October,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Reliability of the Expert Opinion Evidence of Dr. Craig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In my opinion, Dr. Craig's opinions are weakened by his acceptance of a number of assumptions as being true, when the assumptions were either questionable or false. First, he appears to have relied, in large part, on the plaintiff's account of the force of the impact. In addition to the plaintiff's statements already described, further evidence of this appears in his report at page 3, paragraph (c) where he stated: ". . . items were dislodged inside Ms. Scoffield's vehicle." But the plaintiff denies that she made several of the statements that Dr. Craig relied on, relating to the force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Next, Dr. Craig acknowledged that the plaintiff had "some back and neck issues prior to the April 9, 2009 accident," but concluded that "These did not appear to be prominent in the period just before the April 9, 2009 accident. . . . "Notwithstanding the pre-existing problems which Dr. Craig found in the clinical records, he admittedly did not question the plaintiff about those matters. He said that the plaintiff told him that "she had occasional left shoulder pain, prior to the April 9, 2009 accident, if she over did it." I infer that he accepted this statement of the plaintiff as being true, since he expressly stated in his report that he relied on the "clinical history reported by the patient." It has been established that the plaintiff did not disclose the true extent of her pre-existing conditions to Dr. Craig. Had he known that the plaintiff sought chiropractic treatment on March 24, 2009 for problems which included neck and upper back pain caused by the physical exertion during her First Aid training course that ended on January 25, 2009, his opinion that the pre-existing conditions were "not . . . prominent," might well have been different.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At page 3 of his report, Dr. Craig states that his assumptions included the following:</w:t>
      </w:r>
      <w:r>
        <w:rPr>
          <w:rFonts w:ascii="arial" w:eastAsia="arial" w:hAnsi="arial" w:cs="arial"/>
          <w:sz w:val="20"/>
          <w:lang w:val="en-US" w:eastAsia="en-US" w:bidi="ar-SA"/>
        </w:rPr>
        <w:cr/>
      </w:r>
    </w:p>
    <w:p>
      <w:pPr>
        <w:numPr>
          <w:numId w:val="57"/>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Since the collision, Ms. Scoffield continues to have headaches and pain in her neck, upper back and right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Dr. Craig was asked by counsel for the plaintiff (in his instruction letter) to assume the truth of that assumption. The inference is inescapable that the plaintiff must have told Dr. Craig that she believed her ongoing symptoms were caused by the injury she sustained in the motor vehicle accident. Dr. Craig concluded that the plaintiff's right knee pain was not causally related to the motor vehicle accident. Nowhere does he expressly state the opinion that her complaints of ongoing headaches are genuine or that they are caused by the injury in the motor vehicle accident (although these opinions might be implicit). To that extent, Dr. Craig does not accept the plaintiff's theory of causation. But he does assume that the plaintiff's complaints of ongoing pain in her neck and upper back are genuine, and he opines that the pain is caused by the injury sustained in the accident. Dr. Craig made no findings on examination of the plaintiff that were totally objective in nature. He even advanced a possible explanation (bordering on advocacy) for why no objective findings by doctors or other health care professionals were recorded in clinical notes beyond a few months after the accident. Dr. Craig also assumed that the plaintiff's pre-existing problems were not significant. In these circumstances, I conclude that Dr. Craig's opinion that the plaintiff's ongoing complaints of neck and upper back pain are causally connected to the motor vehicle accident, is weakened by his assuming the truth of facts based largely on his uncritical acceptance of the truth of the plaintiff's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As mentioned, Dr. Craig testified that he understood the plaintiff's complaints about pain in areas totally unrelated to the motor vehicle accident injury to be episodic in nature, and not continuous. That matter was not much explored in the questioning of the plaintiff, and Dr. Craig's interpretation of these unusual complaints by the plaintiff may be correct. However, in my opinion Dr. Craig failed to adequately investigate the plaintiff's pre-existing problems with pain in her neck and upper back. That failure, coupled with the plaintiff's non-disclosure, may have induced him to prematurely conclude that those pre-existing problems were intermittent or episodic in nature and to ignore the possibility that they were chronic.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xml:space="preserve">  Dr. Craig concluded (using a method which is unclear to me) that the motor vehicle accident had resulted in moderate damage to the plaintiff's vehicle and from that foundation he inferred that the injury sustained by the plaintiff was moderate in degree. The case authorities on this issue establish that the degree of the force of the impact which occurred in a motor vehicle accident is relevant to the issue of whether a plaintiff was injured in the accident and also relevant to the issue of the extent of any injury that was sustained. However, the cases say that the force of impact is not determinative of either issue. Those issues must be decided after considering the whole of the evidence that is relevant to each of them. See </w:t>
      </w:r>
      <w:r>
        <w:rPr>
          <w:rFonts w:ascii="arial" w:eastAsia="arial" w:hAnsi="arial" w:cs="arial"/>
          <w:i/>
          <w:color w:val="000000"/>
          <w:sz w:val="20"/>
          <w:lang w:val="en-US" w:eastAsia="en-US" w:bidi="ar-SA"/>
        </w:rPr>
        <w:t>Laxdal v. Robbins</w:t>
      </w:r>
      <w:r>
        <w:rPr>
          <w:rFonts w:ascii="arial" w:eastAsia="arial" w:hAnsi="arial" w:cs="arial"/>
          <w:color w:val="000000"/>
          <w:sz w:val="20"/>
          <w:lang w:val="en-US" w:eastAsia="en-US" w:bidi="ar-SA"/>
        </w:rPr>
        <w:t xml:space="preserve"> </w:t>
      </w:r>
      <w:hyperlink r:id="rId647" w:history="1">
        <w:r>
          <w:rPr>
            <w:rFonts w:ascii="arial" w:eastAsia="arial" w:hAnsi="arial" w:cs="arial"/>
            <w:i/>
            <w:color w:val="0077CC"/>
            <w:sz w:val="20"/>
            <w:u w:val="single"/>
            <w:shd w:val="clear" w:color="auto" w:fill="FFFFFF"/>
            <w:lang w:val="en-US" w:eastAsia="en-US" w:bidi="ar-SA"/>
          </w:rPr>
          <w:t>2009 BCSC 1074</w:t>
        </w:r>
      </w:hyperlink>
      <w:r>
        <w:rPr>
          <w:rFonts w:ascii="arial" w:eastAsia="arial" w:hAnsi="arial" w:cs="arial"/>
          <w:color w:val="000000"/>
          <w:sz w:val="20"/>
          <w:lang w:val="en-US" w:eastAsia="en-US" w:bidi="ar-SA"/>
        </w:rPr>
        <w:t xml:space="preserve"> at paras 15 - 17; </w:t>
      </w:r>
      <w:r>
        <w:rPr>
          <w:rFonts w:ascii="arial" w:eastAsia="arial" w:hAnsi="arial" w:cs="arial"/>
          <w:i/>
          <w:color w:val="000000"/>
          <w:sz w:val="20"/>
          <w:lang w:val="en-US" w:eastAsia="en-US" w:bidi="ar-SA"/>
        </w:rPr>
        <w:t>Bartel v. Milliken</w:t>
      </w:r>
      <w:r>
        <w:rPr>
          <w:rFonts w:ascii="arial" w:eastAsia="arial" w:hAnsi="arial" w:cs="arial"/>
          <w:color w:val="000000"/>
          <w:sz w:val="20"/>
          <w:lang w:val="en-US" w:eastAsia="en-US" w:bidi="ar-SA"/>
        </w:rPr>
        <w:t xml:space="preserve"> </w:t>
      </w:r>
      <w:hyperlink r:id="rId648" w:history="1">
        <w:r>
          <w:rPr>
            <w:rFonts w:ascii="arial" w:eastAsia="arial" w:hAnsi="arial" w:cs="arial"/>
            <w:i/>
            <w:color w:val="0077CC"/>
            <w:sz w:val="20"/>
            <w:u w:val="single"/>
            <w:shd w:val="clear" w:color="auto" w:fill="FFFFFF"/>
            <w:lang w:val="en-US" w:eastAsia="en-US" w:bidi="ar-SA"/>
          </w:rPr>
          <w:t>2012 BCSC 563</w:t>
        </w:r>
      </w:hyperlink>
      <w:r>
        <w:rPr>
          <w:rFonts w:ascii="arial" w:eastAsia="arial" w:hAnsi="arial" w:cs="arial"/>
          <w:color w:val="000000"/>
          <w:sz w:val="20"/>
          <w:lang w:val="en-US" w:eastAsia="en-US" w:bidi="ar-SA"/>
        </w:rPr>
        <w:t xml:space="preserve"> at paras 23 - 24; and </w:t>
      </w:r>
      <w:r>
        <w:rPr>
          <w:rFonts w:ascii="arial" w:eastAsia="arial" w:hAnsi="arial" w:cs="arial"/>
          <w:i/>
          <w:color w:val="000000"/>
          <w:sz w:val="20"/>
          <w:lang w:val="en-US" w:eastAsia="en-US" w:bidi="ar-SA"/>
        </w:rPr>
        <w:t>Sooch v. Snell</w:t>
      </w:r>
      <w:r>
        <w:rPr>
          <w:rFonts w:ascii="arial" w:eastAsia="arial" w:hAnsi="arial" w:cs="arial"/>
          <w:color w:val="000000"/>
          <w:sz w:val="20"/>
          <w:lang w:val="en-US" w:eastAsia="en-US" w:bidi="ar-SA"/>
        </w:rPr>
        <w:t xml:space="preserve"> </w:t>
      </w:r>
      <w:hyperlink r:id="rId649" w:history="1">
        <w:r>
          <w:rPr>
            <w:rFonts w:ascii="arial" w:eastAsia="arial" w:hAnsi="arial" w:cs="arial"/>
            <w:i/>
            <w:color w:val="0077CC"/>
            <w:sz w:val="20"/>
            <w:u w:val="single"/>
            <w:shd w:val="clear" w:color="auto" w:fill="FFFFFF"/>
            <w:lang w:val="en-US" w:eastAsia="en-US" w:bidi="ar-SA"/>
          </w:rPr>
          <w:t>2012 BCSC 696</w:t>
        </w:r>
      </w:hyperlink>
      <w:r>
        <w:rPr>
          <w:rFonts w:ascii="arial" w:eastAsia="arial" w:hAnsi="arial" w:cs="arial"/>
          <w:color w:val="000000"/>
          <w:sz w:val="20"/>
          <w:lang w:val="en-US" w:eastAsia="en-US" w:bidi="ar-SA"/>
        </w:rPr>
        <w:t xml:space="preserve"> at para. 83.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xml:space="preserve">  In the present case, it is admitted that the plaintiff sustained injury to the soft tissues of her neck, shoulders and upper back as a result of the accident. Thus it is admitted that the forces generated by the collision were capable of causing injury to the plaintiff and did in fact cause her injury. However, Dr. Craig relied on his conclusion that the force of the impact was moderate, to support the further conclusion that the degree or extent of the plaintiff's injury was moderate. In doing so, Dr. Craig appears to have fallen into the error of considering the force of the impact to be determinative on the issue of the extent of the injury to the plaintiff. As I see it, Dr. Craig was not qualified to assess the force of the impact or to determine whether the degree of force corresponded to the severity of the plaintiff's injury. See </w:t>
      </w:r>
      <w:r>
        <w:rPr>
          <w:rFonts w:ascii="arial" w:eastAsia="arial" w:hAnsi="arial" w:cs="arial"/>
          <w:i/>
          <w:color w:val="000000"/>
          <w:sz w:val="20"/>
          <w:lang w:val="en-US" w:eastAsia="en-US" w:bidi="ar-SA"/>
        </w:rPr>
        <w:t>Homolka v. Harris</w:t>
      </w:r>
      <w:r>
        <w:rPr>
          <w:rFonts w:ascii="arial" w:eastAsia="arial" w:hAnsi="arial" w:cs="arial"/>
          <w:color w:val="000000"/>
          <w:sz w:val="20"/>
          <w:lang w:val="en-US" w:eastAsia="en-US" w:bidi="ar-SA"/>
        </w:rPr>
        <w:t xml:space="preserve"> </w:t>
      </w:r>
      <w:hyperlink r:id="rId650" w:history="1">
        <w:r>
          <w:rPr>
            <w:rFonts w:ascii="arial" w:eastAsia="arial" w:hAnsi="arial" w:cs="arial"/>
            <w:i/>
            <w:color w:val="0077CC"/>
            <w:sz w:val="20"/>
            <w:u w:val="single"/>
            <w:shd w:val="clear" w:color="auto" w:fill="FFFFFF"/>
            <w:lang w:val="en-US" w:eastAsia="en-US" w:bidi="ar-SA"/>
          </w:rPr>
          <w:t>2002 BCCA 262</w:t>
        </w:r>
      </w:hyperlink>
      <w:r>
        <w:rPr>
          <w:rFonts w:ascii="arial" w:eastAsia="arial" w:hAnsi="arial" w:cs="arial"/>
          <w:color w:val="000000"/>
          <w:sz w:val="20"/>
          <w:lang w:val="en-US" w:eastAsia="en-US" w:bidi="ar-SA"/>
        </w:rPr>
        <w:t>. I considerate this to be a further significant weakness in the opinions given by Dr. Craig.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As a consequence of the factors I have discussed above, I am unable to accept Dr. Craig's opinion that the plaintiff's complaints of ongoing pain in her neck, upper back and shoulders are caused by the injury she sustained in the motor vehicle accident of April 9,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Credibility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Counsel for the plaintiff submitted that the defendant's version of how the accident occurred should not be accepted because it makes no sense. Counsel referred to Mr. Jentsch's evidence that he saw the brake lights go out on the plaintiff's vehicle, before he took his foot off the brake and argued from this foundation that the defendant was really claiming that the plaintiff's car was moving forward before his car started to move. The argument proceeded that, if that was true, then the plaintiff's vehicle would have been moving forward and his slow-rolling vehicle could not have come into contact with it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I do not accept this submission. The defendant did say that he saw the brake lights go out on the plaintiff's vehicle and assumed that it was going to begin to move forward (because the traffic light was green). The defendant was probably mistaken about seeing the plaintiff's brake lights go off. But he did not try to claim that he saw the plaintiff's vehicle actually move forward. To my mind, that removes the strength from the plaintiff's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The defendant was quite timid in the way he described the accident. He would not even venture an estimate of the speed of his car, when it bumped into the plaintiff's car, when the logical implication of his description of events was that his speed was very slow. He did not give, nor was he asked to give, a description of the force of impact generated by the collision. I am not persuaded that the defendant's credibility was impeached. Except for his evidence that he saw the plaintiff's brake lights go out before his car began to move forward, I accept the defendant's version of the events leading up to and including the collision. There is no conflict of any significance between the evidence of the plaintiff and that of the defendant, relating to the events immediately following the collision, and their telephone discussion later that evening.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Indirect Challenge to Brent Reid's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Counsel for the plaintiff did not challenge Mr. Reid's credibility in cross-examination. But in argument, it was submitted that there was more damage to the bumper of the plaintiff's car than was described by Mr. Reid. It was also suggested that an iron pin which protrudes backwards through the steel bar of the bumper could have been driven forward by the force of impact, because it seems to be closer to the surface of the steel bumper on the driver's side than the pin which protrudes through the bumper bar on the passenger's side. That argument was based on the photographs of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I do not accept this argument. I thought that Mr. Reid described the damage to the plaintiff's car carefully and in considerable detail. I accept his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What was the force of the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Counsel for the plaintiff argued that the plaintiff's statement to ICBC was introduced into evidence as part of the defendant's case, and that the statement confirmed her trial testimony in several respects. I do not agree with this submission. I accept defence counsel's statement to the effect that the plaintiff's statement was not included in its book of documents as evidence of the truth of its contents, but only for convenience to be used in cross-examination, in the event that the plaintiff contradicted it in her trial testimony. But including the plaintiff's statement in this way is a practice that should be avoided.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xml:space="preserve">  Counsel for the plaintiff pointed out that defence counsel had suggested to the plaintiff that she had not told the ICBC adjuster that she received a bruise from the seat belt, but noted that this suggestion was rebutted by the adjuster's notes. Counsel for the plaintiff (relying on </w:t>
      </w:r>
      <w:r>
        <w:rPr>
          <w:rFonts w:ascii="arial" w:eastAsia="arial" w:hAnsi="arial" w:cs="arial"/>
          <w:i/>
          <w:color w:val="000000"/>
          <w:sz w:val="20"/>
          <w:lang w:val="en-US" w:eastAsia="en-US" w:bidi="ar-SA"/>
        </w:rPr>
        <w:t>R. v. Stirling,</w:t>
      </w:r>
      <w:r>
        <w:rPr>
          <w:rFonts w:ascii="arial" w:eastAsia="arial" w:hAnsi="arial" w:cs="arial"/>
          <w:color w:val="000000"/>
          <w:sz w:val="20"/>
          <w:lang w:val="en-US" w:eastAsia="en-US" w:bidi="ar-SA"/>
        </w:rPr>
        <w:t xml:space="preserve"> </w:t>
      </w:r>
      <w:hyperlink r:id="rId651" w:history="1">
        <w:r>
          <w:rPr>
            <w:rFonts w:ascii="arial" w:eastAsia="arial" w:hAnsi="arial" w:cs="arial"/>
            <w:i/>
            <w:color w:val="0077CC"/>
            <w:sz w:val="20"/>
            <w:u w:val="single"/>
            <w:shd w:val="clear" w:color="auto" w:fill="FFFFFF"/>
            <w:lang w:val="en-US" w:eastAsia="en-US" w:bidi="ar-SA"/>
          </w:rPr>
          <w:t>[2008] 1 S.C.R. 272</w:t>
        </w:r>
      </w:hyperlink>
      <w:r>
        <w:rPr>
          <w:rFonts w:ascii="arial" w:eastAsia="arial" w:hAnsi="arial" w:cs="arial"/>
          <w:color w:val="000000"/>
          <w:sz w:val="20"/>
          <w:lang w:val="en-US" w:eastAsia="en-US" w:bidi="ar-SA"/>
        </w:rPr>
        <w:t xml:space="preserve">) argued that this evidence went beyond merely neutralizing the suggestion of recent fabrication and had the effect of supporting the plaintiff's credibility (on the issue of whether she had sustained a seat-belt bruise). I do not agree that an analogy exists between this case and </w:t>
      </w:r>
      <w:r>
        <w:rPr>
          <w:rFonts w:ascii="arial" w:eastAsia="arial" w:hAnsi="arial" w:cs="arial"/>
          <w:i/>
          <w:color w:val="000000"/>
          <w:sz w:val="20"/>
          <w:lang w:val="en-US" w:eastAsia="en-US" w:bidi="ar-SA"/>
        </w:rPr>
        <w:t>R. v. Stirling</w:t>
      </w:r>
      <w:r>
        <w:rPr>
          <w:rFonts w:ascii="arial" w:eastAsia="arial" w:hAnsi="arial" w:cs="arial"/>
          <w:color w:val="000000"/>
          <w:sz w:val="20"/>
          <w:lang w:val="en-US" w:eastAsia="en-US" w:bidi="ar-SA"/>
        </w:rPr>
        <w:t>, on this issue. But I do find that Mr. Blanchette's evidence confirms the plaintiff's evidence on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I do not accept the plaintiff's version of the force of the impact being violent and causing violent movements of her upper body and head. I do not accept her evidence that the collision caused several items to "fly around" inside her car. Nor am I satisfied that the plaintiff's body was forced forward against her seat belt with any significant degree of force. She did sustain some bruising from seat belt contact, but it was very faint and minor.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I find that, after initially coming to a full stop, the defendant's vehicle was moving very slowly when it made contact with the rear bumper of the plaintiff's car. The plaintiff's car was not pushed forward. The damage caused by the collision was minor. The force of the impact was low. The defendant backed his car up after the collision, and the bits of plastic picked up by the plaintiff some distance behind her car, fell away from his car as he was backing up. I do not accept the plaintiff's estimate that the closest pieces of plastic on the roadway were eight feet behind the bumper of her car.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What injuries were sustained by the plaintiff in the motor vehicle accident, how serious were the injuries and how long did they last?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The defendant admits that the plaintiff sustained injury to the soft tissues of her neck, upper back and shoulders as a result of the collision of April 9, 2009. I made that finding of fact. But the plaintiff alleges that the degree of severity of the injury was moderate, whereas the defence argues that it was only mild, or mild to moderate in degree.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Dr. Craig assumed that the force of the impact was significantly greater than I have found to be the case. I do not accept Dr. Craig's opinion that the extent of the plaintiff's injury was moderate. I find that the degree of severity of the injury was near the low end of the mild to moderate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The plaintiff alleges that she sustained an injury to her right knee which was an aggravation of her pre-existing condition. Dr. Craig's opinion is not to that effect. I find that the plaintiff has failed to establish that she sustained an injury to her right knee, in the accident. She may have experienced pain in her knee, but it was of short duration.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Counsel for the plaintiff submits that the injury sustained by the plaintiff caused "the probable development of mood issues." He submits that Dr. Craig has given an opinion which supports this conclusion. I disagree with counsel's interpretation of the opinion given by Dr. Craig. I find that the plaintiff has failed to prove that she developed a mood disorder as a result of the injury she sustained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The plaintiff alleges that she experienced (and continues to experience) frequent and serious headaches as a result of the injury she sustained to her neck and upper back. Dr. Craig assumed as a fact that "since the collision, Ms. Scoffield continues to have headaches. . . ." He also noted this complaint of the plaintiff in his report (at page 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develops headaches in an occipital pattern when her neck pain has flared.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However, Dr. Craig did not express the opinion that the ongoing headaches of which the plaintiff was complaining, were caused by the injury she sustained in the motor vehicle accident. I accept that the plaintiff experienced intermittent headaches which were causally related to her injury up to about the time she began a gradual return to work, on August 9, 2009. But I find that the plaintiff has failed to prove that she continued to experience headaches of any significance that were causally related to the motor vehicle accident, beyond the time of her return to full time employment on or about October 10,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The plaintiff also alleges that she has experienced sleep interruption as a further result of the injury that she sustained in the accident of April 9, 2009. Dr. Craig does not express any opinion that the plaintiff's complaint of ongoing sleep disturbance was caused by her physical injury. In my view, he treated the plaintiff's sleep disturbance in the same way as the plaintiff's possible mood disorder. Dr. Craig seemed to have accepted the plaintiff's complaints about mood and sleep problems, but he refrained from giving an opinion as to causation of these conditions, and recommended further investigation. I accept that the plaintiff's injuries would have interfered with her proper sleeping to some extent, for some limited period of time after the accident, perhaps up to near the time she returned to full time work in October 2009. But I find that the plaintiff has failed to prove that any sleep disturbance she may continue to have, is being caused by the injury she sustained in the motor vehicle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Does the plaintiff continue to experience pain from her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The plaintiff alleges that she continues to experience neck and upper back pain from her injury, and that it has become chronic in nature. The defence denies that the plaintiff continues to experience pain or disability which is causally related to the motor vehicle accident. The defence denies that the plaintiff has developed a condition of chronic pain as a result of her injury, and alleges that she had substantially recovered from her injury by the end of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Dr. Craig was asked to assume (and did assume) that the plaintiff was continuing to experience pain in her neck and upper back. However, he does not expressly state an opinion that the plaintiff was experiencing pain when he examined her on January 20, 2012, or that the pain of which she was complaining was caused by the motor vehicle accident. But I take these conclusions to be implied. In his trial testimony, Dr. Craig was asked to define "chronic pain", and he described it as being pain which lasts longer than six months and which causes some degree of impairment of physical activity. Dr. Craig did not express any clear opinion that the plaintiff was suffering chronic pain in this sense and that such chronic pain was being caused by the injury she sustained in the motor vehicle accident. If those opinions are implicit in his report (or his report combined with his trial testimony), I would not accept them, for reasons for which I have already given.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The plaintiff did not flatly deny that she had been having some problems with pain in her neck and upper back as a result of the physical exertion required by her regular job duties. She did attribute blame to the First Aid training course in January 2009 for the problems she was having when she went to the chiropractor on March 24, 2009. But that was two months following the completion of that course. Moreover, there were several earlier occasions (in 2006, 2007 and 2008) on which she sought treatment for similar problems. Yet the plaintiff repeatedly stated that her working abilities were "unrestricted" before April 9,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In addition, the plaintiff effectively admitted on discovery (Qs 287-291) that she needed chiropractic treatment before the accident "every once in a while" for "my back in general" (which included her neck and upper back) as a result of pain caused by doing her work "on board the ship." That evidence is inconsistent with the plaintiff's trial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xml:space="preserve">  I accept the plaintiff's discovery evidence, notwithstanding that the plaintiff did not adopt it as being true. A trial judge has the discretion to accept the previous inconsistent statements of a party for their truth (unlike the un-adopted previous inconsistent statements of a non-party witness). See </w:t>
      </w:r>
      <w:r>
        <w:rPr>
          <w:rFonts w:ascii="arial" w:eastAsia="arial" w:hAnsi="arial" w:cs="arial"/>
          <w:i/>
          <w:color w:val="000000"/>
          <w:sz w:val="20"/>
          <w:lang w:val="en-US" w:eastAsia="en-US" w:bidi="ar-SA"/>
        </w:rPr>
        <w:t>Mariano v. Campbell</w:t>
      </w:r>
      <w:r>
        <w:rPr>
          <w:rFonts w:ascii="arial" w:eastAsia="arial" w:hAnsi="arial" w:cs="arial"/>
          <w:color w:val="000000"/>
          <w:sz w:val="20"/>
          <w:lang w:val="en-US" w:eastAsia="en-US" w:bidi="ar-SA"/>
        </w:rPr>
        <w:t xml:space="preserve"> </w:t>
      </w:r>
      <w:hyperlink r:id="rId646" w:history="1">
        <w:r>
          <w:rPr>
            <w:rFonts w:ascii="arial" w:eastAsia="arial" w:hAnsi="arial" w:cs="arial"/>
            <w:i/>
            <w:color w:val="0077CC"/>
            <w:sz w:val="20"/>
            <w:u w:val="single"/>
            <w:shd w:val="clear" w:color="auto" w:fill="FFFFFF"/>
            <w:lang w:val="en-US" w:eastAsia="en-US" w:bidi="ar-SA"/>
          </w:rPr>
          <w:t>2010 BCCA 410</w:t>
        </w:r>
      </w:hyperlink>
      <w:r>
        <w:rPr>
          <w:rFonts w:ascii="arial" w:eastAsia="arial" w:hAnsi="arial" w:cs="arial"/>
          <w:color w:val="000000"/>
          <w:sz w:val="20"/>
          <w:lang w:val="en-US" w:eastAsia="en-US" w:bidi="ar-SA"/>
        </w:rPr>
        <w:t xml:space="preserve">, at para. 45; </w:t>
      </w:r>
      <w:r>
        <w:rPr>
          <w:rFonts w:ascii="arial" w:eastAsia="arial" w:hAnsi="arial" w:cs="arial"/>
          <w:i/>
          <w:color w:val="000000"/>
          <w:sz w:val="20"/>
          <w:lang w:val="en-US" w:eastAsia="en-US" w:bidi="ar-SA"/>
        </w:rPr>
        <w:t>R. v. Mannion</w:t>
      </w:r>
      <w:r>
        <w:rPr>
          <w:rFonts w:ascii="arial" w:eastAsia="arial" w:hAnsi="arial" w:cs="arial"/>
          <w:color w:val="000000"/>
          <w:sz w:val="20"/>
          <w:lang w:val="en-US" w:eastAsia="en-US" w:bidi="ar-SA"/>
        </w:rPr>
        <w:t xml:space="preserve">, </w:t>
      </w:r>
      <w:hyperlink r:id="rId652" w:history="1">
        <w:r>
          <w:rPr>
            <w:rFonts w:ascii="arial" w:eastAsia="arial" w:hAnsi="arial" w:cs="arial"/>
            <w:i/>
            <w:color w:val="0077CC"/>
            <w:sz w:val="20"/>
            <w:u w:val="single"/>
            <w:shd w:val="clear" w:color="auto" w:fill="FFFFFF"/>
            <w:lang w:val="en-US" w:eastAsia="en-US" w:bidi="ar-SA"/>
          </w:rPr>
          <w:t>[1986] 2 S.C.R. 272</w:t>
        </w:r>
      </w:hyperlink>
      <w:r>
        <w:rPr>
          <w:rFonts w:ascii="arial" w:eastAsia="arial" w:hAnsi="arial" w:cs="arial"/>
          <w:color w:val="000000"/>
          <w:sz w:val="20"/>
          <w:lang w:val="en-US" w:eastAsia="en-US" w:bidi="ar-SA"/>
        </w:rPr>
        <w:t xml:space="preserve"> at paras 8 - 9.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I would add that Steven Blanchette's evidence on this point did not confirm the plaintiff's evidence. He said she got the chiropractic treatment for her back as a result of the physical demands of her First Aid training course. But he thought she got the treatment within a few days after the course was completed and that she had no problems after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The plaintiff testified to the effect that the pain caused by doing her regular job duties was far worse after the motor vehicle accident, and I accept her evidence that she was unable to properly perform her full work duties on a full-time basis until October 10, 2009. I infer that her decision to take time off for vacation in late November 2009 was mainly related to an acute problem that she had with her right knee, rather than neck or upper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I accept the plaintiff's evidence (which is confirmed by Mr. Blanchette) that her job includes physically - demanding work. I was not impressed with the plaintiff's attempt to claim that her working abilities were "unrestricted" before the accident of April 9, 2009, but that they were restricted after that, even after she returned to full-time work. The plaintiff testified in substance that she was having a very difficult time doing her job after returning to full-time work by reason of her injury in the motor vehicle accident. She insisted that she was restricted in her job abilities and that her supervisors and fellow workers knew that she was, because she told them and because they could see for themselves. She denied that she ever told any doctor that her working capacity was "unrestricted" although Dr. Mark had so stated in her medical assessment of October 9, 2009 and a doctor appointed by her employer stated that she was "unrestricted" when he examined her on July 28, 2011 for her Seafarers Medical examination. She also claimed to have told her first aid training instructor (at the renewal course in February 2011) that she was having problems with her neck (but she passed the course, nevertheless).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The plaintiff's testimony on this subject included a number of previous consistent statements allegedly made to her doctors, supervisors and fellow employees. In substance, she claims to have told these people that she was not able to do her full work duties because she was still feeling pain in her neck and upper back from the motor vehicle accident. The plaintiff's trial testimony, concerning these alleged statements, is of course not admissible to prove that what she told these people was true. That could only be proved by the acceptance of the plaintiff's testimony. The plaintiff failed to call a single witness to confirm her evidence that she was having significant problems performing her work duties due to neck and upper back pain, after returning to full-time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In these circumstances, I do not accept the plaintiff's evidence on this issue. I think it is highly improbable that two medical doctors would declare the plaintiff to be unrestricted in her work capacity if the plaintiff was telling the doctors that she did have such restrictions.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I do not reject the plaintiff's evidence that she continues to experience episodes of pain in her neck and upper back. But on the whole of the evidence, I find that the plaintiff had substantially recovered from her injury within one year following the accident of April 9, 2009. The injury she received in the motor vehicle accident was superimposed on pre-existing conditions which included pain in her neck and upper back. I find that, long before the motor vehicle accident of April 9, 2009, the plaintiff had been experiencing pain and soreness in her neck and upper back caused by doing her regular job duties for BC Ferries (mainly the heavier cleaning work and the fire and rescue drills). I accept (in part) the plaintiff's evidence that, before the accident, her neck and upper back were "fairly good", to the extent that she was able to do her work, but with some pain and discomfort. On the evidence presented, I am unable to say whether the plaintiff's pre-accident condition was one of chronic pain or only intermittent episodes of pain. Nor am I able to determine whether her present condition of pain is chronic or intermittent. But I find that any pain (or pain episodes) experienced by the plaintiff after April 9, 2010 were not caused by the injury she sustained in the accident of April 9, 2009. By that time, the effects of the injury had subsided.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xml:space="preserve">  I am mindful that the plaintiff is not required to prove that the injury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the sole cause of her ongoing pain or disability. If it is shown that her injury in the accident and her pre-existing condition are both contributing causes of her ongoing pain, the plaintiff can succeed on this issue. In applying the "but for" test of causation, a trial judge must consider whether the plaintiff has established a substantial connection between the injury caused by the defendant and the plaintiff's ongoing pain and disability, beyond the </w:t>
      </w:r>
      <w:r>
        <w:rPr>
          <w:rFonts w:ascii="arial" w:eastAsia="arial" w:hAnsi="arial" w:cs="arial"/>
          <w:i/>
          <w:color w:val="000000"/>
          <w:sz w:val="20"/>
          <w:lang w:val="en-US" w:eastAsia="en-US" w:bidi="ar-SA"/>
        </w:rPr>
        <w:t>de minimus</w:t>
      </w:r>
      <w:r>
        <w:rPr>
          <w:rFonts w:ascii="arial" w:eastAsia="arial" w:hAnsi="arial" w:cs="arial"/>
          <w:color w:val="000000"/>
          <w:sz w:val="20"/>
          <w:lang w:val="en-US" w:eastAsia="en-US" w:bidi="ar-SA"/>
        </w:rPr>
        <w:t xml:space="preserve"> level. See </w:t>
      </w:r>
      <w:r>
        <w:rPr>
          <w:rFonts w:ascii="arial" w:eastAsia="arial" w:hAnsi="arial" w:cs="arial"/>
          <w:i/>
          <w:color w:val="000000"/>
          <w:sz w:val="20"/>
          <w:lang w:val="en-US" w:eastAsia="en-US" w:bidi="ar-SA"/>
        </w:rPr>
        <w:t>Farrant v. Laktin</w:t>
      </w:r>
      <w:r>
        <w:rPr>
          <w:rFonts w:ascii="arial" w:eastAsia="arial" w:hAnsi="arial" w:cs="arial"/>
          <w:color w:val="000000"/>
          <w:sz w:val="20"/>
          <w:lang w:val="en-US" w:eastAsia="en-US" w:bidi="ar-SA"/>
        </w:rPr>
        <w:t xml:space="preserve"> </w:t>
      </w:r>
      <w:hyperlink r:id="rId98" w:history="1">
        <w:r>
          <w:rPr>
            <w:rFonts w:ascii="arial" w:eastAsia="arial" w:hAnsi="arial" w:cs="arial"/>
            <w:i/>
            <w:color w:val="0077CC"/>
            <w:sz w:val="20"/>
            <w:u w:val="single"/>
            <w:shd w:val="clear" w:color="auto" w:fill="FFFFFF"/>
            <w:lang w:val="en-US" w:eastAsia="en-US" w:bidi="ar-SA"/>
          </w:rPr>
          <w:t>2011 BCCA 336</w:t>
        </w:r>
      </w:hyperlink>
      <w:r>
        <w:rPr>
          <w:rFonts w:ascii="arial" w:eastAsia="arial" w:hAnsi="arial" w:cs="arial"/>
          <w:color w:val="000000"/>
          <w:sz w:val="20"/>
          <w:lang w:val="en-US" w:eastAsia="en-US" w:bidi="ar-SA"/>
        </w:rPr>
        <w:t xml:space="preserve"> at paras 8 - 11.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xml:space="preserve">  In this case I have concluded that the plaintiff has failed to prove that there is a substantial connection beyond the </w:t>
      </w:r>
      <w:r>
        <w:rPr>
          <w:rFonts w:ascii="arial" w:eastAsia="arial" w:hAnsi="arial" w:cs="arial"/>
          <w:i/>
          <w:color w:val="000000"/>
          <w:sz w:val="20"/>
          <w:lang w:val="en-US" w:eastAsia="en-US" w:bidi="ar-SA"/>
        </w:rPr>
        <w:t>de minimus</w:t>
      </w:r>
      <w:r>
        <w:rPr>
          <w:rFonts w:ascii="arial" w:eastAsia="arial" w:hAnsi="arial" w:cs="arial"/>
          <w:color w:val="000000"/>
          <w:sz w:val="20"/>
          <w:lang w:val="en-US" w:eastAsia="en-US" w:bidi="ar-SA"/>
        </w:rPr>
        <w:t xml:space="preserve"> level, between her ongoing neck and upper back pain, and the accident of April 9, 2009. Even accepting that the plaintiff's pre-existing neck and upper back problem may have made the plaintiff more vulnerable to injury in these areas (even from a minor collision), I find that the plaintiff's injury caused by the accident, and its effects, had resolved within a year after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What amount of damages should be awarded to the plaintiff for non-pecuniary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I find that, from April 16, 2009 until August 9, 2009, the pain from the injury prevented the plaintiff from working. After that, she was able to commence a gradual return to working full-time, which took a further two months until October 10, 2009. For the first four months after the accident, the pain from the injury prevented the plaintiff from engaging in her former recreational and athletic activities. She gradually resumed her former activities after that time. I find that, by the spring of 2010, the plaintiff had substantially returned to the level of recreational and athletic activities that she had done before the accident. After that time, any impairment of the plaintiff's physical capacity to work or to do other activities was not caused by the injury she sustained in the accident on April 9,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I do not accept the plaintiff's testimony that pain in her neck and upper back from the injury was a major part of the reason why she decided to take a vacation which started on November 27,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I do not accept the plaintiff's testimony that in May 2010 she changed from working on the Departure Bay route to the Duke Point route, because she was experiencing too much pain from her injury to work eight days straight, and needed five days off to recover sufficiently to return to work after each work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In the absence of medical evidence to confirm the plaintiff's testimony, I do not accept her evidence that she has continued to suffer muscle spasms on a regular basis. If in fact such muscle spasms have occurred, then I would find that they are not causally connected to the injury she sustained in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xml:space="preserve">  Counsel for the plaintiff submits that a fit award for pain and suffering and loss of enjoyment of life would be $60,000.00. Counsel for the defendant argues that the appropriate range of damages is $25,000.00 to $30,000.00 (the mid-point being $27,500.00). As expected, both counsel have referred the court to previously decided cases which, in their view, support their respective positions. Such cases can sometimes be a useful guide, but every case has significant differences from all others, and each case must be decided on its own facts. The factors that a trial judge should consider in assessing damages for non-pecuniary loss have been summarized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102"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xml:space="preserve">  The plaintiff must be fairly compensated for the amount of pain and suffering and loss of enjoyment of life that she has incurred by reason of the injury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light of the findings of fact that I have outlined above, I have decided that the plaintiff should be awarded $30,000.00 as damages for non-pecuniary loss.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What amount of damages should be awarded for 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The plaintiff claims $27,284.79 for loss of wages between April 16 and October 9, 2009. She has calculated this loss in great detail in a document entered as Exhibit 4. She estimates that she would have worked 117 shifts and asserts that she would have worked 103 hours of overtime. The plaintiff includes six additional categories of loss and finally adds the loss of banked hours which she used up to "top up" the payments she received for disability benefits while off work or working only part-time (she received only 75% of her usual pay while on sick leave).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I was suspicious of the plaintiff's testimony to the effect that she was, or would have been assigned by her employer to work on the "C" watch crew for the entire summer season of 2009. This evidence of the plaintiff was not confirmed by any documentary or testimonial evidence from BC Ferries. The defence did not accept this assertion by the plaintiff, but did not take any steps to call evidence to contradict it. In the circumstances, I have decided to accept the plaintiff's evidence on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The defendant complains that the plaintiff has calculated her past wage loss by using the maximum number of work shifts that would have been available to workers on the "C" watch. The defence submits that there should be "a reasonable deduction" from that maximum amount. It is suggested that the plaintiff be paid for 108 shifts (not 117 shifts), that overtime be reduced from $4,367.20 to $3,264.00 and that "loss of substitution" be reduced from $1,534.50 to $600.00. If the three deductions proposed by the defendant are made, I calculate that the total wage loss claim would be $23,720.69.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Defence counsel says that $8,580.00 should be deducted from this amount, to arrive at the net claim payable. Another interpretation of the defendant's argument would require only $4,160.71 to be deducted for income tax.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I can understand the defendant's reluctance to accept the plaintiff's calculations of past wage loss, at face value. The difficulty I have is that I can see no objective basis in the evidence for reducing the number of shifts from 117 down to 108, or for reducing the claim for "loss of substitution". I would not make those requested deductions.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I do agree that some reduction should be made to the overtime claim. I am not sure what reasoning was followed by defence counsel in suggesting a reduction of $1,103.20. I have concluded that the 39 hours of non-scheduled overtime should be deducted. That deduction would amount to $1,653.60, which would reduce the overtime claim to $2,713.60.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I conclude that the gross loss of earnings of the plaintiff is $25,631.19. The law requires that an appropriate amount must be deducted for income tax. It would appear that the banked time used by the plaintiff to top up her disability benefits would be tax free.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I am unable to determine why the defendant says that over $4,000.00 should be deducted for income tax, whereas the plaintiff submits that the proper amount is $2,379.00. I am going to leave it to counsel to agree on the proper amount to be deducted for income tax.</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Should any award of damages be made for loss of future earning capacity, and if so, in what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xml:space="preserve">  The plaintiff acknowledges that she must prove that there is a real and substantial possibility that a future event will occur as a result of her injury, and that the occurrence of that event will cause her a loss of income in the future. See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116"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In making this claim, the plaintiff relies on the opinions of Dr. Craig and her own evidence that she was required to change her work schedule by changing her her place of employment from the Departure Bay route to the Duke Point route, as a result of her injury. She has testified that since May 2010 she has earned (and in the future will continue to earn) less income as a result of this switching of work routes. She says that the approximate amount of her loss is presently about $3,000.00 per year and she claims $40,000.00 for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In view of the conclusions I have reached, I reject the plaintiff's claim for damages under this head. As previously stated, I do not accept the plaintiff's evidence as to the reasons why she decided to switch her work routes. Her careless assertion that she had always previously worked predominantly on the Departure Bay route, coupled with her failure to disclose that she and Mr. Blanchette would get the same five days off together if she worked on the Duke Point route, makes her testimony on this subject unreliable.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This aspect of the plaintiff's claim for damages is dismissed. The future event relied on by the plaintiff (i.e., that she will continue to work on the Duke Point route) has no causal connection with the injury she sustained in the motor vehicle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Should any award be made for 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The plaintiff seeks an award of $5,000 under this head. The defendant says no award is justified.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I have chosen the higher end of the range suggested by counsel for the defendant for non-pecuniary loss, with the intent that it should include a small award for loss of housekeeping capacity. I would not make any separate award under this head.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Should any award be made for the cost of future care, and if so, in what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xml:space="preserve">  The findings of fact which I have made preclude any award being made for the cost of future care. I think that Dr. Craig has made sensible recommendations for the plaintiff, but the need for any future care cannot be attributed to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This aspect of the plaintiff's claim is dismissed.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What award should be made for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The plaintiff claims special damages of $8,205.43 up to the time to trial. The defendant submits that the cut-off date for special damages should be December 31, 2009, and says that this amount would be $3,668.12.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I find that, in addition to the amount proposed by the defendant, the plaintiff should recover special damages for the expenses incurred from January 1, 2010 to April 9, 2010. I will leave it to counsel to calculate the proper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The damages awarded to the plaintiff are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137"/>
        <w:gridCol w:w="2091"/>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loss</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$30,000.00</w:t>
            </w:r>
          </w:p>
        </w:tc>
        <w:tc>
          <w:tcPr>
            <w:tcW w:w="378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241"/>
        <w:gridCol w:w="1987"/>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w:t>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loss of earnings</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$25,631.19</w:t>
            </w:r>
          </w:p>
        </w:tc>
        <w:tc>
          <w:tcPr>
            <w:tcW w:w="378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(less income tax to be deducted by agreement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2927"/>
        <w:gridCol w:w="2301"/>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w:t>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$3,668.12</w:t>
            </w:r>
          </w:p>
        </w:tc>
        <w:tc>
          <w:tcPr>
            <w:tcW w:w="378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(plus special expenses claimed for the period Jan. 1 - April 9,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The plaintiff is entitled to pre-judgment interest on the awards for past wage loss and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The plaintiff claims costs of the proceeding. Unless there are facts unknown to the court which could affect the general rule, the plaintiff should have her costs on the usual scale. If this issue cannot be settled by the parties, costs may be spoken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 HALFYARD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1" style="position:absolute;z-index:2518190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53"/>
          <w:headerReference w:type="default" r:id="rId654"/>
          <w:footerReference w:type="even" r:id="rId655"/>
          <w:footerReference w:type="default" r:id="rId656"/>
          <w:headerReference w:type="first" r:id="rId657"/>
          <w:footerReference w:type="first" r:id="rId65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59" w:history="1">
        <w:r>
          <w:rPr>
            <w:rFonts w:ascii="arial" w:eastAsia="arial" w:hAnsi="arial" w:cs="arial"/>
            <w:b/>
            <w:bCs/>
            <w:i/>
            <w:color w:val="0077CC"/>
            <w:kern w:val="32"/>
            <w:sz w:val="28"/>
            <w:szCs w:val="32"/>
            <w:u w:val="single"/>
            <w:shd w:val="clear" w:color="auto" w:fill="FFFFFF"/>
            <w:lang w:val="en-US" w:eastAsia="en-US" w:bidi="ar-SA"/>
          </w:rPr>
          <w:t>Seaward v. Canada (Attorney General), [2019] B.C.J. No. 1427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Chilliwack,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G.K. Macintosh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13,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June 14,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S34565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Chilliwack</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1427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1265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Charles Seaward, Plaintiff, and Attorney General of Canada,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(22 paras.)</w:t>
      </w:r>
    </w:p>
    <w:p>
      <w:pPr>
        <w:jc w:val="both"/>
        <w:rPr>
          <w:rFonts w:ascii="arial" w:eastAsia="arial" w:hAnsi="arial" w:cs="arial"/>
          <w:sz w:val="20"/>
          <w:lang w:val="en-US" w:eastAsia="en-US" w:bidi="ar-SA"/>
        </w:rPr>
      </w:pPr>
      <w:bookmarkStart w:id="109" w:name="Counsel_31"/>
      <w:bookmarkEnd w:id="10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2" style="position:absolute;z-index:2516920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Appearing on his own behalf: Charles Seaward.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Brendan Ward.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0" w:name="Judgment_31"/>
      <w:bookmarkEnd w:id="110"/>
      <w:r>
        <w:pict>
          <v:line id="_x0000_s1133" style="position:absolute;z-index:25174323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2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1" w:name="G.K. MACINTOSH J. (orally)"/>
            <w:bookmarkEnd w:id="111"/>
            <w:r>
              <w:rPr>
                <w:rFonts w:ascii="arial" w:eastAsia="arial" w:hAnsi="arial" w:cs="arial"/>
                <w:b/>
                <w:color w:val="000000"/>
                <w:sz w:val="30"/>
                <w:lang w:val="en-US" w:eastAsia="en-US" w:bidi="ar-SA"/>
              </w:rPr>
              <w:t>G.K. MACINTOSH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Attorney General of Canada brings this application under Supreme Court Rule 9-5(1) to strike the whole or parts of Mr. Seaward's Notice of Civil Claim ("NOCC"). The NOCC is attached to these Reasons as Schedule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Rule 9-5(1) reads as follows:</w:t>
      </w:r>
      <w:r>
        <w:rPr>
          <w:rFonts w:ascii="arial" w:eastAsia="arial" w:hAnsi="arial" w:cs="arial"/>
          <w:sz w:val="20"/>
          <w:lang w:val="en-US" w:eastAsia="en-US" w:bidi="ar-SA"/>
        </w:rPr>
        <w:cr/>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 pleading, petition or other document on the ground that</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numPr>
          <w:numId w:val="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may prejudice, embarrass or delay the fair trial or hearing of the proceeding, or</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 court may pronounce judgment or order the proceeding to be stayed or dismissed and may order the costs of the application to be paid as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Attorney General relies primarily on paragraph (a) in subrule (1), submitting that the NOCC discloses no reasonable claim. Relying on the decision of the Supreme Court of Canada, in </w:t>
      </w:r>
      <w:r>
        <w:rPr>
          <w:rFonts w:ascii="arial" w:eastAsia="arial" w:hAnsi="arial" w:cs="arial"/>
          <w:i/>
          <w:color w:val="000000"/>
          <w:sz w:val="20"/>
          <w:lang w:val="en-US" w:eastAsia="en-US" w:bidi="ar-SA"/>
        </w:rPr>
        <w:t>R. v. Imperial Tobacco Canada</w:t>
      </w:r>
      <w:r>
        <w:rPr>
          <w:rFonts w:ascii="arial" w:eastAsia="arial" w:hAnsi="arial" w:cs="arial"/>
          <w:color w:val="000000"/>
          <w:sz w:val="20"/>
          <w:lang w:val="en-US" w:eastAsia="en-US" w:bidi="ar-SA"/>
        </w:rPr>
        <w:t xml:space="preserve">, [2011] 3 S.C.R. 46, he says it is plain and obvious that the NOCC discloses no reasonable cause of action. I quote from a portion of the headnote in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 xml:space="preserve">, as follows, at page 48 of the </w:t>
      </w:r>
      <w:r>
        <w:rPr>
          <w:rFonts w:ascii="arial" w:eastAsia="arial" w:hAnsi="arial" w:cs="arial"/>
          <w:i/>
          <w:color w:val="000000"/>
          <w:sz w:val="20"/>
          <w:lang w:val="en-US" w:eastAsia="en-US" w:bidi="ar-SA"/>
        </w:rPr>
        <w:t>Supreme Court Report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a motion to strike, a claim will only be struck if it is plain and obvious, assuming the facts pleaded to be true, that the pleading discloses no reasonable cause of action. The approach must be generous, and err on the side of permitting a novel but arguable claim to proceed to trial. However, the judge cannot consider what evidence adduced in the future might or might not show.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I would add the following two case summaries for Rule 9-5(1), as found at page 269 in the 2019 </w:t>
      </w:r>
      <w:r>
        <w:rPr>
          <w:rFonts w:ascii="arial" w:eastAsia="arial" w:hAnsi="arial" w:cs="arial"/>
          <w:i/>
          <w:color w:val="000000"/>
          <w:sz w:val="20"/>
          <w:lang w:val="en-US" w:eastAsia="en-US" w:bidi="ar-SA"/>
        </w:rPr>
        <w:t>British Columbia Annual Practice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From </w:t>
      </w:r>
      <w:r>
        <w:rPr>
          <w:rFonts w:ascii="arial" w:eastAsia="arial" w:hAnsi="arial" w:cs="arial"/>
          <w:i/>
          <w:color w:val="000000"/>
          <w:sz w:val="20"/>
          <w:lang w:val="en-US" w:eastAsia="en-US" w:bidi="ar-SA"/>
        </w:rPr>
        <w:t>Mohebbi v. North Vancouver RCMP</w:t>
      </w:r>
      <w:r>
        <w:rPr>
          <w:rFonts w:ascii="arial" w:eastAsia="arial" w:hAnsi="arial" w:cs="arial"/>
          <w:color w:val="000000"/>
          <w:sz w:val="20"/>
          <w:lang w:val="en-US" w:eastAsia="en-US" w:bidi="ar-SA"/>
        </w:rPr>
        <w:t xml:space="preserve">, </w:t>
      </w:r>
      <w:hyperlink r:id="rId660" w:history="1">
        <w:r>
          <w:rPr>
            <w:rFonts w:ascii="arial" w:eastAsia="arial" w:hAnsi="arial" w:cs="arial"/>
            <w:i/>
            <w:color w:val="0077CC"/>
            <w:sz w:val="20"/>
            <w:u w:val="single"/>
            <w:shd w:val="clear" w:color="auto" w:fill="FFFFFF"/>
            <w:lang w:val="en-US" w:eastAsia="en-US" w:bidi="ar-SA"/>
          </w:rPr>
          <w:t>2015 BCSC 2083</w:t>
        </w:r>
      </w:hyperlink>
      <w:r>
        <w:rPr>
          <w:rFonts w:ascii="arial" w:eastAsia="arial" w:hAnsi="arial" w:cs="arial"/>
          <w:color w:val="000000"/>
          <w:sz w:val="20"/>
          <w:lang w:val="en-US" w:eastAsia="en-US" w:bidi="ar-SA"/>
        </w:rPr>
        <w:t>, at paras. 14-16: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Where a claim is brought by self-represented litigants, the court should consider whether defective pleadings can be corrected by way of amendment but should not provide legal advice on how the deficiencies can be cured.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From </w:t>
      </w:r>
      <w:r>
        <w:rPr>
          <w:rFonts w:ascii="arial" w:eastAsia="arial" w:hAnsi="arial" w:cs="arial"/>
          <w:i/>
          <w:color w:val="000000"/>
          <w:sz w:val="20"/>
          <w:lang w:val="en-US" w:eastAsia="en-US" w:bidi="ar-SA"/>
        </w:rPr>
        <w:t>Moses v. Lower Nicola Indian Band</w:t>
      </w:r>
      <w:r>
        <w:rPr>
          <w:rFonts w:ascii="arial" w:eastAsia="arial" w:hAnsi="arial" w:cs="arial"/>
          <w:color w:val="000000"/>
          <w:sz w:val="20"/>
          <w:lang w:val="en-US" w:eastAsia="en-US" w:bidi="ar-SA"/>
        </w:rPr>
        <w:t xml:space="preserve">, </w:t>
      </w:r>
      <w:hyperlink r:id="rId661" w:history="1">
        <w:r>
          <w:rPr>
            <w:rFonts w:ascii="arial" w:eastAsia="arial" w:hAnsi="arial" w:cs="arial"/>
            <w:i/>
            <w:color w:val="0077CC"/>
            <w:sz w:val="20"/>
            <w:u w:val="single"/>
            <w:shd w:val="clear" w:color="auto" w:fill="FFFFFF"/>
            <w:lang w:val="en-US" w:eastAsia="en-US" w:bidi="ar-SA"/>
          </w:rPr>
          <w:t>2014 BCSC 643</w:t>
        </w:r>
      </w:hyperlink>
      <w:r>
        <w:rPr>
          <w:rFonts w:ascii="arial" w:eastAsia="arial" w:hAnsi="arial" w:cs="arial"/>
          <w:color w:val="000000"/>
          <w:sz w:val="20"/>
          <w:lang w:val="en-US" w:eastAsia="en-US" w:bidi="ar-SA"/>
        </w:rPr>
        <w:t xml:space="preserve">, reversed in part, </w:t>
      </w:r>
      <w:hyperlink r:id="rId662" w:history="1">
        <w:r>
          <w:rPr>
            <w:rFonts w:ascii="arial" w:eastAsia="arial" w:hAnsi="arial" w:cs="arial"/>
            <w:i/>
            <w:color w:val="0077CC"/>
            <w:sz w:val="20"/>
            <w:u w:val="single"/>
            <w:shd w:val="clear" w:color="auto" w:fill="FFFFFF"/>
            <w:lang w:val="en-US" w:eastAsia="en-US" w:bidi="ar-SA"/>
          </w:rPr>
          <w:t>2015 BCCA 6</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Rule 9-5 is an attack on the pleadings as they stand on the basis that they cannot, as a matter of law, succeed. It raises a matter of law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Thus, the Attorney General faces a stringent test on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Seaward filed the NOCC on January 4, 2018. The Attorney General, as she then was, filed her Response on February 28, 2018, and Mr. Seaward filed his Reply on March 9, 2018. The five-day trial of Mr. Seaward's claim is scheduled to begin on December 2, 2019 in Chilliwack.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Since January 2015, Mr. Seaward has been serving a sentence of detention for an indeterminate period following his designation as a dangerous offender. In August 2015, he was transferred to Mountain Institution in Agassiz, a medium security federal penitentiary, in accordance with the </w:t>
      </w:r>
      <w:r>
        <w:rPr>
          <w:rFonts w:ascii="arial" w:eastAsia="arial" w:hAnsi="arial" w:cs="arial"/>
          <w:i/>
          <w:color w:val="000000"/>
          <w:sz w:val="20"/>
          <w:lang w:val="en-US" w:eastAsia="en-US" w:bidi="ar-SA"/>
        </w:rPr>
        <w:t>Corrections and Conditional Release Act</w:t>
      </w:r>
      <w:r>
        <w:rPr>
          <w:rFonts w:ascii="arial" w:eastAsia="arial" w:hAnsi="arial" w:cs="arial"/>
          <w:color w:val="000000"/>
          <w:sz w:val="20"/>
          <w:lang w:val="en-US" w:eastAsia="en-US" w:bidi="ar-SA"/>
        </w:rPr>
        <w:t xml:space="preserve">, </w:t>
      </w:r>
      <w:hyperlink r:id="rId663" w:history="1">
        <w:r>
          <w:rPr>
            <w:rFonts w:ascii="arial" w:eastAsia="arial" w:hAnsi="arial" w:cs="arial"/>
            <w:i/>
            <w:color w:val="0077CC"/>
            <w:sz w:val="20"/>
            <w:u w:val="single"/>
            <w:shd w:val="clear" w:color="auto" w:fill="FFFFFF"/>
            <w:lang w:val="en-US" w:eastAsia="en-US" w:bidi="ar-SA"/>
          </w:rPr>
          <w:t>S.C. 1992, c. 20</w:t>
        </w:r>
      </w:hyperlink>
      <w:r>
        <w:rPr>
          <w:rFonts w:ascii="arial" w:eastAsia="arial" w:hAnsi="arial" w:cs="arial"/>
          <w:color w:val="000000"/>
          <w:sz w:val="20"/>
          <w:lang w:val="en-US" w:eastAsia="en-US" w:bidi="ar-SA"/>
        </w:rPr>
        <w:t xml:space="preserve">, and the related Regulations. On August 19, 2015, he applied for work in the kitchen at Mountain Institution, and he began that position on September 3, 2015. (The facts in this paragraph of my reasons are from the Attorney General's Response, but they were admitted as being correct in Mr. Seaward's Reply. I note that because, as seen above in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 on an application to strike, an applicant must take the facts as the opposite party has pled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NOCC is wide ranging, but I accept the Attorney General's characterization that its primary claim is in defamation, and that the NOCC also includes a claim of discrimination, among other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At Part 1, paragraphs 9-17, in his NOCC, Mr. Seaward alleges defamation by a Corrections Service Canada ("CSC") employee who "gave a misleading and inaccurate statement" in saying Mr. Seaward has "severe vision and mobility issues." However, Mr. Seaward admits in his Reply the truth of the pleading in Division 2, paragraph 2, of the Attorney General's Response, which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or about 2012, the plaintiff suffered a stroke as a result of which he is visually impaired. Particulars of the plaintiff's visual impairment include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limited depth perception and the restriction of his sight to a small area in the upper right-hand field of 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Seaward also admits in the NOCC that he is legally blind.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my view, even if I assume that the statement by the CSC employee was published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xml:space="preserve">, communicated to one or more people), which is an essential element of a claim in defamation (see </w:t>
      </w:r>
      <w:r>
        <w:rPr>
          <w:rFonts w:ascii="arial" w:eastAsia="arial" w:hAnsi="arial" w:cs="arial"/>
          <w:i/>
          <w:color w:val="000000"/>
          <w:sz w:val="20"/>
          <w:lang w:val="en-US" w:eastAsia="en-US" w:bidi="ar-SA"/>
        </w:rPr>
        <w:t>Weaver v. Ball</w:t>
      </w:r>
      <w:r>
        <w:rPr>
          <w:rFonts w:ascii="arial" w:eastAsia="arial" w:hAnsi="arial" w:cs="arial"/>
          <w:color w:val="000000"/>
          <w:sz w:val="20"/>
          <w:lang w:val="en-US" w:eastAsia="en-US" w:bidi="ar-SA"/>
        </w:rPr>
        <w:t xml:space="preserve">, </w:t>
      </w:r>
      <w:hyperlink r:id="rId664" w:history="1">
        <w:r>
          <w:rPr>
            <w:rFonts w:ascii="arial" w:eastAsia="arial" w:hAnsi="arial" w:cs="arial"/>
            <w:i/>
            <w:color w:val="0077CC"/>
            <w:sz w:val="20"/>
            <w:u w:val="single"/>
            <w:shd w:val="clear" w:color="auto" w:fill="FFFFFF"/>
            <w:lang w:val="en-US" w:eastAsia="en-US" w:bidi="ar-SA"/>
          </w:rPr>
          <w:t>2018 BCSC 205</w:t>
        </w:r>
      </w:hyperlink>
      <w:r>
        <w:rPr>
          <w:rFonts w:ascii="arial" w:eastAsia="arial" w:hAnsi="arial" w:cs="arial"/>
          <w:color w:val="000000"/>
          <w:sz w:val="20"/>
          <w:lang w:val="en-US" w:eastAsia="en-US" w:bidi="ar-SA"/>
        </w:rPr>
        <w:t xml:space="preserve">, at para. 34), I cannot find that the statement complained of satisfies two other essential requirements for a finding of defamation. The first is the legal requirement that the words are capable of being defamatory, and the second is the requirement that they are, in fact, defamatory. The statement attributed to the CSC employee in the NOCC meets neither of those tests, in my view. (For the law which imposes those two requirements, see </w:t>
      </w:r>
      <w:r>
        <w:rPr>
          <w:rFonts w:ascii="arial" w:eastAsia="arial" w:hAnsi="arial" w:cs="arial"/>
          <w:i/>
          <w:color w:val="000000"/>
          <w:sz w:val="20"/>
          <w:lang w:val="en-US" w:eastAsia="en-US" w:bidi="ar-SA"/>
        </w:rPr>
        <w:t>Lawson v. Baines</w:t>
      </w:r>
      <w:r>
        <w:rPr>
          <w:rFonts w:ascii="arial" w:eastAsia="arial" w:hAnsi="arial" w:cs="arial"/>
          <w:color w:val="000000"/>
          <w:sz w:val="20"/>
          <w:lang w:val="en-US" w:eastAsia="en-US" w:bidi="ar-SA"/>
        </w:rPr>
        <w:t xml:space="preserve">, </w:t>
      </w:r>
      <w:hyperlink r:id="rId665" w:history="1">
        <w:r>
          <w:rPr>
            <w:rFonts w:ascii="arial" w:eastAsia="arial" w:hAnsi="arial" w:cs="arial"/>
            <w:i/>
            <w:color w:val="0077CC"/>
            <w:sz w:val="20"/>
            <w:u w:val="single"/>
            <w:shd w:val="clear" w:color="auto" w:fill="FFFFFF"/>
            <w:lang w:val="en-US" w:eastAsia="en-US" w:bidi="ar-SA"/>
          </w:rPr>
          <w:t>2012 BCCA 117</w:t>
        </w:r>
      </w:hyperlink>
      <w:r>
        <w:rPr>
          <w:rFonts w:ascii="arial" w:eastAsia="arial" w:hAnsi="arial" w:cs="arial"/>
          <w:color w:val="000000"/>
          <w:sz w:val="20"/>
          <w:lang w:val="en-US" w:eastAsia="en-US" w:bidi="ar-SA"/>
        </w:rPr>
        <w:t>, at paras. 11 and 26.) Accordingly, paragraphs 9-17 in Part 1 of the NOCC are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next allegation of what amounts to defamation is found in Part 1 of the NOCC, in paragraphs 18-23, where Mr. Seaward alleges that a CSC employee told one of Mr. Seaward's community support people that he refused to participate in a work program. He has pled that he did not refuse. The Attorney General sought particulars of that allegation, and Mr. Seaward responded with particulars that the CSC employee made that statement to two of Mr. Seaward's community support people, a husband and wife. The CSC employee allegedly said that Mr. Seaward refused to participate, and suggested that Mr. Seaward was not worthy of being supported.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final allegation of a defamatory statement by a CSC employee, which again came out in the particulars requested by the Attorney General and provided by Mr. Seaward, was that the CSC employee spoke to another of Mr. Seaward's community support people and dissuaded him from offering to provide transportation in the event Mr. Seaward was offered parole, saying that Mr. Seaward was a very dangerous person. Regarding the "dangerous person" allegation, the Attorney General argues justification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truth) as a full defence given that Mr. Seaward has already been found to be a dangerous offender. The fact of Mr. Seaward being a dangerous offender may assist the Attorney General at trial in succeeding based on a justification defence, but it is not enough to establish that it is plain and obvious that the pleading and particulars disclose no reasonable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Attorney General argues that the above allegations (refusing to work, not worthy of support, and being a very dangerous person) are, if anything, slanderous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spoken) as opposed to being libelous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xml:space="preserve">, written) and therefore require special damages to make them actionable when special damages are not pleaded. He cites </w:t>
      </w:r>
      <w:r>
        <w:rPr>
          <w:rFonts w:ascii="arial" w:eastAsia="arial" w:hAnsi="arial" w:cs="arial"/>
          <w:i/>
          <w:color w:val="000000"/>
          <w:sz w:val="20"/>
          <w:lang w:val="en-US" w:eastAsia="en-US" w:bidi="ar-SA"/>
        </w:rPr>
        <w:t>Brown on Defamation</w:t>
      </w:r>
      <w:r>
        <w:rPr>
          <w:rFonts w:ascii="arial" w:eastAsia="arial" w:hAnsi="arial" w:cs="arial"/>
          <w:color w:val="000000"/>
          <w:sz w:val="20"/>
          <w:lang w:val="en-US" w:eastAsia="en-US" w:bidi="ar-SA"/>
        </w:rPr>
        <w:t>, 2nd ed., c. 8.5. However, as that text notes, two of the exceptions to the requirement for special damages in slander are oral imputations calculated to disparage a plaintiff's reputation in his or her work, and accusations imputing the commission of a criminal offence. Given that the statements alleged were to do with Mr. Seaward's work Mountain Institution, and the great danger he poses in the context of having been found to be a dangerous offender, in my view, only a judge at trial, having heard all the evidence, can determine whether Mr. Seaward was slandered in ways that do not necessitate special damages in order to be actionable, assuming, of course, that Mr. Seaward does not plead special damages between now and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Accordingly, paragraphs 18-23 in the NOCC stand, as supplemented by the particulars and further particulars Mr. Seaward has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At paragraphs 24-42 in Part 1 of the NOCC, Mr. Seaward pleads a claim in discrimination and, in doing so, relies on s. 15(1)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The Attorney General argues that Mr. Seaward has not pleaded for any consequential relief under s. 24(1)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and so, he submits, this part of the claim is bound to fail. I refer to </w:t>
      </w:r>
      <w:r>
        <w:rPr>
          <w:rFonts w:ascii="arial" w:eastAsia="arial" w:hAnsi="arial" w:cs="arial"/>
          <w:i/>
          <w:color w:val="000000"/>
          <w:sz w:val="20"/>
          <w:lang w:val="en-US" w:eastAsia="en-US" w:bidi="ar-SA"/>
        </w:rPr>
        <w:t>Mohebbi</w:t>
      </w:r>
      <w:r>
        <w:rPr>
          <w:rFonts w:ascii="arial" w:eastAsia="arial" w:hAnsi="arial" w:cs="arial"/>
          <w:color w:val="000000"/>
          <w:sz w:val="20"/>
          <w:lang w:val="en-US" w:eastAsia="en-US" w:bidi="ar-SA"/>
        </w:rPr>
        <w:t>, cited earlier, and observe that for this self-represented litigant, that defect in pleading can be cured by an amendment. Mr. Seaward will therefore want to consider amending. Accordingly, in my view, paragraphs 24-42 in Part 1 of the NOCC are permitted to stand.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Regarding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misfeasance, I accept the Attorney General's submissions that there is not enough in the pleadings to permit any allegations under either of those headings to survive, and they are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summary, Mr. Seaward is permitted to continue with his claims in defamation, that he refused to work, was not worthy of support, and is a very dangerous person. He may also maintain his discrimination claim if he amends to plead for consequential relief. He cannot proceed with the other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Of course, nothing I have said in these reasons, either about the applicable law or the facts, in any way binds the trial judge in deciding the merits of the claims. He or she will have the benefit of the evidence in order to find the facts to which the law will be applied after full argument. All that these reasons do is strike some of the claims as set out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Success was divided and costs will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G.K. MACINTOSH J.</w:t>
      </w:r>
      <w:r>
        <w:rPr>
          <w:rFonts w:ascii="arial" w:eastAsia="arial" w:hAnsi="arial" w:cs="arial"/>
          <w:sz w:val="20"/>
          <w:lang w:val="en-US" w:eastAsia="en-US" w:bidi="ar-SA"/>
        </w:rPr>
        <w:cr/>
      </w:r>
    </w:p>
    <w:p>
      <w:pPr>
        <w:spacing w:line="260" w:lineRule="atLeast"/>
        <w:ind w:left="2520"/>
        <w:rPr>
          <w:rFonts w:ascii="arial" w:eastAsia="arial" w:hAnsi="arial" w:cs="arial"/>
          <w:sz w:val="20"/>
          <w:lang w:val="en-US" w:eastAsia="en-US" w:bidi="ar-SA"/>
        </w:rPr>
      </w:pP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APPENDIX A</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FORM 1</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File Number: 534565</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Chilliwack Court Registry</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In the Supreme Court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Between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Charles Seaward</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Attorney General of Canada</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Defendant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This action has been started by the plaintiff for the relief set out in Part 2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If you intend to respond to this action, you or your lawyer must</w:t>
      </w:r>
      <w:r>
        <w:rPr>
          <w:rFonts w:ascii="arial" w:eastAsia="arial" w:hAnsi="arial" w:cs="arial"/>
          <w:sz w:val="20"/>
          <w:lang w:val="en-US" w:eastAsia="en-US" w:bidi="ar-SA"/>
        </w:rPr>
        <w:cr/>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file a response to civil claim in Form 2 in the above-named registry of this court within the time for response to civil claim described below, and</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serve a copy of the filed response to civil claim on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If you intend to make a counterclaim, you or your lawyer must</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file a response to civil claim in Form 2 and a counterclaim in Form 3 in the above-named registry of this court within the time for response to civil claim described below, and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Serve a copy of the filed response to civil claim and counterclaim on the plaintiff and on any new parties named in the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JUDGMENT MAY BE PRONOUNCED AGAINST YOU IF YOU FAIL to file the response to civil claim within the time for response to civil claim described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Time for response to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response to civil claim must be filed and served on the plaintiff(s),</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you were served with the notice of civil claim anywhere in Canada, within 21 days after that service,</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you were served with the notice of civil claim anywhere in the United States of America, within 35 days after that service,</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you were served with the notice of civil claim anywhere else, within 49 days after that service, or</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time for response to civil claim has been set by order of the court, within that time.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CLAIM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Part 1: STATEMENT OF FACTS</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Charles Carl Seaward I am a fifty-eight years old man currently incarcerated at Mountain Institution.</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 limited vision due to the effects of stroke, I don't have severe vision issues, and rather, I am legal blind.</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Regardless of my limited vision, I am capable and able to perform most of the general duties offered at the institution without an aid or assistance.</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am currently employed as a cleaner at Corcan Textiles, and I have been performing my duties diligently and without any help.</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at Mountain Institution, which is a government agency and Mr. Tom Weatherhead being a federal government employee has willingly stated inaccurate and misleading statement out of hate and defamed my character in order to hurt or harm my reputation, he has also shown some discriminatory tendency against my disability.</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I was working in the Kitchen I was terminated from my employed in the kitchen by Ms. Brenda Bourdeau who is a government employee and works for CSC which is a government agency, terminated me from my employment and she sighted my partial blindness as the reason for being terminated from my job.</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Tom Weatherhead and Ms. Brenda Bourdeau both being employed by Corrections Service Canada (CSC) and their conduct was done on their official capacity for Corrections Service Canada (CSC) and such I am invoking vicarious liability against the crown. Both Mr. Weatherhead and Ms. Bourdeau took their action while at their place of work at Mountain Institution and all their actions were on behalf of the Corrections Service Canada (CSC).</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Corrections Service Canada (CSC) failed to mitigate the conduct of both Mr. Weatherhead and Ms. Bourdeau in a timely manner, and the lack of proper training and supervision led to CSC personnel abusing their position, taking action outside their prescribed scope and mainly driven by malice, hate and typical unprofessionalism and failing to follow the CSC protocols.</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5 October 2017 I applied for a Chapel cleaning position which was posted.</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Tom Weatherhead who is my institutional parole officer gave a misleading and inaccurate statement which prejudiced and led me not to be considered for the position.</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Weatherhead's comment that, "I have severe vision and mobility issues" was not just inaccurate and defamatory, but also discriminatory.</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Weatherhead is not a qualified medical practitioner and for him to take upon himself to diagnose and state a medical condition which is not true and accurate is not just a lie but causes me to feel inferior, discriminated and this is an attack on my physical stature.</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am legal blind and do have a limited vision and not severe as stated by Mr. Weatherhead. Regardless of my limited vision, I still perform my duties independently and without any aid of mechanical or human assistance and that doesn't meet the description of a person with severe vision issues. I can still identify a person, the colour, object or even read by myself.</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His statement was disingenuous of him to characterize me as a person with "severe mobility", as 1 walk without any mechanical or physical help and still able to walk from point A to B without any difficulties. And that shows inaccuracy as his description are contrary to my mobility issues. He gave misleading information to be prejudiced so that I cannot be considered for the posted position, and this had an intended effect as I was not even called for an interview.</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term severe by definition means rigorous, strict or extreme, and I don't fit that category as characterized by Mr. Weatherhead and as such his comments were not just discriminatory but also defamatory and led to prejudice.</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Weatherhead's misleading statement was driven by hate, malice and failure to fulfil his fiduciary responsibility.</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His statement was discriminatory and false, his comment led me not to be considered for the position as he had gave a misleading and inaccurate statement about the degree of my vision and mobility. His attitude was driven by lack of professionalism, empathy and in performing his duties as outlined in the CCRA and CSC mission statement.</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Weatherhead also placed a phone call to my community support Ms. Karen Chapman and provided her with inaccurate information. Mr. Weatherhead gave inaccurate and misleading information to my community support that "I refused to participate in the program" which was offered to me. This statement was not just inaccurate, but also malicious and as such, it has caused a strained relationship with my community support.</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statement was misleading and inaccurate, I didn't refuse, however, I was only removed from the program because of the stroke effects which affected my memory and as a result, posed some challenges in completing the assignments, and was not true for him to characterize me as someone who had refused to do the program.</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Stroke and memory loss is a medical condition and as such, I shouldn't be punished or discriminated for it, and defies all human logic and common sense, abused his position and action were grossly negligent and trumped on my rights as enshrined in the constitution. Mr. Weatherhead used my disability in untruthful way in order to satisfy his hidden agenda and malice, and overall, abused his position. He lied to Ms. Chapman that I refused to participate in the program while I was only removed from the program because of my memory issues. His statement to Ms. Chapman were not just lies but defamatory as well.</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Weatherhead gave misleading information to my community support so that they can withdraw their support and view me in a negative light.</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Weather as an institutional Parole Officer, he went over board to call my community support. The community assessment was supposed to be done by the community parole officers and as such Mr. Weatherhead ignored the set out CSC protocol and abused his position.</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Weatherhead, has taken this upon himself and called three of my community support and gave them misleading information, and he took upon himself out of hate and malicious and in order to damage my character and personal reputation and progress I have done while in the institution. He instilled fear to my community support and asked them not to give me support in any way.</w:t>
      </w:r>
    </w:p>
    <w:p>
      <w:pPr>
        <w:numPr>
          <w:numId w:val="4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Regardless that I am legal blind, I worked in the kitchen for about fifteen months as a pot washer and dish cleaner with no issues and in most cases by myself. When I was hired in the kitchen, the Mountain staff knew of my medical condition and even after working for more than a year, there was nothing new in regard with my disability.</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was surprised to receive a termination letter On 8 December 2016 from my duties and for the reason of being legal blind. Ms. Brenda Bourdeau further lied and said she got the recommendation from the Mountain Institution Health Care that I should be terminated from my duties because of being legal blind. This attitude of intolerance and discriminatory is inhuman and flies against my basic charter of rights.</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response to the grievance which I filed against my dismissal, the Mountain Food Services, further justified that I was tripping from the boxes and they had to terminate me out of safety concerns.</w:t>
      </w:r>
    </w:p>
    <w:p>
      <w:pPr>
        <w:numPr>
          <w:numId w:val="4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Furthermore, their justification was not true, taking into account that there are no boxes stacked along the walk ways, or even outside the storage area. All the supplies, and boxes are kept in the storeroom where I had no access to.</w:t>
      </w:r>
    </w:p>
    <w:p>
      <w:pPr>
        <w:numPr>
          <w:numId w:val="4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Also if it was true that I slipped from the boxes stacked in the walk-ways, it was the responsibility of the Mountain Food Service to make sure that the boxed were properly stacked in a safe manner and eliminated all the tripping hazard.</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only incident I recall, is when I slipped from the poo! of the water which was left un-cleaned and without a wet warning sign in sight.</w:t>
      </w:r>
    </w:p>
    <w:p>
      <w:pPr>
        <w:numPr>
          <w:numId w:val="4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making an internal grievance, the Mountain Food Services were only willing to offer my job back on conditions, and as such I refused to be employed on different set of conditions from other employees or inmates working in the kitchen, and this shows that they viewed me as a different person from other inmates due to my disability.</w:t>
      </w:r>
    </w:p>
    <w:p>
      <w:pPr>
        <w:numPr>
          <w:numId w:val="4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27 November I further questioned Ms. Bourdeau to produce evidence that the health care notified her about my medical disability without my consent, she then acknowledged that she mischaracterized that the health care provided her recommendations to terminate me, but it was her own decision because I had disclosed to her about my visual disability. Ms. Bourdeau had lied that she got the information about my diagnosis and recommendations from health care to terminate me from my position.</w:t>
      </w:r>
    </w:p>
    <w:p>
      <w:pPr>
        <w:numPr>
          <w:numId w:val="5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She terminated me from the position I had worked for about 15 months, and without knowing the degree of my disability. Ms. Bourdeau and the kitchen staff took upon themselves to make a determination that I was of safety risk because of my disability due to a hearsay and without consultation with the medical professionals or following the due process.</w:t>
      </w:r>
    </w:p>
    <w:p>
      <w:pPr>
        <w:numPr>
          <w:numId w:val="52"/>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Mountain kitchen staff's action was tantamount to gross violation of my charter and hence they openly discriminated me and subsequently terminated me from the kitchen. This action showed that the Kitchen personnel overlooked on my rights, abused their position and treated me like a second class person because of my visual impairment.</w:t>
      </w:r>
    </w:p>
    <w:p>
      <w:pPr>
        <w:numPr>
          <w:numId w:val="5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Even after going through the grievances which gave the recommendations on how I should be hired, the kitchen supervisor or personnel never made an effort to reach on me so that they can explain how and under what circumstances they were willing to offer my job back.</w:t>
      </w:r>
    </w:p>
    <w:p>
      <w:pPr>
        <w:numPr>
          <w:numId w:val="5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attitude and behaviour by Mountain Institution staff has caused undue suffering, stress and as a result feel inferior compared to other inmates at Mountain Institution. Termination from the kitchen has caused undue financial hardships, as I was making overtime on a regular basis compared to my current position. Lies and inaccurate information by the defendant strained my relation and support from the community.</w:t>
      </w:r>
    </w:p>
    <w:p>
      <w:pPr>
        <w:numPr>
          <w:numId w:val="5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My disability doesn't impede me from performing some tasks, as I had demonstrated after being fired from the kitchen.</w:t>
      </w:r>
    </w:p>
    <w:p>
      <w:pPr>
        <w:numPr>
          <w:numId w:val="56"/>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being terminated from the kitchen, I worked as a unit cleaner and among other duties, I was mopping the floor and using the industrial floor polisher with neither difficulties nor incident.</w:t>
      </w:r>
    </w:p>
    <w:p>
      <w:pPr>
        <w:numPr>
          <w:numId w:val="57"/>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that, I was hired at Corcan Textiles, which is like any industrial settings, with a lot of machinery, boxes and pallets along the walls, with bins to put finished products, and which is even a more congested working area with a lot of tripping hazards than the kitchen. There are also electrical extension connecting with the machinery, and with all this, I have performed my duties as prescribed and finish all my task in a timely fashion manner. My disability has not impeded me from performing my duties. My disability has not paused any harm or danger to myself and other workers.</w:t>
      </w:r>
    </w:p>
    <w:p>
      <w:pPr>
        <w:numPr>
          <w:numId w:val="58"/>
        </w:numPr>
        <w:tabs>
          <w:tab w:val="num" w:pos="1840"/>
          <w:tab w:val="clear" w:pos="256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At textiles, I at times use tools like pliers, cutting snips, industrial vacuum cleaner, mop the floor, clean the chair, untangle the threads from the wheels of the chairs and at times, I move a roll of material of about 40 to 50 pounds from point A to B. at times some employees leave the pallet jacks on the way, and if I see them, 1 take them to their designated area.</w:t>
      </w:r>
    </w:p>
    <w:p>
      <w:pPr>
        <w:numPr>
          <w:numId w:val="59"/>
        </w:numPr>
        <w:tabs>
          <w:tab w:val="num" w:pos="1840"/>
          <w:tab w:val="clear" w:pos="256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task I do at Textiles are more rigorous that what 1 was doing while working in the kitchen. Since I have worked in textiles for now almost a year, there is no incident were the Textile personnel have shown concerned about my disability or about my safety. At Corcan Textiles, there are a number of tripping hazards and this has not been a concern and neither did I ever had any tripping hazard at all.</w:t>
      </w:r>
    </w:p>
    <w:p>
      <w:pPr>
        <w:numPr>
          <w:numId w:val="60"/>
        </w:numPr>
        <w:tabs>
          <w:tab w:val="num" w:pos="1840"/>
          <w:tab w:val="clear" w:pos="256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is contrary to the justification by the Mountain Food Services that they were concerned about my safety. The only reason I was fired from the kitchen is well documented on the letter of termination and they sighted my disability and which I strongly view that I was discriminated for.</w:t>
      </w:r>
    </w:p>
    <w:p>
      <w:pPr>
        <w:numPr>
          <w:numId w:val="6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Mountain Food Services is notorious for discrimination against racial disability and other sorts of discrimination. I have noticed such incidents happening in front of my eyes, and I never thought that one day I will be the victim of this evil and primitive behaviour and attitude which has no place in the twenty-first century.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Tortious Conduct:</w:t>
      </w:r>
      <w:r>
        <w:rPr>
          <w:rFonts w:ascii="arial" w:eastAsia="arial" w:hAnsi="arial" w:cs="arial"/>
          <w:sz w:val="20"/>
          <w:lang w:val="en-US" w:eastAsia="en-US" w:bidi="ar-SA"/>
        </w:rPr>
        <w:cr/>
      </w:r>
    </w:p>
    <w:p>
      <w:pPr>
        <w:numPr>
          <w:numId w:val="6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intentional stated or shared the information which was inaccurately out of hate and to tarnish my reputation. The defendant also abused the position bestowed upon them in order to satisfy their hatred and hidden agenda against me. The defendant took advantage of their position and my current dilemma. Their action was out of malice, personal hatred and failure to fulfil their fiduciary responsibility bestowed upon them as civil servants.</w:t>
      </w:r>
    </w:p>
    <w:p>
      <w:pPr>
        <w:numPr>
          <w:numId w:val="6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gave misleading characterization of my disability and as a result, I was not considered for the position.</w:t>
      </w:r>
    </w:p>
    <w:p>
      <w:pPr>
        <w:numPr>
          <w:numId w:val="6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attitude and action was torturous and stressful for acting beyond the scope of their duty.</w:t>
      </w:r>
    </w:p>
    <w:p>
      <w:pPr>
        <w:numPr>
          <w:numId w:val="6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conduct has caused undue suffering, stress and anxiety.</w:t>
      </w:r>
    </w:p>
    <w:p>
      <w:pPr>
        <w:numPr>
          <w:numId w:val="6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gave misleading and inaccurate information to my community support that led to a strained relationship with my support.</w:t>
      </w:r>
    </w:p>
    <w:p>
      <w:pPr>
        <w:numPr>
          <w:numId w:val="6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has the obligation to treat all the inmate equal, fairly and without biased as outlined by the CSC mission statement.</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terminated my position in the kitchen because of my disability and this was caused by the abuse of their position, malice and hatred</w:t>
      </w:r>
    </w:p>
    <w:p>
      <w:pPr>
        <w:numPr>
          <w:numId w:val="6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through malice, vengeance, and abuse of position has deliberately peddled lies and by so doing defamed my character, causing harm and irreparable damage to my reputation.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Part 2: RELIEF SOUGHT</w:t>
      </w:r>
      <w:r>
        <w:rPr>
          <w:rFonts w:ascii="arial" w:eastAsia="arial" w:hAnsi="arial" w:cs="arial"/>
          <w:sz w:val="20"/>
          <w:lang w:val="en-US" w:eastAsia="en-US" w:bidi="ar-SA"/>
        </w:rPr>
        <w:cr/>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be compensated for the injuries I sustained due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Mountain Institution (CSC) staff.</w:t>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be compensated for the effect that caused to my financial situation.</w:t>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be compensated for emotional stressed I sustained due to malice, defamation and discrimination by CSC staff.</w:t>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be compensated for the future pain and suffering which I am going to endure for the rest of my life.</w:t>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be compensated for the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Part 3: LEGAL BASIS</w:t>
      </w:r>
      <w:r>
        <w:rPr>
          <w:rFonts w:ascii="arial" w:eastAsia="arial" w:hAnsi="arial" w:cs="arial"/>
          <w:sz w:val="20"/>
          <w:lang w:val="en-US" w:eastAsia="en-US" w:bidi="ar-SA"/>
        </w:rPr>
        <w:cr/>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 xml:space="preserve">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xml:space="preserve"> </w:t>
      </w:r>
      <w:hyperlink r:id="rId666" w:history="1">
        <w:r>
          <w:rPr>
            <w:rFonts w:ascii="arial" w:eastAsia="arial" w:hAnsi="arial" w:cs="arial"/>
            <w:i/>
            <w:color w:val="0077CC"/>
            <w:sz w:val="20"/>
            <w:u w:val="single"/>
            <w:shd w:val="clear" w:color="auto" w:fill="FFFFFF"/>
            <w:lang w:val="en-US" w:eastAsia="en-US" w:bidi="ar-SA"/>
          </w:rPr>
          <w:t>R.S.B.C. 1996, c. 333 s.8</w:t>
        </w:r>
      </w:hyperlink>
      <w:r>
        <w:rPr>
          <w:rFonts w:ascii="arial" w:eastAsia="arial" w:hAnsi="arial" w:cs="arial"/>
          <w:color w:val="000000"/>
          <w:sz w:val="20"/>
          <w:lang w:val="en-US" w:eastAsia="en-US" w:bidi="ar-SA"/>
        </w:rPr>
        <w:t>: this Act applies to all cases where damage is caused or contributed by the act of a person even if another person had the opportunity of avoiding the consequences of that act and negligently or carelessly failed to do so. Defamation of character.</w:t>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Corrections and Conditional Release Regulations</w:t>
      </w:r>
      <w:r>
        <w:rPr>
          <w:rFonts w:ascii="arial" w:eastAsia="arial" w:hAnsi="arial" w:cs="arial"/>
          <w:color w:val="000000"/>
          <w:sz w:val="20"/>
          <w:lang w:val="en-US" w:eastAsia="en-US" w:bidi="ar-SA"/>
        </w:rPr>
        <w:t xml:space="preserve"> </w:t>
      </w:r>
      <w:hyperlink r:id="rId667" w:history="1">
        <w:r>
          <w:rPr>
            <w:rFonts w:ascii="arial" w:eastAsia="arial" w:hAnsi="arial" w:cs="arial"/>
            <w:i/>
            <w:color w:val="0077CC"/>
            <w:sz w:val="20"/>
            <w:u w:val="single"/>
            <w:shd w:val="clear" w:color="auto" w:fill="FFFFFF"/>
            <w:lang w:val="en-US" w:eastAsia="en-US" w:bidi="ar-SA"/>
          </w:rPr>
          <w:t>S.C. 1992, c. 20 section 3</w:t>
        </w:r>
      </w:hyperlink>
      <w:r>
        <w:rPr>
          <w:rFonts w:ascii="arial" w:eastAsia="arial" w:hAnsi="arial" w:cs="arial"/>
          <w:color w:val="000000"/>
          <w:sz w:val="20"/>
          <w:lang w:val="en-US" w:eastAsia="en-US" w:bidi="ar-SA"/>
        </w:rPr>
        <w:t>(b), (c). (b)Perform the staff member's duties impartially and diligently and in accordance with the principles set out in the Act and in the Mission of the Correctional Services of Canada, published by the service, as amended from time to time; and</w:t>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Encourage and assist offenders to become law abiding citizens</w:t>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Canadian Charter of Rights and Freedoms</w:t>
      </w:r>
      <w:r>
        <w:rPr>
          <w:rFonts w:ascii="arial" w:eastAsia="arial" w:hAnsi="arial" w:cs="arial"/>
          <w:color w:val="000000"/>
          <w:sz w:val="20"/>
          <w:lang w:val="en-US" w:eastAsia="en-US" w:bidi="ar-SA"/>
        </w:rPr>
        <w:t xml:space="preserve"> section 15(1)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EQUALITY RIGHTS;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Equality before and under law and equal protection and benefit of law. 15.(1) Every individual is equal before and under the law and has the right to the equal protection and equal benefit of the law without discrimination and, in particular, without discrimination based on race, nationality or ethnic origin, colour, religion, sex, age or mental or physical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Plaintiffs address for Service: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Charles Seaward</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Mountain Institution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4732 Cemetery Road</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P.O. Box 1200</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Agassiz, BC VOM 1A0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Address for service: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Department of Justice Canada</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900-840 Howe street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BC V6Z 2S9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Place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BC Supreme Court Chilliwack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Address for the registry: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46085 Yale Road</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Chilliwack, BC V2P 2L8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Date: 31 December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Signature for plaintiff</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Charles Seaward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 7-1 of the supreme Court Civil Rules states:</w:t>
      </w:r>
      <w:r>
        <w:rPr>
          <w:rFonts w:ascii="arial" w:eastAsia="arial" w:hAnsi="arial" w:cs="arial"/>
          <w:sz w:val="20"/>
          <w:lang w:val="en-US" w:eastAsia="en-US" w:bidi="ar-SA"/>
        </w:rPr>
        <w:cr/>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Unless all parties of record consent or the court otherwise orders, each party of record to an action must, within 35 days after the end of the pleading period,</w:t>
      </w:r>
    </w:p>
    <w:p>
      <w:pPr>
        <w:numPr>
          <w:numId w:val="1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Prepare a list of documents in Form 22 that lists</w:t>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documents that are or have been in the party's possession or control and that could, if available, be used by any party at trial to prove or disprove a material fact, and</w:t>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other documents to which the party intends to refer at trial, and</w:t>
      </w:r>
    </w:p>
    <w:p>
      <w:pPr>
        <w:numPr>
          <w:numId w:val="1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Serve the list on all parties of record</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4" style="position:absolute;z-index:2517934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68"/>
          <w:headerReference w:type="default" r:id="rId669"/>
          <w:footerReference w:type="even" r:id="rId670"/>
          <w:footerReference w:type="default" r:id="rId671"/>
          <w:headerReference w:type="first" r:id="rId672"/>
          <w:footerReference w:type="first" r:id="rId67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74" w:history="1">
        <w:r>
          <w:rPr>
            <w:rFonts w:ascii="arial" w:eastAsia="arial" w:hAnsi="arial" w:cs="arial"/>
            <w:b/>
            <w:bCs/>
            <w:i/>
            <w:color w:val="0077CC"/>
            <w:kern w:val="32"/>
            <w:sz w:val="28"/>
            <w:szCs w:val="32"/>
            <w:u w:val="single"/>
            <w:shd w:val="clear" w:color="auto" w:fill="FFFFFF"/>
            <w:lang w:val="en-US" w:eastAsia="en-US" w:bidi="ar-SA"/>
          </w:rPr>
          <w:t>Senner v. GE Canada Leasing Services Co., [2018] B.C.J. No. 2863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R. McDiarmid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17,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26,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47044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Kamloops</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2863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1256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Gary Senner, Plaintiff, and GE Canada Leasing Services Company Societe De Services de Credit-Bail GE Canada, General Electric Canada Equipment Finance GP, GE Canada Leasing Services dba General Electric Canada Equipment Finance GP, Kam-Valley Distributors Limited and David Brian Schneider,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(151 paras.)</w:t>
      </w:r>
    </w:p>
    <w:p>
      <w:pPr>
        <w:jc w:val="both"/>
        <w:rPr>
          <w:rFonts w:ascii="arial" w:eastAsia="arial" w:hAnsi="arial" w:cs="arial"/>
          <w:sz w:val="20"/>
          <w:lang w:val="en-US" w:eastAsia="en-US" w:bidi="ar-SA"/>
        </w:rPr>
      </w:pPr>
      <w:bookmarkStart w:id="112" w:name="Counsel_32"/>
      <w:bookmarkEnd w:id="11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5" style="position:absolute;z-index:2516930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J.A. Zak.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B. Austring.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3" w:name="Judgment_32"/>
      <w:bookmarkEnd w:id="113"/>
      <w:r>
        <w:pict>
          <v:line id="_x0000_s1136" style="position:absolute;z-index:25174425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Re Costs</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7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4" w:name="MASTER R. McDIARMID"/>
            <w:bookmarkEnd w:id="114"/>
            <w:r>
              <w:rPr>
                <w:rFonts w:ascii="arial" w:eastAsia="arial" w:hAnsi="arial" w:cs="arial"/>
                <w:b/>
                <w:color w:val="000000"/>
                <w:sz w:val="30"/>
                <w:lang w:val="en-US" w:eastAsia="en-US" w:bidi="ar-SA"/>
              </w:rPr>
              <w:t>MASTER R. McDIARMID</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 costs assessment following a 14-day trial in front of Madam Justice Hyslop. The trial was conducted in January 2017. On October 27, 2017, Madam Justice Hyslop pronounced judgment, accurately summarized in paragraph 15 of the second Affidavit of Joseph A. Zak (the "Second Zak Affidavit")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Non-pecuniary damages: $150,000.00</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Past loss of income: 73,296.00</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Future loss of income: 500,000.00</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Special damages: 38,332.83</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Future yard/farm work: 25,000.00</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Future cost of care: </w:t>
      </w:r>
      <w:r>
        <w:rPr>
          <w:rFonts w:ascii="arial" w:eastAsia="arial" w:hAnsi="arial" w:cs="arial"/>
          <w:color w:val="000000"/>
          <w:sz w:val="20"/>
          <w:u w:val="single"/>
          <w:lang w:val="en-US" w:eastAsia="en-US" w:bidi="ar-SA"/>
        </w:rPr>
        <w:t>0.00</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Subtotal: $786,628.83</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Minus 10%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($78,662.88)</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TOTAL:</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$707,965.95 (rounded to)</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$708,000.00</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Plus court ordered interest: as applicable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background is set out in the Second Zak Affidavit at paragraphs 7-14 as follows:</w:t>
      </w:r>
      <w:r>
        <w:rPr>
          <w:rFonts w:ascii="arial" w:eastAsia="arial" w:hAnsi="arial" w:cs="arial"/>
          <w:sz w:val="20"/>
          <w:lang w:val="en-US" w:eastAsia="en-US" w:bidi="ar-SA"/>
        </w:rPr>
        <w:cr/>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action was brought for the recovery of damages for personal injury and loss suffered by the plaintiff as a result of a motor vehicle accident that occurred on February 15, 2011 at the intersection of Mount Paul Way and Athabasca Street in Kamloops, BC. Both liability and quantum were in issue.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trial was conducted in January 2017 over the course of 14 days:</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January 3 to 6</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January 9 to 13</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January 16 to 20</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Including the plaintiff, 26 witnesses were called to testify: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Plaintiff</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The plaintiff and lay witnesses</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Gary Senner</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Kim Watt-Senner</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Rajinder Rana</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Mason Legault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Gary Kerr (formerly Staff Sergeant Kerr)</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Constable Attila Peter</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Corporal Brooke Argue</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Corporal Brian Lamb</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 xml:space="preserve">Liability/Contributory </w:t>
      </w:r>
      <w:r>
        <w:rPr>
          <w:rFonts w:ascii="arial" w:eastAsia="arial" w:hAnsi="arial" w:cs="arial"/>
          <w:b/>
          <w:i/>
          <w:color w:val="000000"/>
          <w:sz w:val="20"/>
          <w:u w:val="single"/>
          <w:lang w:val="en-US" w:eastAsia="en-US" w:bidi="ar-SA"/>
        </w:rPr>
        <w:t>Negligence</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Andrew Weaver, meteorologist</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Jonathan Gough, motor vehicle collision reconstruction engineer</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Melissa Jenkins, engineer in training qualified for speed testing</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Corporal Troops, RCMP, Special I Division</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Medical</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Aindrias O'Breasail, psychiatrist</w:t>
      </w:r>
    </w:p>
    <w:p>
      <w:pPr>
        <w:numPr>
          <w:numId w:val="2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Dr. David Koo, physical medicine and rehabilitation specialist</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Gordon Robinson, neurologist</w:t>
      </w:r>
    </w:p>
    <w:p>
      <w:pPr>
        <w:numPr>
          <w:numId w:val="2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Dr. G.M. McKenzie, orthopaedic surgeon</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A.S. Minhas, internist, psychiatrist and specialist in sleep disorders</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Mel Kaushansky, neuropsychologist</w:t>
      </w:r>
    </w:p>
    <w:p>
      <w:pPr>
        <w:numPr>
          <w:numId w:val="2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Dr. Miranda du Preez, family practitioner</w:t>
      </w:r>
    </w:p>
    <w:p>
      <w:pPr>
        <w:numPr>
          <w:numId w:val="3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Dr. Michael Carmichael, clinical and registered psychologist</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Catherine Douglas, occupational therapist</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Income and Pension Losses</w:t>
      </w:r>
    </w:p>
    <w:p>
      <w:pPr>
        <w:numPr>
          <w:numId w:val="3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Robert Carson, economist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Defendants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Liability</w:t>
      </w:r>
    </w:p>
    <w:p>
      <w:pPr>
        <w:numPr>
          <w:numId w:val="3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David Brian Schneider</w:t>
      </w:r>
    </w:p>
    <w:p>
      <w:pPr>
        <w:numPr>
          <w:numId w:val="3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Bradley Heinrichs, motor vehicle collision reconstruction engineer</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Medical</w:t>
      </w:r>
    </w:p>
    <w:p>
      <w:pPr>
        <w:numPr>
          <w:numId w:val="3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Dr. Kevin Solomons, psychiatrist</w:t>
      </w:r>
    </w:p>
    <w:p>
      <w:pPr>
        <w:numPr>
          <w:numId w:val="3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Dr. Richard Loomer, orthopaedic surgeon</w:t>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required to proceed to trial because there was no prospect for any other satisfactory resolution of the claim.</w:t>
      </w:r>
    </w:p>
    <w:p>
      <w:pPr>
        <w:numPr>
          <w:numId w:val="3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defendants had initially offered to settle the claim for $40,000.00 plus costs and disbursements. A copy of an email dated September 12, 2014 referencing this offer received from Gigi Romer, Claims Adjuster, Insurance Corporation of British Columbia ("ICBC"), is attached as </w:t>
      </w:r>
      <w:r>
        <w:rPr>
          <w:rFonts w:ascii="arial" w:eastAsia="arial" w:hAnsi="arial" w:cs="arial"/>
          <w:b/>
          <w:color w:val="000000"/>
          <w:sz w:val="20"/>
          <w:u w:val="single"/>
          <w:lang w:val="en-US" w:eastAsia="en-US" w:bidi="ar-SA"/>
        </w:rPr>
        <w:t>Exhibit 3</w:t>
      </w:r>
      <w:r>
        <w:rPr>
          <w:rFonts w:ascii="arial" w:eastAsia="arial" w:hAnsi="arial" w:cs="arial"/>
          <w:color w:val="000000"/>
          <w:sz w:val="20"/>
          <w:lang w:val="en-US" w:eastAsia="en-US" w:bidi="ar-SA"/>
        </w:rPr>
        <w:t>.</w:t>
      </w:r>
    </w:p>
    <w:p>
      <w:pPr>
        <w:numPr>
          <w:numId w:val="4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January 8, 2016, the plaintiff issued a notice to mediate, a copy of which is attached as </w:t>
      </w:r>
      <w:r>
        <w:rPr>
          <w:rFonts w:ascii="arial" w:eastAsia="arial" w:hAnsi="arial" w:cs="arial"/>
          <w:b/>
          <w:color w:val="000000"/>
          <w:sz w:val="20"/>
          <w:u w:val="single"/>
          <w:lang w:val="en-US" w:eastAsia="en-US" w:bidi="ar-SA"/>
        </w:rPr>
        <w:t>Exhibit 4</w:t>
      </w:r>
      <w:r>
        <w:rPr>
          <w:rFonts w:ascii="arial" w:eastAsia="arial" w:hAnsi="arial" w:cs="arial"/>
          <w:color w:val="000000"/>
          <w:sz w:val="20"/>
          <w:lang w:val="en-US" w:eastAsia="en-US" w:bidi="ar-SA"/>
        </w:rPr>
        <w:t>.</w:t>
      </w:r>
    </w:p>
    <w:p>
      <w:pPr>
        <w:numPr>
          <w:numId w:val="4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mediation was held on April 14, 2016 but was unsuccessful.</w:t>
      </w:r>
    </w:p>
    <w:p>
      <w:pPr>
        <w:numPr>
          <w:numId w:val="4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defendants advanced their formal and final offer less than 30 days prior to the trial of this action in the amount of $100,000.00 plus costs. Attached as </w:t>
      </w:r>
      <w:r>
        <w:rPr>
          <w:rFonts w:ascii="arial" w:eastAsia="arial" w:hAnsi="arial" w:cs="arial"/>
          <w:b/>
          <w:color w:val="000000"/>
          <w:sz w:val="20"/>
          <w:u w:val="single"/>
          <w:lang w:val="en-US" w:eastAsia="en-US" w:bidi="ar-SA"/>
        </w:rPr>
        <w:t>Exhibit 5</w:t>
      </w:r>
      <w:r>
        <w:rPr>
          <w:rFonts w:ascii="arial" w:eastAsia="arial" w:hAnsi="arial" w:cs="arial"/>
          <w:color w:val="000000"/>
          <w:sz w:val="20"/>
          <w:lang w:val="en-US" w:eastAsia="en-US" w:bidi="ar-SA"/>
        </w:rPr>
        <w:t xml:space="preserve"> is a copy of the letter containing the offer dated December 5, 2016 received from Cundari Seibel, counsel for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At the pre-hearing conference, I made an order pursuant to the provisions of the Law Society of </w:t>
      </w:r>
      <w:r>
        <w:rPr>
          <w:rFonts w:ascii="arial" w:eastAsia="arial" w:hAnsi="arial" w:cs="arial"/>
          <w:i/>
          <w:color w:val="000000"/>
          <w:sz w:val="20"/>
          <w:lang w:val="en-US" w:eastAsia="en-US" w:bidi="ar-SA"/>
        </w:rPr>
        <w:t>B.C. Code of Professional Conduct</w:t>
      </w:r>
      <w:r>
        <w:rPr>
          <w:rFonts w:ascii="arial" w:eastAsia="arial" w:hAnsi="arial" w:cs="arial"/>
          <w:color w:val="000000"/>
          <w:sz w:val="20"/>
          <w:lang w:val="en-US" w:eastAsia="en-US" w:bidi="ar-SA"/>
        </w:rPr>
        <w:t>, c. 5-2-1(a) that both lawyers are granted leave to testify and/or submit affidavits and to advocate/speak to their own affidavits.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evidence before me at the costs assessment included the Second Zak Affidavit as well as Affidavit #3 of Joseph A. Zak (the "Third Zak Affidavit"), an Affidavit from Mr. Zak's assistant, Lola Mondin (the "Mondin Affidavit"), copies of the closing submissions at trial with respect to liability and damages, a copy of the closing submissions at trial with respect to pension losses, a binder containing the Notices to Admit, a binder containing the disputed non-medical expert reports, a binder containing the medical/legal reports, a copy of a collision reconstruction report prepared by Bradley Heinrichs at the request of the defendants, a copy of the plaintiff's sixth amended List of Documents, a copy of a document agreement, a copy of a justification letter from one of the plaintiff's consulting experts, Dr. Kaushansky, a neuropsychologist, and an exhibit containing breakdowns for four of the experts retained by the plaintiff (Dr. Carmichael, registered psychologist, Dr. du Preez, the plaintiff's general practitioner, and two invoices from Baker Materials Engineering).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circumstances of the accident are somewhat unusual. The plaintiff was proceeding southbound driving a 2004 Chevrolet Venture van on Mount Paul Way on the Kamloops Indian Reserve, just north of the city. The defendants' vehicle, a 2008 highway tractor with no trailers attached, made a left turn from eastbound on Athabasca Street onto Mount Paul Way northbound. The plaintiff was travelling in excess of the posted speed limit of 50 km per hour when he was approaching the intersection with Athabasca Street. The testimony of the plaintiff is summarized at paras. 56-57 of Hyslop J.'s reasons for judgment ( </w:t>
      </w:r>
      <w:hyperlink r:id="rId675" w:history="1">
        <w:r>
          <w:rPr>
            <w:rFonts w:ascii="arial" w:eastAsia="arial" w:hAnsi="arial" w:cs="arial"/>
            <w:i/>
            <w:color w:val="0077CC"/>
            <w:sz w:val="20"/>
            <w:u w:val="single"/>
            <w:shd w:val="clear" w:color="auto" w:fill="FFFFFF"/>
            <w:lang w:val="en-US" w:eastAsia="en-US" w:bidi="ar-SA"/>
          </w:rPr>
          <w:t>2017 BCSC 1939</w:t>
        </w:r>
      </w:hyperlink>
      <w:r>
        <w:rPr>
          <w:rFonts w:ascii="arial" w:eastAsia="arial" w:hAnsi="arial" w:cs="arial"/>
          <w:color w:val="000000"/>
          <w:sz w:val="20"/>
          <w:lang w:val="en-US" w:eastAsia="en-US" w:bidi="ar-SA"/>
        </w:rPr>
        <w: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[56] Mr. Senner testified that as he approached Athabasca Street, he observed a white tractor unit on Athabasca Street moving towards the stop sign located on Athabasca Street which intersected with Mount Paul Way. The Tractor, just before the stop sign, slowed down and then "kind of shakes". It then pulled onto Mount Paul Way in front of him. He said he was approximately 120 to 150 feet away from the Tractor when this occurred. He testified that his reaction time was two to three seconds from the time he observed the Tractor pull away from the stop sign and then into the intersection. When asked by his counsel why he did not slam on his brakes, he testified that he would have run into the side of the Tractor where the gas tanks were located. He testified that there was no alternative action that he could have taken other than the action he took. He testified that the Tractor was two-thirds into Mount Paul Way when he observed the driver's side of the Tractor.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[57] Mr. Senner testified that when he saw the Tractor on his side of the road, he knew he would not be able to stop, so he accelerated, pushing the throttle up as high as it could go, went into the opposite lane and attempted to go around the Tractor. As he was passing the Tractor, the Tractor hit the rear passenger quarter panel of the Van. The Van was then lifted at its right back end and this sent the Van into a right yaw. Mr. Senner took his foot off the accelerator and braked the Van as hard as he could. The Van then started over an embankment where it struck a cement block. After that, the Van started its roll-over. Mr. Senner was asked to compare the force of the Tractor lifting the Van to hitting the cement block. He responded that hitting the cement block was worse and of greater magnitude.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Photographs of the van attached to the Heinrich report show that it sustained severe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RCMP attended and conducted an investigation, including downloading data from the van's airbag control module ("ACM"). The RCMP analyst calculated that the initial speed of the van was between 86 and 92 km per hour. The plaintiff was issued a speeding ticket which he did not contest.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addition to the RCMP analyst report, the defendants relied on the Heinrichs report which concluded that the plaintiff may have been able to avoid a collision had he been travelling at 50 km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Another complicating factor was that the van, owned by the RCMP, had surveillance equipment in the back of it. The defendants alleged that the plaintiff negligently failed to secure the surveillance equipment and that his failure to secure the equipment contributed to the injuries sustained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 further significant issue relating to causation of the injuries alleged by the plaintiff and the sequelae to those injuries, were the medical opinions relied on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Paragraph 39 of the Second Zak Affidavit is as follows:</w:t>
      </w:r>
      <w:r>
        <w:rPr>
          <w:rFonts w:ascii="arial" w:eastAsia="arial" w:hAnsi="arial" w:cs="arial"/>
          <w:sz w:val="20"/>
          <w:lang w:val="en-US" w:eastAsia="en-US" w:bidi="ar-SA"/>
        </w:rPr>
        <w:cr/>
      </w:r>
    </w:p>
    <w:p>
      <w:pPr>
        <w:numPr>
          <w:numId w:val="4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Throughout the course of this proceeding, the position advanced by the defendants was generally a reflection of the opinions given by the defence medical examiners, Dr. Kevin Solomons, psychiatrist, and Dr. Richard Loomer, orthopaedic surgeon, that is, none of Senner's complaints were accident related:</w:t>
      </w:r>
    </w:p>
    <w:p>
      <w:pPr>
        <w:numPr>
          <w:numId w:val="4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Dr. Solomons</w:t>
      </w:r>
      <w:r>
        <w:rPr>
          <w:rFonts w:ascii="arial" w:eastAsia="arial" w:hAnsi="arial" w:cs="arial"/>
          <w:color w:val="000000"/>
          <w:sz w:val="20"/>
          <w:lang w:val="en-US" w:eastAsia="en-US" w:bidi="ar-SA"/>
        </w:rPr>
        <w:t>: in his medical/legal report dated March 26, 2015, Solomons attributed all of Senner's cognitive and emotional disruption to "burnout" from work exposure and pre-existing sleep disorder: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Mr. Senner did not develop a psychiatric disorder as a result of this accident, that he was not psychiatrically impaired as a result of the accident and that he did not require psychiatric treatment as a result of the accident.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His description of his work exposures and effects is, in my opinion, consistent with a burnout situation. Burnout is not a technical term or a medical or psychiatric diagnosis but rather is a state of stress where respite from the stressful circumstances is the best remedy.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His sleep disorder can fully account for his ongoing symptoms that include fatigue, irritability, headaches, low energy and stamina and reduced focus and attention.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TREATMENT RECOMMENDATIONS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Senner does not require any psychiatric treatment as a result of this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requires treatment for his sleep disorder and should do well with appropriate treatment. His need for this treatment is not related to this accident.</w:t>
      </w:r>
    </w:p>
    <w:p>
      <w:pPr>
        <w:numPr>
          <w:numId w:val="4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Dr. Loomer</w:t>
      </w:r>
      <w:r>
        <w:rPr>
          <w:rFonts w:ascii="arial" w:eastAsia="arial" w:hAnsi="arial" w:cs="arial"/>
          <w:color w:val="000000"/>
          <w:sz w:val="20"/>
          <w:lang w:val="en-US" w:eastAsia="en-US" w:bidi="ar-SA"/>
        </w:rPr>
        <w:t>: in his medical/legal report dated February 24, 2015, Dr. Loomer concluded: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Prognosis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think it is likely that Mr. Senner will have some ongoing symptoms in his lower back and neck although with time I think there is a chance they will gradually decrease in intensity.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plaintiff retained Mr. Zak formally in or about September of 2011. The Notice of Civil Claim was issued March 27, 2012. There was a Response filed on July 19, 2012 and an Amended Notice of Civil Claim substituting Mr. Schneider for John Doe filed November 14, 2012, and an Amended Response to the Amended Notice of Civil Claim filed January 16, 2013. A second Amended Response to Amended Notice of Civil Claim was filed on January 3, 2013, alleging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operating a vehicle with unsecured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initial Notice of Trial was filed April 9, 2015 with the defendants filing a Notice Requiring a Trial by Jury on April 28, 2015. The trial was scheduled to commence April 4, 2016 for ten days. It was consensually adjourned on February 18, 2016, with a new Notice of Trial filed that day by the plaintiff, setting the matter for nine days commencing January 3, 2017. On February 19, 2016, the defendants filed another Notice Requiring a Trial by Jury. At the trial management conference on November 14, 2016, it was still anticipated that the trial would be with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TARIFF ITEMS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Tariff Item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claims 7 units; the defence position is that 3 units are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Zak was retained to represent the plaintiff in or about September of 2011. The Notice of Civil Claim was issued on March 27, 2012, just over 13 months after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Zak's Affidavit confirms that when he first met with the plaintiff, Mr. Zak fully expected liability would be in issue. Mr. Zak retained experts. That is something for which provision is made elsewhere in the tariff. Connected with expert evidence, but not something for which provision is made elsewhere in the tariff, is where Mr. Zak deposes that he had to understand mathematical engineering analysis behind the opinions offered by the police officers and Mr. Heinrichs. Mr. Zak also retained a neuropsychologist, an orthopedic surgeon and a physiatrist; those are also investigations for which provision is made elsewhere. He ordered tax information and clinical records from the plaintiff's family physician. The family practitioner was subsequently asked to provide an expert report. The work done by Mr. Zak before the Notice of Civil Claim was issued was significant.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Mr. Austring, for the defendants, correctly points out that much of this work is dealt with under tariff item 17. He refers to my decision in </w:t>
      </w:r>
      <w:r>
        <w:rPr>
          <w:rFonts w:ascii="arial" w:eastAsia="arial" w:hAnsi="arial" w:cs="arial"/>
          <w:i/>
          <w:color w:val="000000"/>
          <w:sz w:val="20"/>
          <w:lang w:val="en-US" w:eastAsia="en-US" w:bidi="ar-SA"/>
        </w:rPr>
        <w:t>Dakin v. Roth</w:t>
      </w:r>
      <w:r>
        <w:rPr>
          <w:rFonts w:ascii="arial" w:eastAsia="arial" w:hAnsi="arial" w:cs="arial"/>
          <w:color w:val="000000"/>
          <w:sz w:val="20"/>
          <w:lang w:val="en-US" w:eastAsia="en-US" w:bidi="ar-SA"/>
        </w:rPr>
        <w:t xml:space="preserve">, </w:t>
      </w:r>
      <w:hyperlink r:id="rId676" w:history="1">
        <w:r>
          <w:rPr>
            <w:rFonts w:ascii="arial" w:eastAsia="arial" w:hAnsi="arial" w:cs="arial"/>
            <w:i/>
            <w:color w:val="0077CC"/>
            <w:sz w:val="20"/>
            <w:u w:val="single"/>
            <w:shd w:val="clear" w:color="auto" w:fill="FFFFFF"/>
            <w:lang w:val="en-US" w:eastAsia="en-US" w:bidi="ar-SA"/>
          </w:rPr>
          <w:t>2013 BCSC 1018</w:t>
        </w:r>
      </w:hyperlink>
      <w:r>
        <w:rPr>
          <w:rFonts w:ascii="arial" w:eastAsia="arial" w:hAnsi="arial" w:cs="arial"/>
          <w:color w:val="000000"/>
          <w:sz w:val="20"/>
          <w:lang w:val="en-US" w:eastAsia="en-US" w:bidi="ar-SA"/>
        </w:rPr>
        <w:t>, where I discuss the tariff items in paras. 22-25 and then make determinations with respect to the three actions at issue in that costs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This is a case where the work done by the plaintiff and counsel on his behalf, excluding matters for which provision is made elsewhere in the tariff, is at the mid-point, and I allow 5 units.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Tariff Item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claims 25 units; the defence position is that 15 units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submissions, Mr. Zak referenced how the plaintiff was working under a difficult environment. One of the difficulties was determination of how this accident interfered with the plaintiff's advancement as an RCMP officer. This was a complex case. Mr. Zak, who is an experienced personal injury lawyer, submitted that the combination of a real risk of liability, pre-accident difficulties the plaintiff was experiencing with his employer, pre-accident medical issues affecting the plaintiff and symptoms the plaintiff was exhibiting subsequent to the accident, including sleep issues, all combine to make this one of the most difficult cases counsel had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Counsel for the defendants again points out that much of what was done fits within tariff item 17. He correctly submitted that there is an onus on the plaintiff to justify the units claimed. He pointed out that this was not a case where there were language issues. I was referred to </w:t>
      </w:r>
      <w:r>
        <w:rPr>
          <w:rFonts w:ascii="arial" w:eastAsia="arial" w:hAnsi="arial" w:cs="arial"/>
          <w:i/>
          <w:color w:val="000000"/>
          <w:sz w:val="20"/>
          <w:lang w:val="en-US" w:eastAsia="en-US" w:bidi="ar-SA"/>
        </w:rPr>
        <w:t>Li v. Giesinger</w:t>
      </w:r>
      <w:r>
        <w:rPr>
          <w:rFonts w:ascii="arial" w:eastAsia="arial" w:hAnsi="arial" w:cs="arial"/>
          <w:color w:val="000000"/>
          <w:sz w:val="20"/>
          <w:lang w:val="en-US" w:eastAsia="en-US" w:bidi="ar-SA"/>
        </w:rPr>
        <w:t xml:space="preserve">, </w:t>
      </w:r>
      <w:hyperlink r:id="rId677" w:history="1">
        <w:r>
          <w:rPr>
            <w:rFonts w:ascii="arial" w:eastAsia="arial" w:hAnsi="arial" w:cs="arial"/>
            <w:i/>
            <w:color w:val="0077CC"/>
            <w:sz w:val="20"/>
            <w:u w:val="single"/>
            <w:shd w:val="clear" w:color="auto" w:fill="FFFFFF"/>
            <w:lang w:val="en-US" w:eastAsia="en-US" w:bidi="ar-SA"/>
          </w:rPr>
          <w:t>2015 BCSC 2414</w:t>
        </w:r>
      </w:hyperlink>
      <w:r>
        <w:rPr>
          <w:rFonts w:ascii="arial" w:eastAsia="arial" w:hAnsi="arial" w:cs="arial"/>
          <w:color w:val="000000"/>
          <w:sz w:val="20"/>
          <w:lang w:val="en-US" w:eastAsia="en-US" w:bidi="ar-SA"/>
        </w:rPr>
        <w:t>, a decision where Master Harper, sitting as registrar, awarded 25 units. In that case, litigation was ongoing for 63 months. The plaintiff was an infant and lived in China, which Master Harper found complicated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this case, 58 months had lapsed between the issuance of the Notice of Civil Claim and the conclusion of the trial. Retaining and consulting experts is provided for by tariff item 17. Dealing with the issues, understanding them, and taking the time to digest what the defence position is vis-à-vis the plaintiff's condition is separate from retaining and consulting experts. The evidence provided by Mr. Zak in his Second Affidavit, although not directly focussing on tariff item 2, makes it clear that what was done here after the start of the proceeding and until the completion of trial, excluding those tasks for which provision is made elsewhere in the tariff, was significant. I allow 20 units.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Tariff Item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has claimed 5 units for tariff item 3, but concedes that it is not entitled to any units for tariff item 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Tariff Item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 claims 7 units; the defence position is that 3 units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There was a Notice of Civil Claim and then an Amended Notice of Civil Claim substituting the defendant, Schneider, for the initial John Doe defendant. I have reviewed the Amended Notice of Civil Claim. It is not what I would consider "boiler plate". It accurately sets out the parties. It accurately sets out the relationship of the defendants amongst themselves. It describes how the collision occurred. It is true that it does contain some "boiler plate", but it is more detailed than what I am going to refer to as the "average" Notice of Civil Claim in a motor vehicle accident where 3 or 4 units are usually allowed. In addition, once the name of the driver became known, an amendment was required. I allow 5 units.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Tariff Items 10 and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Under tariff item 10 a), the plaintiff claims 5 units; the defendants submit 1 unit is appropriate. Under tariff item 11, the plaintiff initially claimed under tariff item 11 a) and claimed 5 units; the plaintiff now claims under tariff item 11 b) and claims 15 units.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Amended List of Documents of the plaintiff has been marked as exhibit 5. It lists 187 documents under Part 1 and four more documents under Part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issue of listing bundles of documents under one item was dealt with by Registrar Sainty in </w:t>
      </w:r>
      <w:r>
        <w:rPr>
          <w:rFonts w:ascii="arial" w:eastAsia="arial" w:hAnsi="arial" w:cs="arial"/>
          <w:i/>
          <w:color w:val="000000"/>
          <w:sz w:val="20"/>
          <w:lang w:val="en-US" w:eastAsia="en-US" w:bidi="ar-SA"/>
        </w:rPr>
        <w:t>Farrokhmanesh v. Sahib</w:t>
      </w:r>
      <w:r>
        <w:rPr>
          <w:rFonts w:ascii="arial" w:eastAsia="arial" w:hAnsi="arial" w:cs="arial"/>
          <w:color w:val="000000"/>
          <w:sz w:val="20"/>
          <w:lang w:val="en-US" w:eastAsia="en-US" w:bidi="ar-SA"/>
        </w:rPr>
        <w:t xml:space="preserve">, </w:t>
      </w:r>
      <w:hyperlink r:id="rId678" w:history="1">
        <w:r>
          <w:rPr>
            <w:rFonts w:ascii="arial" w:eastAsia="arial" w:hAnsi="arial" w:cs="arial"/>
            <w:i/>
            <w:color w:val="0077CC"/>
            <w:sz w:val="20"/>
            <w:u w:val="single"/>
            <w:shd w:val="clear" w:color="auto" w:fill="FFFFFF"/>
            <w:lang w:val="en-US" w:eastAsia="en-US" w:bidi="ar-SA"/>
          </w:rPr>
          <w:t>2010 BCSC 497</w:t>
        </w:r>
      </w:hyperlink>
      <w:r>
        <w:rPr>
          <w:rFonts w:ascii="arial" w:eastAsia="arial" w:hAnsi="arial" w:cs="arial"/>
          <w:color w:val="000000"/>
          <w:sz w:val="20"/>
          <w:lang w:val="en-US" w:eastAsia="en-US" w:bidi="ar-SA"/>
        </w:rPr>
        <w:t>, where at para. 24 she writes: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 In his submissions, Mr. Fahey told me that he often lists bundles of documents under one particular item on a list of documents and suggested that the plaintiff should somehow receive "credit" for a greater number of documents (pages) and that I ought not to base the units here strictly on the number of documents listed in her lists of documents. The reference in the tariff to units awarded for numbers of documents disclosed relates to the number of actual documents listed. It does not relate to the number of pages that make up the various documents listed on the list of documents. I do not think any special skill or effort went into the document discovery in this case and, accordingly, I would award 4 units for this process. I do so keeping in mind that the plaintiff has failed to claim anything under Item 7 which is for "process for obtaining discovery and inspection of documents". Had that item been claimed, I would have allowed two units for it and two units under Item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defendants advise that their documents were what were considered by counsel as being "average"; 29 documents with eight privileged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plaintiff's document disclosure is correctly referenced under tariff item 11 a), for which a maximum of 10 units can be claimed. I have reviewed the sixth Amended List of Documents. The fact that there was a requirement to have six Amended Lists of Documents and what I will refer to as the density of the documents, many of which have been exhibited in this proceeding, satisfy me that this is one of those cases where the maximum number of units should be allowed. I allow 10 units under tariff item 11 a). I allow 2 units under tariff item 10 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Tariff Item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has claimed a total of 5 units under tariff item 14, referencing two Notices to Admit, contained in exhibit 6. Exhibit 6 also contains the defendants' Reply to the Notices to Admit. Both Replies are detailed. The plaintiff's Notice to Admit dated April 15, 2016 sought admission of the plaintiff's date of engagement with the RCMP, which was denied, and then sought admission of documents under eight tabs. The Notice to Admit is approximately three centimetres thick. Some of the documents are admitted. Some are not admitted, but with a detailed explanation as to why they are not admitted.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second Notice to Admit contained two documents. The Reply did not admit the documents in the manner sought by the plaintiff, but did set out a condition upon which the documents could be utilized.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Tariff item 14 is for process for serving Notices to Admit. "Notices" is plural; the item can only be claimed once for a minimum of 1 unit and a maximum of 5 units. The Notice to Admit dated December 5, 2016 contains substantial documents, is quite detailed, and resulted in some admissions. The Notice to Admit dated December 12, 2016 resulted in some limited use. Somewhat curiously, the Replies reference "Plaintiff's Notice to Admit dated April 15, 2016" (both Replies), although it is apparent that the Replies are actually directed to the December 5, 2016 and December 12, 2016 Notices.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allow 4 units for tariff item 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Tariff Item 17 - Retaining and Consulting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As set out in the Second Zak Affidavit, this was a complex case involving numerous experts. There were experts to deal with issues of liability. There were experts to deal with medical issues. There was an expert to deal with income and pension losses. There was an expert retained to analyze meteorological conditions and natural visibility. The expert retained to deal with income issues generated five reports. There were seven physicians; the orthopedic surgeon produced three reports, the psychiatrist produced a report and a rebuttal report, the physiatrist produced three reports, and the neurologist produced two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evidence substantiates the 8 units claimed by the plaintiff, and I allow 8 units for tariff item 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Tariff Item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 claims 8 units; the defendants submit 5 units is appropriate for process and correspondence associated with contacting, interviewing and issuing subpoenas to all witnesses. Tariff item 18 includes the expert witnesses. In addition to the expert witnesses, there were seven lay witnesses, plus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number of witnesses that testified justify an allowance of slightly above the mid-point. I allow 6 units for tariff item 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Tariff Items 21 and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There was some confusion here with respect to the matter not initially being claimed correctly by the plaintiff. However, once clarification of the applications was made, there was no issue. The plaintiff is entitled to 1 unit under tariff item 21 a). Under tariff item 21 b), an opposed application, the plaintiff is entitled 1.5 units. Under tariff item 22 a), the unopposed application to add the defendant on October 29, 2012, the plaintiff is entitled to 2 units. Under tariff item 22 b), the opposed application brought by the defendants to adjourn the trial, the plaintiff is allowed 2.5 units.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Tariff Item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Under tariff item 23, the plaintiff initially claimed 3 units, but at the hearing confirmed that it would reduce its claim to 1 unit as submitted by the defendants.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Tariff Items 29 and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Under tariff items 29 and 30, the plaintiff claimed 2 units and 6 units respectively for the preparation for and attendance at the assessment. This was a typographical error. The plaintiff is entitled to 2 units for preparation and 4 units for attendance, subject to any offers to settle costs.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Tariff Item 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During submissions, the plaintiff agreed with the defendants to 1.5 units for preparation for the Trial Management Conference. The plaintiff is entitled to an additional 1 unit for attendance at the pre-hearing conference for costs. The plaintiff is thus entitled to a total of 2.5 units for this tariff item.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Tariff Item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plaintiff initially sought 3.5 units under tariff item 32 for attendance at the Trial Management Conference, but has agreed to have that allowed at 2.5 units, as submitted by the defendants'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 is entitled to 1 unit for attendance at the pre-hearing conference for costs under tariff item 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Tariff Item 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 initially claimed 5 units under tariff item 44, but has removed that from the Amended Bill of Costs as there were no negotiations which resulted in settlement and so there is no entitlement to any units.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only other item of contention was tariff item 36; written argument. The plaintiff claimed 8 units for closing submissions and an additional 8 units for pension.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This is not a tariff item which can be claimed more than once. It can be claimed once with a minimum of 1 unit and a maximum of 10 units.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written arguments were contained in exhibit 1. The written closing was just over 30 pages. It was detailed and focussed. The second written argument dealt with pension deduction, which was just over four pages in length, summarizing recent court decisions in a concise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Recognizing that their initial position was in error, the defendants submitted that I should allow a total of 5 units. They referred to a decision of Master Bouck, as registrar, </w:t>
      </w:r>
      <w:r>
        <w:rPr>
          <w:rFonts w:ascii="arial" w:eastAsia="arial" w:hAnsi="arial" w:cs="arial"/>
          <w:i/>
          <w:color w:val="000000"/>
          <w:sz w:val="20"/>
          <w:lang w:val="en-US" w:eastAsia="en-US" w:bidi="ar-SA"/>
        </w:rPr>
        <w:t>Arbutus Bay Estates Ltd. v. Canada (Attorney General)</w:t>
      </w:r>
      <w:r>
        <w:rPr>
          <w:rFonts w:ascii="arial" w:eastAsia="arial" w:hAnsi="arial" w:cs="arial"/>
          <w:color w:val="000000"/>
          <w:sz w:val="20"/>
          <w:lang w:val="en-US" w:eastAsia="en-US" w:bidi="ar-SA"/>
        </w:rPr>
        <w:t xml:space="preserve">, </w:t>
      </w:r>
      <w:hyperlink r:id="rId679" w:history="1">
        <w:r>
          <w:rPr>
            <w:rFonts w:ascii="arial" w:eastAsia="arial" w:hAnsi="arial" w:cs="arial"/>
            <w:i/>
            <w:color w:val="0077CC"/>
            <w:sz w:val="20"/>
            <w:u w:val="single"/>
            <w:shd w:val="clear" w:color="auto" w:fill="FFFFFF"/>
            <w:lang w:val="en-US" w:eastAsia="en-US" w:bidi="ar-SA"/>
          </w:rPr>
          <w:t>2017 BCSC 624</w:t>
        </w:r>
      </w:hyperlink>
      <w:r>
        <w:rPr>
          <w:rFonts w:ascii="arial" w:eastAsia="arial" w:hAnsi="arial" w:cs="arial"/>
          <w:color w:val="000000"/>
          <w:sz w:val="20"/>
          <w:lang w:val="en-US" w:eastAsia="en-US" w:bidi="ar-SA"/>
        </w:rPr>
        <w:t>, where at paras. 24-25, he writes: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 The Province claims 10 units for the work necessary to prepare its 52-page closing argument. While the document itself was not before me, the parties at this assessment agree that the argument addressed ten separate legal issues. The plaintiff suggests that the Province essentially "piggy-backed" or overlapped its arguments with those presented by the main defendant Canada.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 Without seeing the actual document, it is difficult to assess the units that should be allowed. Given that the Province bears the onus of proof, I accept the plaintiff's submission and allow 5 units for this item.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Unlike in </w:t>
      </w:r>
      <w:r>
        <w:rPr>
          <w:rFonts w:ascii="arial" w:eastAsia="arial" w:hAnsi="arial" w:cs="arial"/>
          <w:i/>
          <w:color w:val="000000"/>
          <w:sz w:val="20"/>
          <w:lang w:val="en-US" w:eastAsia="en-US" w:bidi="ar-SA"/>
        </w:rPr>
        <w:t>Arbutus Bay</w:t>
      </w:r>
      <w:r>
        <w:rPr>
          <w:rFonts w:ascii="arial" w:eastAsia="arial" w:hAnsi="arial" w:cs="arial"/>
          <w:color w:val="000000"/>
          <w:sz w:val="20"/>
          <w:lang w:val="en-US" w:eastAsia="en-US" w:bidi="ar-SA"/>
        </w:rPr>
        <w:t xml:space="preserve">, I have seen the actual documents. The plaintiff's closing contains a number of headings, including "personal circumstances", "accident circumstances" which contain subheadings detailing those circumstances, "liability" with subheadings,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plaintiff's personal "background", the plaintiff's "injuries and sequelae" with subheadings for musculoskeletal, brain injury/concussion, headaches and sleep. There is then a summary of the eight lay witnesses called by the plaintiff. There was then a section on damages with subheadings for "thin skull" principle and non-pecuniary, a heading for past income loss, a heading for future income loss/impairment of capacity, a heading for residual earning capacity, a heading for non-wage benefits, a heading for cost of care, and a heading for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 submits that I should allow written argument at near the maximum and I agree. I allow 9 units.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remaining tariff items were not in issue, although I found what was claimed and agreed to under tariff items 19 (a) and (b) and 20 (a) and (b) somewhat confusing. The parties consented to 4 units under item 19 (a), 1.5 units under item 19 (b), 4 units under item 20 (a) and 2.5 units under item 20 (b). These units were consented to. They are allowed as claimed, although I would have thought that the examination for discovery of the plaintiff would have been longer than a half day, and the examination for discovery of the defendant, Mr. Schneider, would have been less than half a day. If the parties wish to make further submissions in writing with respect to those units, they have liberty to do so. If not, I allow units as claimed and consented to. The aggregate number of units for tariff items 19 (a), (b) and 20 (a) and (b) is 12 units.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allow 70 units under tariff item 34 for preparation for trial, 140 units under tariff items 35 for attendance at 14 days of trial, 1 unit under tariff item 40 for setting the proceeding down for trial, 5 units under tariff item 41 for process relating to entry of five orders, 5 units under tariff item 45 for attendance at a mediation and 3 units under tariff item 46 for preparation for that mediation. None of those units were contested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Lola Mondin, legal assistant employed by counsel for the plaintiff, has sworn an affidavit. She exhibited to the affidavit a Bill of Costs which was annotated by defence counsel, setting out the defendants' position with respect to the tariff items in dispute and disbursements in dispute. She then appended a color-coded exhibit and placed numbers beside all of the disbursements which were disputed. She then appended tabs to her affidavit numbered according to the numbering of the disputed disbursements. She also color-coded with green color-coding disbursements where there was an initial dispute but a subsequent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these reasons I will not comment on any of the green coded disbursements. They are allowed as set out in exhibit B to the Mondin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addition, the defendants' counsel agreed to the amounts claimed by the plaintiff for postage and handling, registered mail and video conferencing after they had reviewed the receipts. Those are allowed as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way the evidence of all of the contested disbursements has been assembled in the Mondin Affidavit is an excellent way of allowing both parties and the court to view the disbursement claims which are in issue and to view the evidence in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All of the disputed disbursements have been proven, in the sense that the backup documentation showing the amount has been properly exhibited. The disbursements have all been incurred and paid by the plaintiff or by counsel on behalf of the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Attendance at Sleep Study Clinic, Disputed items 1 and 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plaintiff claims the cost of travel from the plaintiff's residence by motor vehicle to Prince George Airport and then airfare from Prince George to Vancouver and taxi fare from Vancouver Airport to the sleep clinic and back as well as some meals.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At the time of the accident, Mr. Senner was residing in Kamloops. He lived on a small farm and in addition to his work as an RCMP officer was involved in farming. This is described in Hyslop J.'s reasons for judgment. In para. 324 of those reasons, Hyslop J. writes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[324] In time, Mr. Senner recognized that he could no longer farm due to his injuries. The last year he was on the Rayleigh farm, he hired a neighbour to hay his farm. He and his wife sold the Rayleigh farm and bought a house on three acres in Fraser Lake. They chose a house in which all living requirements were located on one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There was evidence that the plaintiff was from Fraser Lake, having moved there with his family when he was in grade 6 and graduated from high school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her reasons for judgment, Hyslop J. comments on sleep issues. It is apparent from those reasons that investigation of the cause of the sleep issues was necessary in order that the plaintiff's case be fully presented. The defendants' expert opined that the cause of sleep problems affecting the plaintiff was sleep apnea. Mr. Zak requested Dr. Minhas, a specialist in sleep disorders medicine, amongst other specialties, to conduct an independent medical evaluation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Dr. Minhas, after clinical examination on September 2, 2016, ordered an overnight polysomnogram performed on the plaintiff at the Surrey sleep laboratory on September 8,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Attending at the Surrey Sleep Clinic was necessary, based on issues at stake here. The test to determine whether a disbursement is necessary or proper is to consider the issue at the time it was incurred. I find that this disbursement and related disbursements are proper. It is apparent from the reasons for judgment of Hyslop J. that she factored in the sleep issues into her reasons and accepted that the sleep issues were caused by the motor vehicle accident - see for example para. 337 of her decision. She found that the plaintiff's poor quality of sleep is a result of chronic pain in his back, directly 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next issue is whether it is reasonable for the defendants to pay the entire cost of a disbursement. I determine that it is reasonable for the defendants to pay the entire cost of the flight, disputed item 41, in the amount of $460.25 plus applicable taxes, and a portion of the personal expenses, disputed item 1, which I allow at $225.00.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Charges Associated with Dr. Minhas, Disputed Items 23, 38, 39, 40 and 54</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For the reasons noted above, I find that it was necessary to retain Dr. Minhas.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Unsurprisingly, given that the opinion of Dr. Minhas directly contradicted the opinion of the defendants' expert, Dr. Solomons, Dr. Minhas was required to attend the trial for the purpose of cross-examination. In paragraph 90 of his second affidavit, Mr. Zak deposes to the importance of Dr. Minhas' evidence, the need to explain terminology, procedures, etc. Mr. Zak deposes that it was necessary for Dr. Minhas to attend the trial in person, and I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Dr. Minhas rendered an initial account in the amount of $6,300.00. The defendants submit that $3,150.00 is a reasonable amount to pay.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For attendance at trial, Dr. Minhas billed $6,720.00. His account was not particularly detailed. He charged $3,000.00 for expert testimony in court, $3,650.00 for court preparation and travel time and $70.00 for taxi fare to and from Vancouver Airport.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Dr. Minhas is a specialist in internal medicine and psychiatry in addition to sleep disorders medicine. His letterhead states that he is a diplomate of the American Board of Sleep Medicine, in addition to other professional designations.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It is often stated that experts charge what they charge, and this is especially so with experts who have significant expertise in highly specialized fields. Dr. Minhas fits that description. There can be a difference between what such an expert is undoubtedly able to charge for his services and what it reasonable for a defendant to pay.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allow $5,000.00 for the October 7, 2016 expert report, disputed item 23. I also allow $5,000.00 for the disputed item 38, the January 5, 2017 account rendered for Dr. Minhas' attendance at trial. I allow the disbursements for travel and for Coast Inn of the North, disputed items 39, 40, and 54 in the amounts claimed. Those are, respectively, $605.25, $178.20, and $865.25, plus applicable taxes if not included in those amounts.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JC WordAssist bill - $1,197.00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JC WordAssist prepared an expedited transcript of some of the evidence. The transcript was ordered after the trial in anticipation of this hearing. Mr. Zak, in submissions, has essentially conceded that in the circumstances this was extravagant, and it is disallowed.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Items Where Agreement Reached - Initially Disputed Items 5, 7, 8, 9 and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During submissions, item 5 was agreed to at $1,062.50, plus applicable taxes. It was agreed that Item 7 was not claimable and is disallowed. Item 8 is allowed as claimed at $8,120.00.Items 9 and 10 for production of records are allowed as claimed at $250.00 and $175.00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Zak has conceded that the initial claim for parking at the courthouse is not claimable and the claim for that parking at $107.00 is disallowed.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MRI Scan - Disputed Item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plaintiff's counsel had Mr. Senner attend for a private MRI scan on February 23,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In dealing with the propriety of ordering a MRI scan, Registrar Sainty in </w:t>
      </w:r>
      <w:r>
        <w:rPr>
          <w:rFonts w:ascii="arial" w:eastAsia="arial" w:hAnsi="arial" w:cs="arial"/>
          <w:i/>
          <w:color w:val="000000"/>
          <w:sz w:val="20"/>
          <w:lang w:val="en-US" w:eastAsia="en-US" w:bidi="ar-SA"/>
        </w:rPr>
        <w:t>Farrokhmanesh v. Sahib</w:t>
      </w:r>
      <w:r>
        <w:rPr>
          <w:rFonts w:ascii="arial" w:eastAsia="arial" w:hAnsi="arial" w:cs="arial"/>
          <w:color w:val="000000"/>
          <w:sz w:val="20"/>
          <w:lang w:val="en-US" w:eastAsia="en-US" w:bidi="ar-SA"/>
        </w:rPr>
        <w:t xml:space="preserve">, </w:t>
      </w:r>
      <w:hyperlink r:id="rId678" w:history="1">
        <w:r>
          <w:rPr>
            <w:rFonts w:ascii="arial" w:eastAsia="arial" w:hAnsi="arial" w:cs="arial"/>
            <w:i/>
            <w:color w:val="0077CC"/>
            <w:sz w:val="20"/>
            <w:u w:val="single"/>
            <w:shd w:val="clear" w:color="auto" w:fill="FFFFFF"/>
            <w:lang w:val="en-US" w:eastAsia="en-US" w:bidi="ar-SA"/>
          </w:rPr>
          <w:t>2010 BCSC 497</w:t>
        </w:r>
      </w:hyperlink>
      <w:r>
        <w:rPr>
          <w:rFonts w:ascii="arial" w:eastAsia="arial" w:hAnsi="arial" w:cs="arial"/>
          <w:color w:val="000000"/>
          <w:sz w:val="20"/>
          <w:lang w:val="en-US" w:eastAsia="en-US" w:bidi="ar-SA"/>
        </w:rPr>
        <w:t>, writes: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[44] I am going to disallow the claim for reimbursement for the two MRI scans. I cannot accede to Mr. Fahey's argument that simply because he, as counsel, thought it was necessary to obtain MRI scans I ought not to question that decision unless I find it to be extravagant or overly zealous. In my view, and I am going to expand on what Registrar Blok held in </w:t>
      </w:r>
      <w:r>
        <w:rPr>
          <w:rFonts w:ascii="arial" w:eastAsia="arial" w:hAnsi="arial" w:cs="arial"/>
          <w:i/>
          <w:color w:val="000000"/>
          <w:sz w:val="20"/>
          <w:lang w:val="en-US" w:eastAsia="en-US" w:bidi="ar-SA"/>
        </w:rPr>
        <w:t>Ward v. W.S. Leasing Ltd.</w:t>
      </w:r>
      <w:r>
        <w:rPr>
          <w:rFonts w:ascii="arial" w:eastAsia="arial" w:hAnsi="arial" w:cs="arial"/>
          <w:color w:val="000000"/>
          <w:sz w:val="20"/>
          <w:lang w:val="en-US" w:eastAsia="en-US" w:bidi="ar-SA"/>
        </w:rPr>
        <w:t xml:space="preserve">, </w:t>
      </w:r>
      <w:hyperlink r:id="rId680" w:history="1">
        <w:r>
          <w:rPr>
            <w:rFonts w:ascii="arial" w:eastAsia="arial" w:hAnsi="arial" w:cs="arial"/>
            <w:i/>
            <w:color w:val="0077CC"/>
            <w:sz w:val="20"/>
            <w:u w:val="single"/>
            <w:shd w:val="clear" w:color="auto" w:fill="FFFFFF"/>
            <w:lang w:val="en-US" w:eastAsia="en-US" w:bidi="ar-SA"/>
          </w:rPr>
          <w:t>[2007] B.C.J. No. 1323</w:t>
        </w:r>
      </w:hyperlink>
      <w:r>
        <w:rPr>
          <w:rFonts w:ascii="arial" w:eastAsia="arial" w:hAnsi="arial" w:cs="arial"/>
          <w:color w:val="000000"/>
          <w:sz w:val="20"/>
          <w:lang w:val="en-US" w:eastAsia="en-US" w:bidi="ar-SA"/>
        </w:rPr>
        <w:t>, to be allowed as a necessary and proper disbursement, there must be some medical reason for ordering an MRI. It is not simply enough that counsel seeks some (potential) objective evidence of an injury. Nor is it enough that counsel wishes to ensure that there is no latent injury such that his client might sign the standard release required. There is always a risk in personal injury litigation that a new injury or an injury that has not yet been determined might be found following settlement. That is simply a risk of litigation and a risk of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onus is on the plaintiff to prove propriety or necessity at the time a disbursement is incurred. With respect to this MRI, the evidence does not satisfy that onus. The disbursement is disallowed.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OT Consulting Chart Notes - Disputed Tariff Item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defendants concede that the chart notes disbursement is allowable apart from the courier charge, which the defendants submit is an extravagance, and I agree. The OT Consulting chart notes are allowed at $96.50.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Chart Notes of Dr. R. Powell - Disputed Tariff Item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These chart notes were charged at $150.00, inclusive of GST, although the tax was not broken out. The defendants submit that the charge of $111.90 is appropriate. It is apparent that the plaintiff was charged for the notes, it was proper to obtain them, but the GST should be factored out. I allow those as claimed, but initially factoring out the GST, so allowed at $142.86.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Disputed Medical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In submissions, defendants' counsel took me through the history of when various medical experts were retained. I have already dealt with the evidence of Dr. Minhas.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Dr. McKenzie is an orthopaedic surgeon. Dr. Koo is a physiatrist. No issue was taken with the propriety of retaining either of these two specialists, but issue was taken both with respect to the reasonableness of their fees and with respect to whether it was proper to order two reports from Dr. McKenzie.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Dr. Robinson is a neurologist. Dr. O'Breasail is a psychiatrist. Dr. Kaushansky is a neuropsychologist. Dr. Carmichael is a clinical and registered psychologist with expertise in post-traumatic stress disorder. These experts were retained in addition to Dr. Minhas who, as noted, is an internist, psychiatrist and specialist in sleep disorders.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defendants have submitted that it was neither necessary nor proper to retain Dr. Kaushansky, and have submitted that the reasonableness of all of his accounts is in issue.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Medical Reports and Other Medical Charges for Attendance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Dr. McKenzie is accurately described in the Zak Affidavit, as having "a well established reputation as an orthopedic surgeon" who "has been qualified as a medical expert in the field of orthopedics on many occasions in the Supreme Court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Mr. Zak deposes that "Dr. McKenzie's early review would form the foundation of how Senner's physical complaints would improve or deteriorate over time as the matter proceeded."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Dr. McKenzie provided a medical-legal report dated December 19, 2011 and rendered an account of $3,250.00.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On February 23, 2012, so approximately three months after the plaintiff saw Dr. McKenzie (which was on December 15, 2011), the plaintiff was examined by Dr. Koo, a physiatrist.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 have reviewed both reports; both the reports of Dr. McKenzie and Dr. Koo provide opinions respecting the plaintiff's condition shortly after he was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Defence counsel submits that in effect retention of both these experts was neither necessary nor proper at the time they were retained. Alternatively, he submits that it is not reasonable to expect the defendants to pay costs of both experts for their initial reports, which, when read together, provided a substantial amount of duplication.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When dealing with significant injuries, such as those sustained by the plaintiff, it may not be strictly necessary to retain both an orthopaedic surgeon and a physiatrist early on, but on the facts of this case I find that the retention of both those experts was proper. Both experts have significant qualifications, as set out in their reports which form part of exhibit 2 on this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 allow the two reports at $2,500 each; those are noted as disputed items 15 and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Dr. Koo made recommendations. His first recommendation was that the plaintiff "would likely benefit from neuropsychological assessement...". He goes on to set out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[r]ecommendation regarding cognitive rehabilitation, compensatory strategies, and the need for occupational therapy involvement for implementation of such recommendations, is deferred to the neuropsychologist interpreting his neuropsychological test results.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At page 14 of his opinion, Dr. Koo describes future risks and comments on symptoms of depression and post-traumatic stress symptoms, as well as ongoing sleep disruption and other future risks.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next medical report was from Dr. Robinson, a neurologist. The defendants took no issue with this report and it is allowed as claimed at $3,200.00.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Dr. Koo issued an invoice on June 5, 2014 for $3,465.38. This included a charge of $3,250.00 for an independent medical examination, $115.38 for a transcription fee and $100.00 for "office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In their initial submission, the defendants took the position that the initial retention of Dr. Koo should not be allowed at all as it was neither necessary nor proper, but with respect to the June 5, 2014 account, submitted that I should allow $3,240.00.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Dr. Koo rendered a further account on December 4, 2015 for $3,524.52.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As noted, I found it proper to retain Dr. Koo relatively early on. However, there was a follow-up in May of 2014 (the assessment was May 12, 2014; the report the same date), and then another assessment performed November 30, 2015. The multiplicity of assessments and reports was neither necessary nor proper. In his initial written position, counsel for the defendants submitted that I should allow $3,240.00 for the June 5, 2014 report and disallow in its entirety the December 4, 2015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It seems to me that obtaining a report updating the initial report in preparation for a mediation which was sought in January 2016 and took place on April 14, 2016, was proper. The obtaining of the May 12 assessment and report, billed June 5, 2014, was neither necessary nor proper. I allow the report invoiced by Dr. Koo on December 4, 2015 in the amount of $3,524.52 as claimed. I disallow the June 5, 2014 invoice. The obtaining of that May 12, 2014 report was a luxury for which the defendants ought not to have to pay.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Mr. Zak retained Dr. Mel Kaushansky, a neuropsychologist. He interviewed the plaintiff on October 13, 2011, so shortly after Mr. Zak was retained.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In the Second Zak Affidavit at paragraph 74, he deposes:</w:t>
      </w:r>
      <w:r>
        <w:rPr>
          <w:rFonts w:ascii="arial" w:eastAsia="arial" w:hAnsi="arial" w:cs="arial"/>
          <w:sz w:val="20"/>
          <w:lang w:val="en-US" w:eastAsia="en-US" w:bidi="ar-SA"/>
        </w:rPr>
        <w:cr/>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Due to the possibility of a closed head injury, leading to cognitive impairment, I engaged Dr. Kaushansky, neuropsychologist, to review Senner with regard to his complaints. Dr. Kaushansky has a well established reputation and has been qualified to give expert opinion evidence in the field of neuropsychology on many occasions in the Supreme Court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Dr. Koo also recommended that the plaintiff have a neuropsychological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Following the initial interview in which formal neuropsychological testing was also apparently done, Dr. Kaushansky interviewed the plaintiff in May of 2012, by telephone on June 11, 2013, and then again in May of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Dr. Kaushansky rendered an interim account on June 19, 2014 for $1,710.00, then a final account (not including his expert fee for attendance at trial) on January 12, 2016. That account was for $5,401.83.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Exhibit 8 in these proceedings is a letter from Dr. Kaushansky to Mr. Zak dated May 16, 2018. In that letter, Dr. Kaushansky sets out the role of a neuropsychologist, how that differs from neurology and general psychiatry, how there is interplay between cognitive environmental, psychosocial, psychological and emotional factors, and then a specific discussion of the plaintiff's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Dr. Kaushansky's initial account, which is referred to as an interim invoice and is dated June 19, 2014 for $1,795.50, is not broken down in any detail. However, his January 12, 2016 account is detailed. It includes travel expenses for the October 2011 interview, but bills no time prior to May 21, 2015. Time is billed at $340.00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At the time Dr. Kaushansky was retained, early on, it was proper to retain him. Dr. Kaushansky's reports are allowed as presented. The June 19, 2014 invoice is allowed at $1,710.00. The January 12, 2016 invoice is allowed at $5,401.83.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Dr. McKenzie provided an interim medical-legal report following an assessment on September 2, 2015. He then provided an addendum report on January 12, 2016 (two pages), which the defendants have not taken issue with. That report is allowed at $850.00.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Some of what was done by Dr. McKenzie was proper, in the sense that he reviewed clinical records from Dr. Carmichael, Dr. Carson, Dr. Collier, Dr. du Preez, Jason Morrison, and Welcome Back MRI. The interim report was unnecessary, however.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That sort of review would have been necessary prior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Dr. McKenzie charged $11,080.00 expert fee for attendance at trial. His fees are based on an hourly charge-out rate of $840.00 per hour. His account was attached as part of exhibit 1 and breaks down in detail what was billed, including preparation and review of records, for meeting with Mr. Zak, a review of new documents, a meeting with Mr. Zak, 1.5 hours reviewing records for trial preparation, reviewing of new documents and further records for 1.5 hours, reviewing new documents and having a teleconference with Mr. Zak for an hour, and then a half-day court appearance by video for which he charged $5,200.00.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 have previously commented that a fee an expert can command from the person who retains the expert may well be justified, but the defendants are only required to pay a reasonable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Charging $5,200.00 for a half-day court appearance, generally about 2.5 hours, is in excess of what is reasonable for a defendant to pay.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defendants submitted that I should allow $3,500.00 for the September 8, 2015 invoice, but nothing for the December 19, 2011 invoice.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Somewhat similar to Dr. Koo, I find it proper to have provided Dr. McKenzie with updated records, and had he not charged for their review on the September 8, 2015 account, they would probably have been charged in preparation for trial and the trial preparation time would have increased.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Given Dr. McKenzie's expertise, it is reasonable for the defendants to pay based on $600.00 an hour, including the time spent preparing for trial and 2.5 hours for attendance by videoconference. I allow his January 11, 2017 account at $5,700.00, which is somewhat more than the $4,596.00 submitted by defendants' counsel. In addition, I allow the September 8, 2015 invoice at half what is claimed at $2,250.00.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plaintiff also retained Dr. O'Breasail, a psychiatrist. Dr. O'Breasail saw the plaintiff on August 11, 2015 and provided a medical-legal report dated October 21,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defendants have not taken issue with Dr. O'Breasail's invoice of October 21, 2015 in the amount of $4,623.00. However, they have taken issue with his invoice of February 16, 2016, which was in relation to a rebuttal report he prepared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One of the two experts retained by the defendants was Dr. Solomons, a psychiatrist. Dr. Solomons' report dated March 26, 2015 comments on the plaintiff's history of emotional difficulties preceding the motor vehicle accident. At the bottom of page 13 of the report, it states: "His sleep disorder can fully account for his ongoing symptoms that include fatigue, irritability, headaches, low energy and stamina and reduced focus and attention." The next page sets out that Mr. Senner does not require any psychiatric treatment, but does require treatment for his sleep disorder. Dr. Solomons opines that the need for this treatment for sleep disorder is not 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Obtaining a rebuttal to that report was not only proper, but necessary. Dr. O'Breasail's account of February 16, 2016 is allowed as claimed at $1,407.00.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Dr. Koo testified at trial. His invoice sets out an hourly rate of $500.00 per hour. The invoice is detailed, sets out attendance for a half day of trial, an hour of trial preparation for a pre-trial meeting with Mr. Zak, three hours of pre-trial preparation, including report reviews, and a quarter hour of additional document review before trial. His account for attendance at trial is allowed as claimed at $3,784.00.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Dr. O'Breasail's account for attendance at trial is for substantially more at $5,423.00. His account is confusing. He bills $2,665.00 for a medical-legal report/court preparation and $2,758.00 as an expert witness in court/day. It would appear that there was 3.5 hours of preparation and 3 hours of travel. The defendants have submitted that I should allow $4,381.00 for his court attendance, and I agree. That is a reasonable amount for the defendants to reimburse the plaintiff, and so Dr. O'Breasail's attendance at trial is allowed at $4,381.00.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Dr. Kaushansky billed $2,871.00 for attendance at trial. His invoice sets out a meeting for an hour on December 9, 2016, review of new documentation for an hour, two hours of trial preparation and then a half-day court appearance for which he charged $1,500.00, plus a disbursement of $11.00 for parking. His hourly rate, as noted, is $340.00. It is reasonable for the defendants to pay that hourly rate and to pay for the preparation time, but unreasonable for the defendants to have to pay $1,500.00 for a half day of court. I reduce the amount claimed by $650.00 and allow the expert fee for Dr. Kaushansky's attendance at trial at $2,221.00.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Dr. McKenzie also rendered an invoice for a half hour meeting with Mr. Zak on February 10, 2016, for which he billed $420.00. I allow that consultation amount at $300.00.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Dr. McKenzie also charged a booking fee, which the plaintiff has agreed it will not pursue and so it is disallowed.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In preparation for trial, Mr. Zak met with Drs. McKenzie, Minhas, Kaushansky and Koo on December 7-9, 2016 and, during that time, also met with his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In his third Affidavit made and filed May 14, 2018, Mr. Zak deposed in paragraph 6:</w:t>
      </w:r>
      <w:r>
        <w:rPr>
          <w:rFonts w:ascii="arial" w:eastAsia="arial" w:hAnsi="arial" w:cs="arial"/>
          <w:sz w:val="20"/>
          <w:lang w:val="en-US" w:eastAsia="en-US" w:bidi="ar-SA"/>
        </w:rPr>
        <w:cr/>
      </w:r>
    </w:p>
    <w:p>
      <w:pPr>
        <w:numPr>
          <w:numId w:val="4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necessary to meet with my medical experts in advance of the trial to discuss the claim, review their reports and prepare them for the trial. I also wanted their respective views and assistance with my cross-examination of the defence medical experts, Dr. Solomons and Dr. Loomer.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He also deposed in paragraphs 8-9:</w:t>
      </w:r>
      <w:r>
        <w:rPr>
          <w:rFonts w:ascii="arial" w:eastAsia="arial" w:hAnsi="arial" w:cs="arial"/>
          <w:sz w:val="20"/>
          <w:lang w:val="en-US" w:eastAsia="en-US" w:bidi="ar-SA"/>
        </w:rPr>
        <w:cr/>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Senner had informed me that in light of his injuries, it was physically difficult and exhausting for him to travel by car any distance. One of his most disabling symptoms was that of overwhelming fatigue.</w:t>
      </w:r>
    </w:p>
    <w:p>
      <w:pPr>
        <w:numPr>
          <w:numId w:val="4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order to prepare my client for the trial of the action, I took advantage of those times when he was in Kamloops. I also arranged for him [to] fly to Vancouver during the time that I was there to meet with my medical experts to continue with his trial preparation.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He deposed in paragraphs 13-14:</w:t>
      </w:r>
      <w:r>
        <w:rPr>
          <w:rFonts w:ascii="arial" w:eastAsia="arial" w:hAnsi="arial" w:cs="arial"/>
          <w:sz w:val="20"/>
          <w:lang w:val="en-US" w:eastAsia="en-US" w:bidi="ar-SA"/>
        </w:rPr>
        <w:cr/>
      </w:r>
    </w:p>
    <w:p>
      <w:pPr>
        <w:numPr>
          <w:numId w:val="5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Carmichael's evidence was very important in relation to the opinions that had been expressed by Dr. Solomons. The defendants would later argue at trial that the accident was not the proximate cause of the plaintiff's psychological issues. Rather, they would submit that pre-existing symptoms associated with a toxic work environment and Senner's reaction to the death of several officers in the 2014 Moncton shootings were the cause of his mood disorder and the reason Senner had left the RCMP.</w:t>
      </w:r>
    </w:p>
    <w:p>
      <w:pPr>
        <w:numPr>
          <w:numId w:val="52"/>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necessary for [me] to meet with Dr. Carmichael to go through his clinical records and his report and prepare him for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Mr. Zak also deposed to the complexity of his client's injuries and other issues, and in paragraph 18 deposes:</w:t>
      </w:r>
      <w:r>
        <w:rPr>
          <w:rFonts w:ascii="arial" w:eastAsia="arial" w:hAnsi="arial" w:cs="arial"/>
          <w:sz w:val="20"/>
          <w:lang w:val="en-US" w:eastAsia="en-US" w:bidi="ar-SA"/>
        </w:rPr>
        <w:cr/>
      </w:r>
    </w:p>
    <w:p>
      <w:pPr>
        <w:numPr>
          <w:numId w:val="5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made arrangements to meet with Senner and his wife in Quesnel on December 27 and 28, 2017. We met in Quesnel to accommodate Senner's difficulty with travel. Half the time I spent with Senner alone preparing for trial. The other half I spent with Senner and his wife together to address several issues ranging from Kim Watt-Senner's observations of how the injuries had affected her husband to the issue of infidelity.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 defendants have submitted that those meetings, as well as a meeting with Dr. Carmichael on December 15, and a meeting with the client on December 27, 2016, are overhead.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It would have obviously been substantially more expensive for any of these doctors to travel for pre-trial preparation; that would not have been reasonable expenses.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Meeting with Lawyer re Trial Preparation - Items 2, 42, 43, 50 and 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As noted, the client initially resided in the Kamloops area, but moved to Fraser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In preparing for trial, the plaintiff and Mr. Zak met approximately half-way in Quesnel. The client incurred meal expenses totalling $135.00.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There are some expenses which are not reasonable in the sense that it is not reasonable to expect a losing litigant to pay those expenses. In submissions, it was apparent that a portion of these costs were for family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Expenses incurred where the client and lawyer are based in different places is a situation that often arises. The defendants ought not to be responsible for the expenses incurred by the client who initially lived close to his counsel, then moved and had to travel for meetings. The client meetings with counsel in Vancouver and Quesnel, items 2, 42, 43, 50 and 51 are disallowed.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 items claimed by Mr. Zak for his meeting with the experts was proper. I allow them globally, items 44 to 48, at $750.00 and tariff item 49, the meeting in Kelowna with Dr. Carmichael, as claimed at $121.06.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defendants have taken issue with airfare, and the initial notes mark that down as "overhead". I have already commented on Dr. Minhas' airfare. All of these witnesses testified. The expenses were incurred. All of the expert witness travel for trial under tariff items 52 through 61 is allowed as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 plaintiff retained Baker Materials Engineering, who rendered four accounts, none of which have been contested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To assist at trial, Mr. Zak also retained Forensic Dynamics to conduct a speed study and to meet with Mr. Zak to prepare for cross-examination of the defendants'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 speed study was not admitted at trial, although that is not the test. The test is whether it was reasonable at the time it was incurred.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 average speed of vehicles travelling in the direction the plaintiff was travelling would have had no relevance, and was why the report was not admitted. Even at the time it was commissioned, it was neither necessary nor proper. The Forensic Dynamics speed study invoice, tariff item 26, is disallowed.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In addition, Mr. Zak retained Mr. Sdoutz of Forensic Dynamics to assist with respect to cross-examination. The account is detailed and sets out that Mr. Sdoutz reviewed expert reports, met with Mr. Zak, reviewed other documents and expended substantial time, which he billed at $300.00 an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That is the sort of work which may have been of assistance, but would fall into the realm of luxury or over-zealousness. The Forensic Dynamics preparation for cross-examination, tariff item 27, is disallowed.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 plaintiff retained Associated Economics, who rendered four invoices totalling $6,925.00. The initial report was to provide cost of future care income loss multipliers. The second report was an economic loss report prepared for the mediation. The third report was an economic loss report and an update of cost of future case, and the fourth report was pre-judgment and post-judgment interest calculations.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In the Second Zak Affidavit in paragraphs 96-97, Mr. Zak deposes:</w:t>
      </w:r>
      <w:r>
        <w:rPr>
          <w:rFonts w:ascii="arial" w:eastAsia="arial" w:hAnsi="arial" w:cs="arial"/>
          <w:sz w:val="20"/>
          <w:lang w:val="en-US" w:eastAsia="en-US" w:bidi="ar-SA"/>
        </w:rPr>
        <w:cr/>
      </w:r>
    </w:p>
    <w:p>
      <w:pPr>
        <w:numPr>
          <w:numId w:val="5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course of this action, I requested Mr. Carson prepare the reports listed below:</w:t>
      </w:r>
    </w:p>
    <w:p>
      <w:pPr>
        <w:numPr>
          <w:numId w:val="5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report dated January 7, 2016 - Costs of Future Care. Attached as </w:t>
      </w:r>
      <w:r>
        <w:rPr>
          <w:rFonts w:ascii="arial" w:eastAsia="arial" w:hAnsi="arial" w:cs="arial"/>
          <w:b/>
          <w:color w:val="000000"/>
          <w:sz w:val="20"/>
          <w:u w:val="single"/>
          <w:lang w:val="en-US" w:eastAsia="en-US" w:bidi="ar-SA"/>
        </w:rPr>
        <w:t>Exhibit 28</w:t>
      </w:r>
      <w:r>
        <w:rPr>
          <w:rFonts w:ascii="arial" w:eastAsia="arial" w:hAnsi="arial" w:cs="arial"/>
          <w:color w:val="000000"/>
          <w:sz w:val="20"/>
          <w:lang w:val="en-US" w:eastAsia="en-US" w:bidi="ar-SA"/>
        </w:rPr>
        <w:t xml:space="preserve"> is a copy of the invoice dated January 19, 2016 in the amount of $1,225.00 towards which the defendants have offered $306.25.</w:t>
      </w:r>
    </w:p>
    <w:p>
      <w:pPr>
        <w:numPr>
          <w:numId w:val="56"/>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report dated October 7, 2016 - Economic Loss. Attached as </w:t>
      </w:r>
      <w:r>
        <w:rPr>
          <w:rFonts w:ascii="arial" w:eastAsia="arial" w:hAnsi="arial" w:cs="arial"/>
          <w:b/>
          <w:color w:val="000000"/>
          <w:sz w:val="20"/>
          <w:u w:val="single"/>
          <w:lang w:val="en-US" w:eastAsia="en-US" w:bidi="ar-SA"/>
        </w:rPr>
        <w:t>Exhibit 29</w:t>
      </w:r>
      <w:r>
        <w:rPr>
          <w:rFonts w:ascii="arial" w:eastAsia="arial" w:hAnsi="arial" w:cs="arial"/>
          <w:color w:val="000000"/>
          <w:sz w:val="20"/>
          <w:lang w:val="en-US" w:eastAsia="en-US" w:bidi="ar-SA"/>
        </w:rPr>
        <w:t xml:space="preserve"> is a copy of the invoice dated October 14, 2016 in the amount of $2,100.00 towards which the defendants have offered $525.00.</w:t>
      </w:r>
    </w:p>
    <w:p>
      <w:pPr>
        <w:numPr>
          <w:numId w:val="57"/>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report dated April 6, 2016 - Economic Loss - Report for Mediation. Attached as </w:t>
      </w:r>
      <w:r>
        <w:rPr>
          <w:rFonts w:ascii="arial" w:eastAsia="arial" w:hAnsi="arial" w:cs="arial"/>
          <w:b/>
          <w:color w:val="000000"/>
          <w:sz w:val="20"/>
          <w:u w:val="single"/>
          <w:lang w:val="en-US" w:eastAsia="en-US" w:bidi="ar-SA"/>
        </w:rPr>
        <w:t>Exhibit 30</w:t>
      </w:r>
      <w:r>
        <w:rPr>
          <w:rFonts w:ascii="arial" w:eastAsia="arial" w:hAnsi="arial" w:cs="arial"/>
          <w:color w:val="000000"/>
          <w:sz w:val="20"/>
          <w:lang w:val="en-US" w:eastAsia="en-US" w:bidi="ar-SA"/>
        </w:rPr>
        <w:t xml:space="preserve"> is a copy of an invoice dated April 7, 2016 in the amount of $3,375.00 for preparation of report towards which the defendants have offered $843.75.</w:t>
      </w:r>
    </w:p>
    <w:p>
      <w:pPr>
        <w:numPr>
          <w:numId w:val="58"/>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consultation to discuss case - Attached as </w:t>
      </w:r>
      <w:r>
        <w:rPr>
          <w:rFonts w:ascii="arial" w:eastAsia="arial" w:hAnsi="arial" w:cs="arial"/>
          <w:b/>
          <w:color w:val="000000"/>
          <w:sz w:val="20"/>
          <w:u w:val="single"/>
          <w:lang w:val="en-US" w:eastAsia="en-US" w:bidi="ar-SA"/>
        </w:rPr>
        <w:t>Exhibit 31</w:t>
      </w:r>
      <w:r>
        <w:rPr>
          <w:rFonts w:ascii="arial" w:eastAsia="arial" w:hAnsi="arial" w:cs="arial"/>
          <w:color w:val="000000"/>
          <w:sz w:val="20"/>
          <w:lang w:val="en-US" w:eastAsia="en-US" w:bidi="ar-SA"/>
        </w:rPr>
        <w:t xml:space="preserve"> is a copy of an invoice dated December 20, 2016 in the amount of $250.00. The defendants have offered to pay this invoice.</w:t>
      </w:r>
    </w:p>
    <w:p>
      <w:pPr>
        <w:numPr>
          <w:numId w:val="59"/>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prejudgment and post-judgment calculations - attached as </w:t>
      </w:r>
      <w:r>
        <w:rPr>
          <w:rFonts w:ascii="arial" w:eastAsia="arial" w:hAnsi="arial" w:cs="arial"/>
          <w:b/>
          <w:color w:val="000000"/>
          <w:sz w:val="20"/>
          <w:u w:val="single"/>
          <w:lang w:val="en-US" w:eastAsia="en-US" w:bidi="ar-SA"/>
        </w:rPr>
        <w:t>Exhibit 32</w:t>
      </w:r>
      <w:r>
        <w:rPr>
          <w:rFonts w:ascii="arial" w:eastAsia="arial" w:hAnsi="arial" w:cs="arial"/>
          <w:color w:val="000000"/>
          <w:sz w:val="20"/>
          <w:lang w:val="en-US" w:eastAsia="en-US" w:bidi="ar-SA"/>
        </w:rPr>
        <w:t xml:space="preserve"> is a copy of an invoice dated December 5, 2017 in the amount of $225.00. The defendants have offered $56.25.</w:t>
      </w:r>
    </w:p>
    <w:p>
      <w:pPr>
        <w:numPr>
          <w:numId w:val="60"/>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All services rendered by Mr. Carson were in my judgment as counsel necessary and proper for the conduct of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All of those reports I find to be proper. However, there was duplication. The defendants submit I should allow approximately $1,750.00. I allow the four reports globally at $5,000.00, which is a reasonable amount for the defendants to pay given what the economists were required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There appeared to have been some confusion with respect to charges being claimed which included GST versus charges claimed which did not include GST with GST then calculated subsequently.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If there is disagreement, plaintiff's counsel should re-draft the Amended Bill of Costs putting in the determinations made in these Reasons for Judgment with applicable taxes.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If there are any further issues arising, including with respect to entitlement to tariff items 29 and 30 and any consequential disbursement entitlement for the costs hearing, the parties have leave to set a further date to address those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R. McDIARMID</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7" style="position:absolute;z-index:2517944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81"/>
          <w:headerReference w:type="default" r:id="rId682"/>
          <w:footerReference w:type="even" r:id="rId683"/>
          <w:footerReference w:type="default" r:id="rId684"/>
          <w:headerReference w:type="first" r:id="rId685"/>
          <w:footerReference w:type="first" r:id="rId68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87" w:history="1">
        <w:r>
          <w:rPr>
            <w:rFonts w:ascii="arial" w:eastAsia="arial" w:hAnsi="arial" w:cs="arial"/>
            <w:b/>
            <w:bCs/>
            <w:i/>
            <w:color w:val="0077CC"/>
            <w:kern w:val="32"/>
            <w:sz w:val="28"/>
            <w:szCs w:val="32"/>
            <w:u w:val="single"/>
            <w:shd w:val="clear" w:color="auto" w:fill="FFFFFF"/>
            <w:lang w:val="en-US" w:eastAsia="en-US" w:bidi="ar-SA"/>
          </w:rPr>
          <w:t>Shoghi v. Lin, [2019] B.C.J. No. 2009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 Maisonville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27-31, June 3-7, 10-13, 19-21,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23,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M147884, M169600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2009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1818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Aidin Shoghi, Plaintiff, and Jin Min Lin and Su Min Pan, Defendants And between Aidin Shoghi, Plaintiff, and Sok Woo and Ideal Holdings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(347 paras.)</w:t>
      </w:r>
    </w:p>
    <w:p>
      <w:pPr>
        <w:jc w:val="both"/>
        <w:rPr>
          <w:rFonts w:ascii="arial" w:eastAsia="arial" w:hAnsi="arial" w:cs="arial"/>
          <w:sz w:val="20"/>
          <w:lang w:val="en-US" w:eastAsia="en-US" w:bidi="ar-SA"/>
        </w:rPr>
      </w:pPr>
      <w:bookmarkStart w:id="115" w:name="Counsel_33"/>
      <w:bookmarkEnd w:id="11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8" style="position:absolute;z-index:2516940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G.S. Hoff, J. Boyd.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in both actions: L.C. Boulton, K. Kuefler, Articled Student.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6" w:name="Judgment_33"/>
      <w:bookmarkEnd w:id="116"/>
      <w:r>
        <w:pict>
          <v:line id="_x0000_s1139" style="position:absolute;z-index:25174528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CHRONOLOGY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 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Personal History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Pre-Accident Employment History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Recreational Activities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Housework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Previous Motor Vehicle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FIRST ACCIDENT AND LIFE AFTER THE FIRST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First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Employment after the First Accident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Gap</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Simons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Health Leading up to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SECOND ACCIDENT AND LIFE AFTER THE SECOND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Second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Relationship with Ms. Neil following the Second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Employment after the Second Accident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Simons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Post-Simons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Health after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EXPERTS'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Medical Experts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Ramesh Sahjpaul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Stephen Anderson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Mark Adrian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Donald Cameron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Defendants' Medical Experts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Robin Rickards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Kulwant Riar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Functional Capacity Evaluators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Robert Gander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Paul Pakulak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Economic Experts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John Lawless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Tracy Witty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Darren Benning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 AWARDS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CAUSATION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Legal Principles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Application to the Facts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Analysis and Conclusion regarding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QUANTUM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NON-PECUNIARY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Legal Principles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Application to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PAST LOSS OF 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Legal Principles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Application to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FUTURE LOSS OF 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Legal Principles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Income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Application to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 OF FUTURE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Legal Principles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Application to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 TRUST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Legal Principles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Application to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 OF AWARDS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3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7" w:name="M.A. MAISONVILLE J."/>
            <w:bookmarkEnd w:id="117"/>
            <w:r>
              <w:rPr>
                <w:rFonts w:ascii="arial" w:eastAsia="arial" w:hAnsi="arial" w:cs="arial"/>
                <w:b/>
                <w:color w:val="000000"/>
                <w:sz w:val="30"/>
                <w:lang w:val="en-US" w:eastAsia="en-US" w:bidi="ar-SA"/>
              </w:rPr>
              <w:t>M.A. MAISONVILLE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Aidin Shoghi, seeks damages in respect of two separate motor vehicle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first accident occurred on December 27, 2012 (the "first accident"). The plaintiff was rear ended by the vehicle driven by Jin Min Lin and co-owned by Su Min Pan at the intersection of Highway 1 at Capilano Road in North Vancouver, BC. The defendants of the first accident admit liability but deny any damages resulting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second accident occurred on February 18, 2016 (the "second accident"). The plaintiff was driving eastbound on West Georgia Street in Vancouver, BC. When he entered the intersection of West Georgia and Jervis Street his vehicle was struck by a vehicle who failed to stop for a stop sign at the intersection. That vehicle was driven by driven by Sok Woo and owned by Ideal Holdings Ltd. Liability is similarly admitted for the second accident but the defendants deny any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As a consequence of the second accident, the plaintiff claims he suffered a concussion; injuries to his neck, shoulders, and back; headaches; exacerbation of pre-existing anxiety and depression; and aggravation of the injuries sustained in the first accident. The plaintiff claims general damages for both accidents. He also claims damages for loss of past and future income earning capacity, cost of future care, and an in trust claim for past and prospective services provided by his family and friends. He further seeks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CHRONOLOGY</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140" type="#_x0000_t75" style="width:396.06pt;height:586.58pt">
            <v:imagedata r:id="rId688" o:title=""/>
          </v:shape>
        </w:pict>
      </w:r>
      <w:r>
        <w:rPr>
          <w:rFonts w:ascii="arial" w:eastAsia="arial" w:hAnsi="arial" w:cs="arial"/>
          <w:sz w:val="20"/>
          <w:lang w:val="en-US" w:eastAsia="en-US" w:bidi="ar-SA"/>
        </w:rPr>
        <w:t xml:space="preserve">  </w:t>
      </w:r>
      <w:r>
        <w:pict>
          <v:shape id="_x0000_i1141" type="#_x0000_t75" style="width:387.05pt;height:586.58pt">
            <v:imagedata r:id="rId689" o:title=""/>
          </v:shape>
        </w:pict>
      </w:r>
      <w:r>
        <w:pict>
          <v:shape id="_x0000_i1142" type="#_x0000_t75" style="width:432.06pt;height:585.83pt">
            <v:imagedata r:id="rId690" o:title=""/>
          </v:shape>
        </w:pic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 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Personal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was born in Tabriz, Iran on August 1, 1976. He is 43 years of age. He is the oldest of four children and has a twin brother (Yashar), a younger brother (Okhtay), and a younger sister. He currently resides with his common law spouse, Ahsea Neil, and their two children now aged five and three.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plaintiff's family is of Turkish descent. The family practices the Baha'i religion. His parents had been immigrants to Iran. His first language is Azeri Turkish.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When he started school in Iran, the plaintiff learned Farsi. Following the Iranian revolution in 1979, the family immigrated to Ecuador in 1981, where the plaintiff attended school in Spanish. The plaintiff and his family came to Canada as refugees in 1988 and eventually became Canadian citizens. He began English schooling in the ESL program at Carson Graham Secondary in Grade 8 and graduated in 1994 with a solid "B" average.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plaintiff's partner, Ashea Neil, testified that she first met the plaintiff in October 2012 on a dating website. Ms. Neil says that when they first met, the plaintiff was fun, caring, loyal, compassionate, and generous. She described him as a hard worker and a stoic and competitive individual. They would spend time hiking and walking.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Pre-Accident Employment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1995, the plaintiff began taking university transfer courses at Capilano College, while also working at a stationery store in Capilano Mall in North Vancouver. He left after a year and a half to work at Aldo Shoes, where he obtained his first managerial job as a back of house manager doing inventory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2000 the plaintiff became an assistant manager for merchandising at a Winners store in Coquitlam. In 2002 he transferred to another Winners store in North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early 2003 the plaintiff started working for IGA Marketplace ("IGA") corporate. He received in-house management training for five months. Following his training he started working at an IGA corporate-owned store in New Westminster as an assistant manager.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2004 he transferred to work at the IGA located on Kingsway Street and Willingdon Avenue in Burnaby. While there, the manager left and he commenced working under an acting store manager, Renaldo Infanti. He had a good working relationship with Mr. Infanti and they became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2005 the plaintiff was briefly transferred to the IGA on Dunbar Street before transferring back to the Kingsway and Willingdon location. Around this time the plaintiff became friends with Stefan Guminski, another assistant manager at the store. The pair rock climbed together, and in late 2005 the plaintiff and Mr. Guminski were transferred to open up a new store in West Vancouver. The plaintiff was briefly transferred back to Kingsway before becoming a store manager in in West Vancouver in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2008, the plaintiff purchased an IGA franchise store in Port Moody. He paid himself $85,000 annually. He testified that did not make any profits on the store due to the nature of the franchise agreement whereby the franchisor could dictate how earnings were to be spent. In his case, all earnings were to be spent on capital improvements. He kept the store for three years and sold it back to the franchisor in the summer of 2011. He did not make any money on the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Following the sale of the IGA store, the plaintiff took a position as a store manager at H&amp;M in Metrotown, Burnaby in July 2011. His salary was $75,000 annually. He stayed in this position for two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then worked for a few days at Tamwood International School. He testified that he expected it to be an international sales job involving worldwide travel, and quit when he learned was a telemarketing position. He then took a position at a bagel company but worked there for only two weeks. He testified that he wanted a different position in the company and did not like the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next worked as a general manager at a Supervalu in Sechelt in early 2012 but again did not stay long. For the majority of 2012 he worked without pay for his father's sofa framing business. He then started working at the Gap in Metrotown as a general manager in December 2012 and was quickly promoted to a senior general manager at the store's Park Royal Shopping Centre location. He was working at the Gap at the time of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 number of witnesses testified about the plaintiff's work ethic prior to the accidents. One of the plaintiff's friends, Edis Besic, testified that he went to work for the plaintiff following the plaintiff's purchase of the IGA in Port Moody. He described the plaintiff as an excellent manager who was very dedicated to his work and wanted to succeed and wanted his staff to succeed. He also recalls the plaintiff working long hours six to seven days a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Likewise, Amir Akabarli testified that he first met the plaintiff when the plaintiff purchased the IGA store in Port Moody and worked as the general manager. Mr. Akabarli was a produce clerk. He testified that the store was struggling before the plaintiff began managing it. Sales had dropped and service was poor, but this changed when the plaintiff started working there. Mr. Akabarli testified that the plaintiff worked long hours. He was there from before the store was opened until after it closed. He said that, at that time, the plaintiff could lift anything and never complained about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Roxana Kankar worked with the plaintiff at the Gap and testified that the plaintiff never came to work early and never worked 12-hour days. However, because of the hours she worked, it would have been impossible for her to make the observations she claims to have made. I thus place little weight on her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Recreational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Numerous witnesses testified that the plaintiff was very involved in recreational activities prior to the accidents. The plaintiff started weightlifting in high school. Michale Kulik met the plaintiff when he first arrived in Vancouver. They grew up together and attended Carson Graham Secondary. He said that he and the plaintiff spent much time doing physical activities together. They would go to the gym, mountain bike, and play basketball and soccer. He testified that, prior to the accidents, he and the plaintiff would work out at the gym three to four times a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would also often lift at the gym with his brother twin brother Yashar and his younger brother Okhtay. Yashar testified at trial and noted that before the accidents the plaintiff was healthy and fit and could lift an incredible amount of weight in the gym. While twins, Yashar said that he (Yashar) is now noticeably fitter, heavier, and more muscular than the plaintiff. Pictures of the twins prior to the accidents were placed in evidence and reflect two individuals who looked remarkably similar.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addition to weightlifting, the plaintiff was introduced to rock climbing by Stefan Guminski, his co-worker at IGA, in 2006. Mr. Guminski and Mr. Infanti testified about their rock climbing experience with the plaintiff. The plaintiff became fairly proficient and went on rock climbing trips around North America. He also made regular climbing trips to Lighthouse Park and Squamish, and would climb indoors in gyms. At the time of the first accident the plaintiff had attained the ability to be a lead climber who picks the route and sets up protection for others in the group. He testified to spending well over $5,000 on rock climbing gear. Yashar testified that he does not recall the plaintiff ever rock climbing or skiing following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Yashar testified that the plaintiff was aware of how to properly lift heavy things at work and would show others how to do so safely. Yashar believes that the plaintiff had never injured himself at work prior to the first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Housework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Prior to moving in with Ms. Neil the plaintiff lived with his parents. Yashar testified that when he lived with his parents he would do all the cooking and helped significantly with cleaning and yard work. Okhtay similarly testified that the plaintiff would help out with buying and preparing food and with other household chores when he lived with his parents.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Previous Motor Vehicle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was in an accident in 2010. He was backing out of a parking stall at the time of the accident and had been assessed 100% at fault. He testified that he had no injuries from that accident. It was his experience, he testified, that motor vehicle accidents could occur where there would be little symptoms or one would recover quickly. In 2015, the plaintiff was in another motor vehicle accident where he was at fault for running a stop 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FIRST ACCIDENT AND LIFE AFTER THE FIRST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first accident occurred on December 27, 2012, at approximately 6:20 p.m. The plaintiff was driving a 2010 Honda Fit and was stopped at a traffic light facing southbound on Capilano Road in North Vancouver at the intersection of the ramp onto Highway 1. He says had been stopped for a few moments when he was rear ended without notice by a Land Rover Discovery driven by the defendant, Jin Min Lin.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testified that his vehicle was pushed forward in the collision and its rear bumper sustained significant damage. He noted that 28 hours of work was required in the repair shop.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defendant in the first accident was called as a witness. She denied that the plaintiff's car went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At the time of the first accident, the plaintiff was on his way to meet Ms. Neil at her apartment in East Vancouver. It was the beginning of their relationship, and the plaintiff testified that he wanted to carry on with his date arranged for that night. Since his vehicle was drivable, he continued to Ms. Neil's apartment from the first accident scene. The plaintiff told Ms. Neil about the first accident but they carried on to go for supper.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said that his body moved forward then backward in the collision, with his head hitting the headrest with force. He testified that his left arm was on the steering wheel at the time of the impact. He indicated that at dinner after the accident he had a headache, trouble focusing, and shoulder and neck pain and general stiffness. The next morning he noticed quite severe low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the week following the first accident the plaintiff continued his work as the general manager of the Gap, but did not do anything other than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Over the next month, the plaintiff said his symptoms did not go away and his shoulder pain got worse. He tried to go to the gym two weeks after the first accident but could not push, pull, or lift. He was not able to lift an empty 45-pound barbell, and attempting to do so caused pain to his left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Ms. Neil became very concerned and wanted the plaintiff to go to a doctor. She accompanied him to an appointment with Dr. M. Shahrokhi on February 2, 2013. Dr. Shahrokhi noted neck pain, low back pain, and shoulder pain which he described in his notes as "parascap". The plaintiff was told that he had soft tissue injuries and was given Tylenol 3s for pain. He was also prescribed physiotherapy and massage therapy. The plaintiff says he tried the Tylenol 3s but felt they did not do anything.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 testified that he saw another doctor on March 10, 2013, and he was sent for further tests, including an X-Ray, because he still had constant shoulder pain with pushing and pulling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 says he has not rock climbed since the first accident. He said he tried to continue with other activities, but was unable to do so. Yashar testified that he did not work out with the plaintiff for two months after the first accident, and when they went back to the gym the plaintiff could not work his shoulders or upper back at all. Mr. Besic likewise testified that the plaintiff was nowhere near capable of doing what he could do in the gym in the past after the first accident. Ms. Neil said that for the remainder of 2013 the plaintiff would try to go to the gym but could not lift and would come home and complain.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the year following the first accident the plaintiff sought massage and physiotherapy treatments for the pain in his neck and shoulder. He said that the treatments occasionally gave him some immediate relief but often made his pain worse. He paid for the treatments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 testified that he is a stoic person and that he had been taught not to show his emotions. He said he tried not to focus on his symptoms, but they began to wear him down over time. He testified that in mid-2013 he began to lose his appetite and stopped enjoying food.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 learned that Ms. Neil was pregnant in September 2013, and their son was born in July 2014. Ms. Neil underwent a difficult delivery and the plaintiff tried to assist as best as he could with cooking and cleaning. He testified that he felt he was of limited help because he usually would be upset coming home from work due to his constant shoulder pain. He said he was quick to anger and became very short tempered. Around the time their son was born, the plaintiff and Ms. Neil bought a house which they originally intended to renovate and live in but learned that it would be very costly. Consequently, they decided to rent out the house and never lived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 said that by 2014 his neck pain was improving but he had persistent left shoulder pain and a sense of weakness, numbness, and tingling in his hand. He said that his physical symptoms stayed the same throughout 2014 but his emotional feeling of flatness and sadness continued to worsen. He continued to experience difficulty with eating.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Employment after the First Accident</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The Gap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plaintiff continued to work at the Gap following the first accident. Ms. Neil said that the plaintiff continued to work a lot after the fist accident, going into work early and usually returning home after 6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 said he changed the way he lifted objects at work a result of the injury to his left shoulder. He would lift objects in a way which guarded and protected the use of his left shoulder, trying to approach the object from an angle and scooping it with his right arm so the right side of his body was doing all the lifting with his left arm just supporting that lift.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plaintiff had a work-related accident in November 2013. While lifting a box at work, he felt a sharp pain in his lower back and groin area. He attended Dr. Orng and a WorkSafeBC claim form was filled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 testified that he had to work some overtime at the Gap in late 2014 in preparation for a visit from the CEO. Given the plaintiff's difficulties in meeting the physical demands of his job, Yashar indicated that he used his professional connections to get the plaintiff a job offer at Banana Republic in early 2015. While the job at Banana Republic would have been less physical, the plaintiff was persuaded by his boss to remain at the Gap.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Ms. Neil had a cancer scare in early 2015, and the plaintiff told his boss that he wanted to take a month off work to care for her. Before taking this leave the plaintiff got a new boss, Jeff Wadden. When Ms. Neil found out that she did not have cancer, the plaintiff says he told Mr. Wadden that he would not need a leave of absence and would instead take some time off, using up the extra time he had saved up working over Christmas. He then went for a trip with Ms. Neil to Venice via Paris.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When the plaintiff returned he was questioned by Mr. Wadden as to why he had taken a trip to Europe on his personal leave of absence. The plaintiff told him that he had not taken a leave of absence and that what he did on his own time was none of the company's business. A confrontation ensued, and the plaintiff gave notice of his resignation.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Wadden testified at trial and said that he worked with the plaintiff for a short time and did not have a good opinion of him. He testified that when he learned that the plaintiff was on vacation, it did not coincide with his view that the plaintiff was on leave to care for his partner. Further, he felt that the plaintiff did not have a good work attitude and disliked the plaintiff's managerial style, indicating that he believed the plaintiff treated men and women differently.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On cross-examination, Mr. Wadden agreed that had only met the plaintiff on a few occasions. Given the short amount of time that Mr. Wadden interacted with the plaintiff, the difficult confrontation with respect to his leave, and the possibility of a misunderstanding, I do not give much weight to Mr. Wadden's evidence with respect to the plaintiff's style of work.</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Simons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After giving notice of resignation at the Gap in the summer of 2015, the plaintiff applied for an area supervisor position at Simons, an established department store in Québec which was opening a branch in Park Royal Shopping Centre in West Vancouver. He testified that the position required a university degree or equivalent experience. While he does not have a university degree, he has over 15 years of experience in retail management and believed he was qualified.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plaintiff's resume, submitted as part of his online application, was placed in evidence before the court. Under the heading "Education", the plaintiff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University of British Columbia</w:t>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Commerce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British Columbia Institute of technology</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Operations Management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University of British Columbia</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Mathematics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 was called in for a first interview with Marie Pascale Giroux in July 2015. The interview went well and he was called in for a second interview with Marie Christine Duval, who works in the human resources department. At the second interview he was asked to complete an additional employment application, which was completed by the plaintiff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Education Level, University or College, Name of Institution--UBC Diploma completed? "Yes".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Present Grade or Year of University--"Bachelor's".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Field of Study or Concentration--"Science".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Technical school--BCIT Diploma completed? "No".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High school--Carson Graham Diploma completed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plaintiff testified that he wrote "Yes" to the question "UBC Diploma completed?" because he was trying to indicate that he had completed a university transfer program at Capilano College to get into UBC. In the next field where he was asked what year he was in he wrote "Bachelor's" to convey that he was going to go back to university to attain a Bachelor's degree. He testified that at this point he believed he was enrolled at UBC. However, after he had secured the job, he said the Registrar's office advised him that he could not attain a degree by simply enrolling himself; first he had to be accepted by UBC. The plaintiff testified that he did not pursue this further because he was in training with Simons.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defendants called a number of Simons employees as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Ms. Giroux, who conducted the plaintiff's initial interview, testified that management-level positions at Simons require a university degree. Mr. Giroux said she assumed from the plaintiff's employment application that he had a university degree, and that he never told her he did not have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cross-examination, Ms. Giroux agreed that an applicant would not be disqualified if they didn't have a degree, but said that she would have conducted and interview differently. Rather than relying on the applicant's educational qualifications, the interview would focus on relevant work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Ms. Duval, who conducted the plaintiff's second interview, testified that the plaintiff never told her that he did not have a university degree. She said the plaintiff did not inform her that he was in the process of attaining a Bachelor's degree.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Julie Duchenes works in human resources for Simons Montréal downtown and was the person who extended a job offer to the plaintiff at $85,000 annually. She said he accepted the offer and seemed very excited. However, two days later he sent a lengthy email asking to be paid $95,000 per annum. Ms. Duchenes testified that she was taken off-guard and found it "very weird". She phoned Ms. Giroux about the incident and they agreed to give the plaintiff the benefit of the doubt.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do not accept the plaintiff's version of events in respect of his resume and find that he misrepresented his educational attainment. I find his application materials clearly convey that he had obtained a Bachelor's degree from UBC.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plaintiff testified that he thought the position at Simons would be less physically demanding than his job at the Gap, which ultimately was not the case. On December 2, 2015, the plaintiff hurt his back while lifting some boxes at work. He thought that the boxes would not be as heavy as they were, and he felt a sharp pain on the right side of his low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plaintiff testified that he filled out an incident report and kept working. He went to work the next day but was in pain and left half way through his shift. The plaintiff then saw Dr. Gan, who prescribed Naproxen and Flexeril. The plaintiff says he then filled out a WorkSafeBC application. He returned to work on December 15, 2015, on modified duties, but stayed home on WorkSafeBC benefits for approximately an additional two weeks after seeing a physiotherapist on December 21, 2015. He returned to work on a graduated return to work schedule in the second week of January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plaintiff testified that his pain was improving in January 2016 and he was working up to six hours a day. He stated that he had minor setbacks when he bent down or tried to lift something. WorkSafeBC indicated that, by March 12, 2016, the plaintiff would be completely back at work and no further WorkSafeBC benefits would be paid to him.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Health Leading up to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Ms. Neil noted that the plaintiff began making jokes about being suicidal in early 2016. She was concerned, and told him that he had to start seeing someone about his suicidal thoughts and moods as they were having an impact on her and their 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plaintiff saw Dr. Gan on January 12, 2016, and was diagnosed with depression and chronic pain. Dr. Gan was not called as an expert witness, but gave evidence of his interactions with the plaintiff. He noted that the plaintiff stated he had been struggling with depression for several years and his recent back injury and back pain compounded his depressive symptoms. The plaintiff indicated to Dr. Gan that he was worried he might do something "stupid" to himself, that he no longer found joy in relationships or interpersonal interactions, and that if he did not have his son, he would not see a point to living. The plaintiff told Dr. Gan that prior to the first accident he had been a very positive person, but things had become very difficult in the last two to three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Dr. Gan referred the plaintiff to Dr. Stephen Raycraft, a psychiatrist, for anxiety and depression. In addition, he started the plaintiff on a low dose of Escitalopram, an antidepressant, with gradual increase to a therapeutic dose.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At a follow up visit on January 29, 2016, the plaintiff was diagnosed with a major depressive episode by Dr. Gan was referred on an emergency basis to Dr. Stephen Raycraft. At this time Dr. Gan also wanted to do a trial of Effexor, another antidepressant medication, as the Cipralex was causing gastrointestinal problems. The plaintiff had not been able to take Effexor either, however, as it also resulted in gastrointestinal problems. Dr. Gan noted the plaintiff had passive suicidal ideation.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SECOND ACCIDENT AND LIFE AFTER THE SECOND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On February 18, 2016, at 2 p.m., the plaintiff was on his way home from work driving a 2013 Fiat 500 travelling eastbound along West Georgia Street in the left-most lane. He entered the intersection of West Georgia and Jervis Street when a Porsche Cayenne SUV travelling southbound on Jervis Street cut into his path of travel, causing an impact between the front bumper of his vehicle and the right side of the SUV.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plaintiff testified that the airbags of his vehicle deployed, causing the back of his head to be slammed forcefully into his headrest. His memory after that was not clear. He testified that he felt disoriented, confused, and "foggy". He remembers sitting on the curb and experiencing significant pain in his lower back, neck, left shoulder, and left pinky finger, which was later found to be fractured.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plaintiff was taken to St. Paul's Hospital by ambulance. He was seen by the emergency room doctor and was given a note indicating he was unable to go to work. He was further given a post-concussion protocol sheet but was not told he had suffered a concussion.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As a result of the second accident, the plaintiff says he sustained:</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headaches;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neck pain;</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aggravation of his left shoulder pain;</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low back pain;</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fractured left pinky finger;</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memory issues;</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mood issues;</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dizziness; and</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disorientation.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Ms. Neil testified that the plaintiff did not call her after the second accident. He showed up at home looking frail and shaky with a splinted finger, and told her he had been in an accident. He seemed confused and quiet. Ms. Neil said plaintiff simply came home the evening of the second accident, got undressed, had a shower and then went to his parents' home. The plaintiff's mother, Pattiverra Shoghi, said that the plaintiff seemed to her like he was drunk when he came to her home after the second accident. His brother Okhtay said that he looked pale and seemed confused and disoriented. Ms. Shoghi testified that the plaintiff did not stay long before going back to his home with Ms. Neil. She called Ms. Neil to advise her not to let him sleep as she was concerned he had a concussion.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Ms. Neil remembers that the plaintiff complained of dizziness and headaches on the evening after the second accident, and told her that at one point he had thrown up. He told her about the ambulance but did not tell her about the airbags being deployed until a few days later. That was when Ms. Neil learned the plaintiff's car was a write-off.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At the referral of Dr. Gill, one of the plaintiff's GPs, the plaintiff went to a one-day concussion clinic at G.F. Strong Rehabilitation Centre in April 2016. The plaintiff says that at this time he was experiencing memory difficulties, decreased concentration, headaches, nausea, balance difficulties, light sensitivity, dizziness, and noise sensitivity.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From April to August 2016, the plaintiff attended occupational therapy and physiotherapy sessions. He paid for these expenses himself and claims them as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plaintiff travelled with his twin brother to Boston in April 2016. From there, they drove to St. John, New Brunswick to look at an investment house. The plaintiff was cross-examined at length on his ability to do a road trip where he was the driver because his brother did not drive, given that he complained that he had to sit and stand intermittently due to his low back pain.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Relationship with Ms. Neil following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In 2016, the plaintiff and Ms. Neil were living in a one bedroom apartment in Olympic Village in Vancouver. He testified that his pain was dominating everything and he would complain to Ms. Neil about the untidiness of the apartment. They would end up in a fight. She testified that the plaintiff was very forgetful following the second accident. She felt that he appeared confused and was not able to follow a conversation and would misinterpret things.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March 2016 Ms. Neil became pregnant with their second child. Their relationship at this time was very tense. He testified that he now realizes he was not being supportive and was not helping out with any of the household chores.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plaintiff's daughter was born in October 2016. As with their son, it was a difficult birth. The plaintiff continued to be irritable and struggled to help his partner physically. He testified that his low back was sore everyday, he had headaches, his left shoulder always bothered him, and he was not exercising, socializing, or helping Ms. Neil with the tasks associated with raising their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Ms. Neil testified that the plaintiff seemed very detached when their daughter was born. The plaintiff had difficulty handling noises associated with their small children and would get mad at her if the children were loud. The plaintiff testified that around this time he was not eating properly and had lost much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He testified that during this period, he thought about killing himself but could not bring himself to act on his thoughts because of his children. He spent more and more time at his parents' home. The plaintiff and Ms. Neil separated in February 2017. They began living together regularly again in October 2018.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Employment after the Second Accident</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Simons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plaintiff returned to work at Simons on August 29, 2016, on a full-time basis. He testified he had to return full-time because an accommodated return to work schedule was not made available. He indicated that he struggled upon return and never felt 100% mentally present. He said that physical activity, including walking, bending, and lifting, irritated his lower back. When he went home he would argue with Ms. Neil. He nonetheless continued working up to August 17, 2017, without interruption, taking no time off as a result of injury. None of the Simons workers noticed the plaintiff struggling to perform his job duties, though his manager Joanne Perrault wanted the plaintiff to take it easy and be mindful of his back on his return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plaintiff testified that when he first returned to work after the second accident he had a sympathetic boss, Ms. Perrault, who watched out for him. Ms. Perrault testified that she would urge the plaintiff not to lift things or do anything to aggravate his injuries. She further described the plaintiff as one of the strongest area managers. Ms. Perrault was let go by Simons in June 2017, and the plaintiff said the new store manager did not provide him with the same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plaintiff was injured at work in April 2017 when a pipe burst in the alterations department, one of the departments he supervised. His legs were badly blistered. He reported the injury but continued to work and did not take time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plaintiff testified that he suffered a further work injury on June 26, 2017, when he was lifting some bins and aggravated his lower back. He asked the human resources manager about filing a WorkSafeBC claim but was told that he would not qualify for WorkSafeBC benefits because of his previous injuries from motor vehicle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plaintiff went on medical leave August 17, 2017, as a result of his cognitive symptoms and pain symptoms. He received 15 weeks of Employment Insurance ("EI") and medical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When he was off work, the plaintiff began to day trade stocks but lost in excess of $50,000 that year. He could not continue not making money and needed to return to paying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plaintiff wished to go back to work and testified that on November 13, 2017, he contacted his human resources manager at Simons and advised that his doctor supported him to return on a graduated return to work schedule. He stated that his doctor wanted him to see a kinesiologist to determine his functional limitations. Simons did not make a graduated return to work schedule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plaintiff testified that he then, on recommendation from one of his therapists, asked Simons if he could return to work using a Segway. They refused, indicating that it would be unsafe. Other recommendations for the plaintiff made by his therapists at this time included that he work a maximum of three days a week, eight hours a day; that he not lift any object weighing more than 25 pounds; that he take breaks as necessary; that he wear sport shoes instead of dress shoes; and that he should not be required to wear a suit 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When Simons refused to make a graduated return to work plan available, the plaintiff applied for a short-term disability coverage and received benefits for 26 weeks, from December 2017 to June 2018. These benefits were distributed on the basis that he was totally disabled. This exhausted the plaintiff's short-term disability coverage from Manulife.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When his Manulife benefits had ceased, he applied for WorkSafeBC benefits but was advised in June 2018 that he was not eligible as they determined that his inability to work was from the second accident. He also sought long term disability from Simons.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In August 2018, the plaintiff offered to return to work full-time without accommodation. Simons refused to permit the plaintiff to go back to work unless he had medical clearance. They indicated they needed the clinical records from the plaintiff's doctors, and were unwilling to accept him back to work full-time without medical confirmation of the plaintiff's ability to work. The plaintiff refused to provide this documentation, and thus did not return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A number of Simons' employees testified at trial. Anne Fortin became the plaintiff's human resource manager in April 2017 when Hetal Kanabar, the human resources manager for the West Vancouver store, went on maternity leave. Ms. Fortin testified that there were no complaints about the plaintiff's performance, but there were issues with his absences. She said that the plaintiff stopped by her office in August 2017 saying he was not feeling well. She sent him home. He took two weeks off and she paid him sick time. From there, he went on short-term disability. She tries to stay in contact with employees on leave and typically does so by telephone, but found she was only able to reach the plaintiff by email. As such, she says it was difficult to discuss the accommodations the plaintiff was seeking in the fall of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Ms. Fortin recalls in that the plaintiff asked to come back to work wearing sports shoes and no suit in November 2018. She decided to wait for a formal letter from the plaintiff's doctor before making any decisions.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Ms. Fortin testified that she never asked him what was causing his illness in August of 2017 or why he did not feel well. She said that March 2018 was the first time the plaintiff indicated that he was suffering from a workplace injury. She says that the incident report from what the plaintiff said was a workplace injury in August 2017 was missing and was not found until Ms. Kanabar returned from leave in June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Ryan Derakhashan, an employee of Simons, was called as a witness and testified that he started working with the plaintiff in January 2017 when he was promoted to area supervisor. He said that he was aware the plaintiff had been in car accidents and had been off work. He recalled the plaintiff being hard-working, honest, straightforward, and that he kept himself very busy and did not have a lot of time to waste. He stated that, compared to other managers' jobs, the plaintiff had the most physically demanding one. His duties included security, building maintenance, alterations, customer service, stock handling, and managing the café. Often the plaintiff would have to unload trucks with merchandise.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Mr. Derakhashan was aware that the plaintiff had chronic pain in his back, neck, and shoulder. He observed that the plaintiff would still do the work despite of his pain. He did not believe the plaintiff to be a complainer, but on occasion the plaintiff would mention that he had back pain. Mr. Derakhashan was also aware that the plaintiff had severely burned his leg in 2017 at work when a machine in alterations malfunctioned, and that he did not take any time off. He also recalls another work incident that involved the plaintiff kicking a bin but did not recall if the plaintiff took any time off for that occasion.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Post-Simons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In October 2018, the plaintiff applied for a number of jobs, including at Home Depot, Loblaws, and Hudson's at the Vancouver International Airport. He was offered a position that payed $120,000 a year at Hudson's, but declined the offer as he did not believe he could meet the mental and physical demands of the job due to his accident-related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In late 2018, the plaintiff took a position with Askew's Foods in Salmon Arm, BC. He testified that he intended to try the job and see if Salmon Arm was a community he could move to. When the position came up, he and Ms. Neil discussed her moving there as well, but she ultimately decided to wait and see if the job opportunity would work out. Ms. Neil thought Askew's, being a small family oriented business, would care more about the plaintiff's well-being, but she was not sure if he could do the job. Ms. Neil testified that the plaintiff would try working at Askew's and would move it if worked.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plaintiff soon found that he was having difficulty completing the tasks required of him at Askew's. He spoke with his employer in mid-March 2019 about reducing his hours to part time. He tried to come up with a way in order to keep his job at Askew's by job-sharing with his brother Yashar. His boss was not agreeable to this idea, and the plaintiff resigned from Askew's at the end of March 2019.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Yashar testified that since the plaintiff quit his job at Askew's he has been giving him between $500 and $1,000 a month and has no expectation of getting paid back.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Plaintiff's Health after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On February 20, 2016, Dr. Gan determined the plaintiff had likely suffered a concussion in the second accident. Dr. Gan was called as a witness at trial but was not qualified as an expert. He testified that this diagnosis was likely made on the basis of the symptoms the plaintiff was presenting.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At the same appointment, Dr. Gan recorded that the plaintiff had neck and back pain following the second accident. The plaintiff indicated that his neck pain had resolved one to two months after the first accident and had completely resolved prior to the second accident, but he had been left with ongoing left shoulder pain. Dr. Gan also noted that the plaintiff had depression and anxiety but he was unable to tolerate Effexor due to gastrointestinal upset. He referred the plaintiff to Dr. Stephen Raycraft, a psychiatrist.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plaintiff attended an appointment with Dr. Raycraft on February 22, 2016. Dr. Raycraft was also called as a witness at trial without being qualified as an expert. Dr. Raycraft observed that the plaintiff was experiencing anxiety and struggled with giving up many of the activities that were important to him after the first accident. Dr. Raycraft says he did not give the plaintiff advice on his medical legal matters, but testified that he advised the plaintiff he would feel better if he went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Dr. Raycraft recommended that the plaintiff receive long-term psychotherapy in respect of the motor vehicle accidents he was in and the other matters troubling him. He testified that the plaintiff should be seen at least twice a week for several years. I find Dr. Raycraft's treatment recommendations to be very onerous. In closing submissions, defence counsel did not argue that the plaintiff should have done psychotherapy with Dr. Raycraft given his very onerous and restrictive rules surrounding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Following the second accident, the plaintiff's mother says she noticed he was in more pain than before and he could no longer hide it. He would find a comfortable spot on the couch and stay there for hours. When he went back to work in the summer of 2016 she had not noticed any improvement in his condition. She has seen him have difficulties with activities involving his left shoulder. Ms. Shogi also noticed that the plaintiff is less tolerant and patient and has outbursts.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plaintiff saw his family physician a number of times in 2017 to help with his low back pain. During 2018 he continued to attend physiotherapy, focusing on his lower back which continued to improve. Mentally, however, he says he was noticing that he was unable to remember simple things. He was also very upset about not working, rock climbing, or working out as he had done before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Ms. Neil testified that when he was off work, she would see the plaintiff more frequently and co-parent their children. However, day-to-day, he was up and down emotionally. Ms. Neil testified that, physically, the plaintiff seemed to have deteriorated and began looking like an old man. She testified that he is no longer physically the man he used to be: his posture has deteriorated and he no longer does any recreational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plaintiff testified that he became extremely depressed in March 2019. One evening he contacted a crisis hotline after contemplating suicide and realizing the impact it would have on his children. Shortly after he saw a new doctor who prescribed an antidepressant, which caused nausea, diarrhea, stomach aches, and panic attacks. A new antidepressant drug was tried but the plaintiff did not tolerate it any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plaintiff has commenced seeing a psychologist, Dr. Owen James, and plans to see him on a weekly basis. The plaintiff is covering the cost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plaintiff continues to apply for jobs and has sent in applications for management position at Fossil and Rolex.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EXPERTS'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plaintiff tendered expert medical reports from Dr. Ramesh Sahjpaul, a neurosurgeon; Dr. Stephen Anderson, a psychiatrist; Dr. Mark Adrian, a physical medicine and rehabilitation specialist; and Dr. Donald Cameron, a neurologist. The defendants tendered expert medical reports from Dr. Robin Rickards, an orthopedic surgeon, and Dr. Kulwant Riar, a psychiatrist.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defendant also tendered an expert report from Robert Gander, a functional capacity evaluator and occupational therapist. The plaintiff responded with a report prepared by Paul Pakulak, another functional capacity evaluator and occupational therapist, who reviewed Mr. Gander's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Finally, the plaintiff tendered opinion evidence from John Lawless, a vocational rehabilitation consultant; Dr. Tracy Witty, a life care planner who prepared a report outlining future care costs for the plaintiff; and Darren Benning, an economist who also provided an opinion on future care costs.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Plaintiff's Medical Experts</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Dr. Ramesh Sahjpaul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Dr. Ramesh Sahjpaul is a neurosurgeon and was qualified to give evidence in the area of general neurosurgery and the treatment of spine, cranial injuries, brain injuries, and concussions. At the request of the plaintiff, Dr. Sahjpaul provided an expert report based on two meetings with the plaintiff, a physical examination, and a review of the plaintiff's medical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Dr. Sahjpaul noted that the plaintiff complained of ongoing shoulder pain and weakness since the first accident. He also noted that the plaintiff experienced neck and back pain after the first accident which resolved, though massage and physiotherapy treatments were not helpful.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plaintiff told Dr. Sahjpaul that he doesn't recall the actual collision or very much after the second accident, but that afterwards he had a headache and neck, shoulder, and low back pain. The plaintiff told Dr. Sahjpaul that the headache and neck pain eventually resolved and his shoulder returned to baseline, but his low back pain continued. He also told Dr. Sahjpaul that he had a concussion and reported impaired concentration and short term memory, mood swings, depression, anxiety, difficulty sleeping, and irritability, especially when in large crowds. At a second appointment the plaintiff stated that, due to his left shoulder pain, he had started to overuse his right shoulder. He said he has been having increased right shoulder pain for at least the last two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plaintiff told him that he had been injured at work twice, in November 2013 and in December 2015, and had planned to return to work in March 2016. He also noted he aggravated his back in July 2017 at the work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Dr. Sahjpaul noted that a CT Scan of the plaintiff's lumbar spine was performed in July 2017 and did not reveal any abnormalities. Upon physical examination, Dr. Sahjpaul noted that the range of motion of the plaintiff's neck was restricted in all directions by 50% of normal. While he could perform spinal flexion, extension, and rotation, those manoeuvers caused low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It was Dr. Sahjpaul's opinion that as a result of the first accident the plaintiff had suffered soft tissue injuries to his neck and low back and suffered pain as a result. As well, the plaintiff had an injury to his left shoulder and a possible injury to his left ulnar nerve at the level of the elbow, though he noted at trial that there was no evidence of such an injury upon physical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Dr. Sahjpaul opines in his report that the plaintiff sustained the following injuries in the second accident:</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significant aggravation of low back pain --myofascial [soft tissue] and mechanical;</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left hand injury (finger fracture);</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Headache--cervicogenic;</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Neck pain--myofascial and mechanical;</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Aggravation of pre-existing left shoulder injury --further comments are left to individuals that are more qualified;</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Symptoms consistent with concussion.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Dr. Sahjpaul noted that the plaintiff was not a candidate for neurosurgical intervention, but that he might benefit from an assessment in a pain management program, where he could potentially benefit from percutaneous injections and pain management strategies.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At trial, Dr. Sahjpaul noted that pain lasting longer than six months is described as "chronic pain syndrome". He opined that while the treatments he recommends may provide some degree of symptom reduction, resolution is not anticipated. In his experience, patients who have persistent symptoms beyond two years do not recover completely. He did not anticipate aggravation of the plaintiff's symptoms barring further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In addition to his opinion that the plaintiff was suffering from a chronic pain syndrome, Dr. Sahjpaul observed that the plaintiff had documented psychiatric disorders. He stated, "the presence of depression [and] anxiety may negatively impact his physical complaints." Dr. Sahjpaul stated in his report that further comments should be obtained from people more qualified in that area of chronic pain but he noted that based on his experience in chronic pain, there is an interplay between psychiatric and physical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With respect to the vocational implications, Dr. Sahjpaul stated that, given the plaintiff aggravated his back pain at work in July of 2017 and has not returned to work since, he likely will not be able to return to any manual labour type work. Dr. Sahjpaul opined that he may be able to do work that does not require repetitive lifting, twisting manoeuvres of the low back, or repetitive impact activities, or may be able to perform modified duties with those restrictions in mind. He indicated that jobs requiring prolonged sitting are also probably best avoided.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Dr. Sahjpaul also stated in his report that he does not believe that the plaintiff would be able to continue working as a store manager given the considerable difficulty he was having performing these job requirements. However, he agreed in cross-examination that the plaintiff did not tell him this. He also agreed with the suggestion put to him in cross-examination that the plaintiff could do a management job in sales where he could help coworkers.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Dr. Sahjpaul reviewed the report of Dr. Robin Rickards, an orthopedic surgeon who prepared an expert report on behalf of the defendants. Dr. Rickards diagnosed the plaintiff with soft tissue cervical and lumbar spine symptoms and mild Adhesive Capsulitis (frozen shoulder) on his left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Dr. Sahjpaul did not agree with Dr. Rickards' opinion on causation with respect to the plaintiff's low back symptoms. Dr. Rickards opined that the work-related accident was a significant factor in regards to the plaintiff's ongoing low back symptoms. Dr. Sahjpaul further disagreed with Dr. Rickards' opinion that, because the plaintiff waited until March 2013 (what he says was three months after the first accident) to seek medical attention, the plaintiff's shoulder injury was unrelated to the first accident. Dr. Sahjpaul would not comment further on the left shoulder symptoms, but indicated that his opinion on causation was not altered by the delay in medical 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Dr. Sahjpaul also disagreed with Dr. Rickards' opinion that the cervical and lumbar spine would be gradually expected to improve and resolve with no permanent difficulties. He restated his opinion that patients with spinal soft tissue symptoms that do not resolve within two years generally do not completely recover.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Dr. Sahjpaul was asked if he was aware that the plaintiff had been diagnosed with significant mental health issues. Dr. Sahjpaul agreed that Dr. Gan had diagnosed the plaintiff with depression but he would not agree that it was significant. Similarly, with respect to Dr. Raycraft's report, Dr. Sahjpaul would not comment on whether the depression diagnosed was significant given that he is not a psychiatrist.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When questioned about the cognitive symptoms resulting from the second accident, Dr. Sahjpaul testified that some of the symptoms of depression and concussion can overlap. For example, mood swings are observed both in patients with depression and patients with concussions. However, he testified that some symptoms do not overlap: short-term memory issues and difficulty with registration of new information are not observed in patients with depression.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Dr. Stephen Anderson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Dr. Stephen Anderson, a psychiatrist, was qualified as an expert in the field of psychiatry and chronic pain. At the request of the plaintiff he prepared an expert report and testified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Dr. Anderson reported that the plaintiff likely had a mild traumatic brain injury ("MTBI") as a result of the second accident, but there was no evidence that he has ongoing post-concussive symptoms. Dr. Anderson noted that the plaintiff scored below the normal range on a routine cognitive screening test during the assessment and that he has ongoing difficulties with concentration, memory, word finding, and multitasking since the second accident. Although it was possible that the plaintiff's cognitive difficulties are due to the residual effects of a MTBI, Dr. Anderson was of the opinion that they are more likely the result of pain, insomnia, fatigue, anxiety and/or depression. Dr. Anderson noted the plaintiff developed significant anxiety and depressive symptoms following the MVAs and likely reached his lowest point emotionally during the summer of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In addition to diagnosing a likely MTBI, Dr. Anderson was of the opinion that the plaintiff presented with severe generalized anxiety disorder ("GAD"), severe major depressive disorder ("MDD"), and moderate persistent somatic symptom disorder ("SSD") with predominant pain. Dr. Anderson explained in his report that persistent SSD with predominant pain is the new term for chronic pain disorder. Finally, Dr. Anderson noted that the plaintiff has driving fears but did not have sufficient symptoms to warrant a diagnosis of post-traumatic stress disorder ("PTSD").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Dr. Anderson was of the opinion that the plaintiff was not competitively employable at the time of the writing of both his reports. He noted that emotional changes following the accidents has placed strain on his relationships with family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Dr. Anderson was of the opinion that there is no evidence during the assessment of conscious secondary gain or malingering.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Dr. Anderson's initial report made a number of treatment recommendations.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He is of the opinion that the plaintiff requires a course of psychotherapy with a registered psychologist who has experience in treating chronic pain, anxiety, and depression. Dr. Anderson suggests that psychotherapy focus on teaching the plaintiff pain-coping strategies, anger management strategies, relaxation techniques, and cognitive behavioural therapy strategies for reducing his anxiety and depressive symptoms. Dr. Anderson set out in his report that the plaintiff should be seen for 15 to 20 sessions of cognitive behavioural therapy before reassessing the need for further treatment. He indicated there was a possibility that the plaintiff might require long-term psychotherapy at 10 to 12 sessions a year. Dr. Anderson further recommended couples counselling with the mother of his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Dr. Anderson suggested an assessment from a physiatrist (physical medicine specialist) and felt that the plaintiff would benefit from an exercise program under the direction of a kinesiologist or an experienced personal trainer. Dr. Anderson was of the opinion that regular aerobic exercise could be beneficial in improving the plaintiff's mood, energy, and sleep provided that it not worsen his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Dr. Anderson would prescribe a low dose of tricyclic antidepressant medication at night to reduce nighttime pain and improve sleep.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He suggested that the plaintiff be referred to a comprehensive multidisciplinary pain clinic where both physical and emotional factors affecting the plaintiff's pain can be addressed.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Dr. Anderson recommended that an occupational therapist assess the plaintiff to determine whether ergonomic interventions would be beneficial. An occupational therapist would also be qualified to teach him cognitive remediation strategies for improving concentration and memory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In terms of work, Dr. Anderson recommended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should ideally do sedentary, low stress work which does not exacerbate his pain or psychiatric symptoms. Mr. Shoghi will not likely be able to continue working at his present job much longer due to pain exacerbation, fatigue and increased anxiety and depressive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Dr. Anderson provided a further medical legal report following a second assessment on March 19, 2019. Following the reassessment, his opinion remained largely unchanged but he noted that the plaintiff' emotional state had a worsened since he had moved to Salmon Arm to manage Askew's. He once again recommended treatment with antidepressant medication and psychotherapy with a registered psychologist to stabilize his mood and prevent further deterioration.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Dr. Anderson's opinion on the plaintiff's long-term psychiatric prognosis was "guarded". He believes it is unlikely that the plaintiff will return to his pre-morbid level of emotional functioning as long as he has ongoing pain and functional limitations. While he defers to the opinions of physical medicine specialists for a prognosis regarding the plaintiff's physical symptoms, he believes the plaintiff's pain disorder is likely due to a combination of physical and emotional factors. He stated that patients with persistent SSD lasting for more than two years generally continue to be symptomatic despite treatment at a pain clinic. However, such treatment may teach the plaintiff better ways of coping with this pain and prevent pain from being the primary focus of his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Dr. Anderson was of the opinion that it is most likely the plaintiff's current difficulties are primarily the result of the two motor vehicle accidents. While he was of the opinion that the plaintiff likely had MDD by January 2016, prior to the second accident, he noted that the plaintiff did not have a psychiatric illness prior to the first accident. He felt it was unlikely that the plaintiff would have developed his present physical, cognitive, and emotional difficulties if he had not been injured in the two accidents. He would have been better able to cope with his work-related injuries in December of 2015 and July of 2017, and family stressors, including separation from his partner.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As well, the plaintiff had sustained a fire to his rental property in January of 2016. He was paid out for that loss. He denied that this event was a stressor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Dr. Anderson reviewed the report of Dr. Kulwant Riar, a psychiatrist, which expressed the opinion that the plaintiff's psychiatric prognosis was unrelated to the accidents. Dr. Anderson noted that Dr. Riar did not diagnose the plaintiff with a MDD or GAD, and was of the opinion that that the plaintiff was not "disabled" at the time of assessment. This conflicted with Dr. Anderson's opinion that the plaintiff had symptoms of severe MDD, severe GAD, and persistent SSD with predominant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In cross-examination, Dr. Anderson was asked about the details of the Montréal cognitive assessment test examination conducted on the plaintiff. Dr. Anderson noted that a score below 26 of 30 was a poor one given that the plaintiff had a university education. Dr. Anderson testified that he was aware the plaintiff did not have a university degree but had taken some university courses. He had assumed that the plaintiff had completed them. Dr. Anderson agreed that the plaintiff has an average IQ.</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Dr. Anderson was asked whether the plaintiff had compensation neurosis. Dr. Anderson did not think that the plaintiff was "faking". If the litigation had been resolved, the plaintiff might have done better with less stress and focus on the litigation. Dr. Anderson indicated that the plaintiff has a stoic personality and went to work at Askew's, which demonstrated his persistence.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Dr. Anderson testified that the plaintiff initially told him the job at Askew's was simple and should be "a piece of cake". However, when Dr. Anderson saw him the second time, the plaintiff told him that he was going to ask for accommodation. Dr. Anderson was cross-examined on whether he was surprised that the plaintiff went to obtain the job at Askew's. Dr. Anderson testified that he would have advised the plaintiff not to accept the job in Salmon Arm even though the plaintiff thought it would be less complicated than his previous employment at Simons.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Dr. Anderson noted that the plaintiff periodically cried throughout the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Dr. Anderson said that the plaintiff had told him he reached his lowest point emotionally in the summer of 2016. It was put to Dr. Anderson that it seemed difficult to accept that the plaintiff's lowest point emotionally was in the summer of 2016 given he had returned to work at Simons with no accommodation and no restrictions. Dr. Anderson's response was that the plaintiff should not have been working because he still had MDD.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In his evidence in court, Dr. Anderson indicated he became aware that the plaintiff had been prescribed antidepressants but could not tolerate them, and this has occurred approximately four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Dr. Anderson testified that he had not been made aware that the plaintiff had made a WorkSafeBC claim following the December 2015 workplace accident or that this claim stated that his work injury had resulted in a permanent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Dr. Anderson was also unaware of the plaintiff's request for a Segway or that he had asked for wardrobe accommodation (not wearing a suit). He was aware of the request to wear comfortable shoes.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Dr. Anderson agreed that he should have asked the plaintiff more about the opinion that he provided respecting self-care. He had no details on the plaintiff's inability to perform self-care, though he wrote that the plaintiff had difficulties with such activities.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Dr. Mark Adrian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Dr. Mark Adrian, a physical medicine and rehabilitation specialist, examined the plaintiff on October 1, 2018, and prepared a medical legal report at the request of plaintiff's counsel. He testified at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Dr. Adrian took a history from the plaintiff, who relayed that he had been in an earlier motor vehicle accident in 2008 but did not believe he sustained any injuries. He had not experienced any pre-accident concussions. He was physically active prior to the first accident, doing hiking, rock climbing, running, biking, and skiing, with no physical 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The plaintiff explained to Dr. Adrian his vehicle was rear ended and pushed forward in the first accident. The airbags did not deploy and he did not hit his head, but he "felt jolted" and began experiencing pain in his neck, left shoulder, and left arm within a few hours of the collision. He did not recall specifically having low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Following the first accident, the plaintiff's neck pain symptoms eventually subsided but he experienced ongoing pain in his left shoulder that spread to his left shoulder blade. He began to develop symptoms in his right shoulder, which the plaintiff believed was due to the fact that he avoided lifting and reaching with his left shoulder and compensated by using his right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Dr. Adrian reviewed the plaintiff's clinical records and noted a history of symptoms involving the neck, lower back area, and the left muscles that span the neck, shoulder blade, and shoulder. He could not specifically say if the plaintiff a history of symptoms involving the shoulder because certain clinical records were difficult to read. In particular he had difficulty deciphering the notes prepared on February 2, 2013, by Dr. Shahrokhi at a walk-in clinic, Healthwise Medical Clinic.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Following the first accident, the plaintiff explained that he was injured at work in December 2015 when he was lifting and experienced symptoms involving his lower back. Dr. Adrian explained at trial that the plaintiff did not go into detail about the December 2015 injury. Following the injury, Dr. Adrian noted that the plaintiff filed a WorkSafeBC claim and was participating in a graduated return to work program, working four to five hours per day with near full duties. By early February 2016 the plaintiff's low back symptoms had resolved and he was planning to return to work full-time.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According to Dr. Adrian, the plaintiff did not have a detailed recollection of the events of the second accident and only had a vague recollection of the actual impact. The plaintiff recalled his body being lifted off the seat during the course of the second accident and dropped back into the seat. He believes he struck his head against the headrest. The plaintiff also relayed that he believed the airbags deployed.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While in the hospital following the second accident, the plaintiff reported experiencing a headache, lower back pain, left hand pain, neck pain, pain involving one of his thighs, and bilateral shoulder pain. Dr. Adrian noted from his review of the ambulance crew record that the plaintiff's symptoms included lower back pain but that the notes were difficult to read. There were also comments of symptoms involving the hand and the back. Dr. Adrian noted that the hospital records indicated that the plaintiff was experiencing symptoms involving the right aspect of the neck and mid-line neck pain, head, left hand, right lower back, and the right thigh, and an indication that the plaintiff denied losing consciousness. There were comments in reference to of an X-Ray showing a mallet finger.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The plaintiff stopped going to work after the second accident. He attended a family physician on February 20, 2016, where he complained of difficulty sleeping, light-headedness, and headache. Dr. Adrian testified that the plaintiff told him that, since the second accident, he was experiencing ongoing psychological and cognitive symptoms. Dr. Adrian noted that this area was not his area of expertise, though he wrote in his report that the plaintiff told him he was having ongoing problems with short-term memory, concentration, irritability, depression, low motivation, difficulty with coping, and loss of "resilience".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Dr. Adrian noted that the plaintiff returned to work at Simons on a full-time basis in the summer of 2016. In June or July of 2017 the plaintiff experienced a flare-up of his lower back pain while lifting at work, and went off work in August 2017. He has not returned to Simons since. Following his lifting injury in the summer of 2017 the plaintiff explained to Dr. Adrian that his lower back symptoms had mostly improved but had not returned to the level experienced prior to the flare-up and the work injury of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At the physical examination on October 1, 2018, the plaintiff had increased kyphosis curvature of his spine but this was not related to the accidents. The plaintiff had full range of motion and his neck was able to perform pain-free flexion, extension, and rotation. He had painful and restricted range of motion of his lower back at 75% of normal. Forward and backward bending was restricted due to central lower back pain. He was tender over the base of his lumbar spine and over both sacroiliac joints.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The plaintiff had a painful range of motion of both of his shoulders. The O'Brien's test triggered lateral shoulder pain in both shoulders, which is consistent with symptomatic rotator cuff disorder. The plaintiff was tender over the top part of each shoulder joint area. There was no tenderness of any other areas apart from the top of the shoulder. There was pain in the left pinky finger that showed a flexion and adduction deformity (can't straighten his finger out) of the distal interphalangeal joint.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Dr. Adrian wrote in his report that the plaintiff developed psychological and cognitive symptoms following the accidents. In cross-examination, he agreed that that was what the plaintiff had told him. His opinion was that the plaintiff had suffered physical forces to the tissues of his left shoulder and lower back during the course of the accidents, resulting in injury and the following diagnoses:</w:t>
      </w:r>
      <w:r>
        <w:rPr>
          <w:rFonts w:ascii="arial" w:eastAsia="arial" w:hAnsi="arial" w:cs="arial"/>
          <w:sz w:val="20"/>
          <w:lang w:val="en-US" w:eastAsia="en-US" w:bidi="ar-SA"/>
        </w:rPr>
        <w:cr/>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Mechanical lower back pain;</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Left shoulder rotator cuff tendinopathy/bursitis; and</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Left hand small digit fracture, distal phalanx.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Dr. Adrian noted that mechanical lower back pain is likely the result of damaged spinal tissues. While diagnostic imaging revealed some degenerative changes, he believed these changes were age related and were likely unrelated to the plaintiff's pain. Such changes are common in the asymptomatic adult population.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Regarding causation, Dr. Adrian was of the opinion that it is unlikely the plaintiff would have developed persistent and physically limiting low back pain absent the second accident. While he had experienced symptoms involving his lower back following a lifting injury at work, he had returned to work and anticipated resuming a full-time schedule. Dr. Adrian stated that the plaintiff's history of pre-second accident symptoms involving his lower back likely made it vulnerable to injury. Dr. Adrian opined that the lower back injuries which occurred in the second accident were likely aggravated by the 2017 episode 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Dr. Adrian was of the opinion that the plaintiff's left shoulder pain was a result of the first accident. The plaintiff did not have any problems with his shoulder prior to the first accident, and he indicated that, during the first accident, he was reaching forward and holding onto the steering wheel when he was struck from behind. He began experiencing shoulder pain shortly after the accident, and the symptoms have persisted ever since. Dr. Adrian believes the plaintiff likely suffered physical injuries to the tissues of his left shoulder during the first accident, which have resulted in chronic left shoulder pain and symptomatic tendinopathy and bursitis.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Respecting the left hand pain and the fracture, Dr. Adrian believed the plaintiff's ongoing left small digit pain and stiffness with forceful gripping and weather changes were causally related to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Dr. Adrian opined that the plaintiff's right shoulder pain was likely not directly related to the injuries he suffered in the first accident. Since the plaintiff did not begin experiencing right shoulder pain until months to a year after the first accident and has indicated that he compensated due to his left shoulder pain by using his right upper extremity more than usual, his right shoulder pain is likely related to overuse.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On prognosis, Dr. Adrian stated that, in his experience, individuals suffering symptoms beyond two years from the injury are unlikely to experience further meaningful improvement. He noted that the plaintiff experiences regular ongoing physically limiting pain in his lower back and left shoulder as well as ongoing left hand symptoms. Given that over two years have elapsed since the accidents, the prognosis for further recovery of the injuries suffered in the accidents is poor. He opined that it is unlikely that the injuries suffered in the accidents will undergo progressive deterioration over time. However, the plaintiff's left shoulder, hand, and lower back are vulnerable to injury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Dr. Adrian recommended that the plaintiff continue with an independent exercise program to maintain his fitness. He indicated that the plaintiff should continue with physical therapy, as traction treatments provide temporary relief and allow him to manage his pain more effectively and without medication. Finally, Dr. Adrian suggested that the plaintiff would benefit from consultation with a vocational counsellor or occupational therapist to determine suitable employment opportunities based on his injuries, interests, physical limitations, and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At trial, Dr. Adrian agreed he was aware that the plaintiff was not experiencing low back pain during his graduated return to work following his December 2015 workplace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Respecting the first accident, Dr. Adrian testified that the plaintiff told him he was experiencing his symptoms within hours, but he did not explain why he waited over a month to seek medical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Dr. Adrian was aware that the plaintiff wanted to go back to work at Simons without restriction and without a graduated return to work in July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Dr. Adrian seemed hesitant in giving his evidence and struggled to answer questions asked in cross-examination. For example, Dr. Adrian was unable to say whether the plaintiff experienced sudden pinching or the gradual onset of pain over a few days when he injured his back at work. Dr. Adrian wrote "[h]e attempted to continue his work but missed time from his employment", but did not know how many days were missed.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Dr. Donald Cameron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Dr. Donald Cameron, a neurologist, provided an independent medical examination and testified at trial at the request of counsel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The plaintiff told Dr. Cameron that he had no pain immediately after the first accident but developed shoulder and back pain after about 24 hours. He advised Dr. Cameron that he experienced left shoulder pain for about three years after the accident, and that rotator cuff exercises did help his pain. Dr. Cameron made a note that the plaintiff sought help two weeks after the first accident. The plaintiff sought medical help respecting the first accident on February 2, 2013, one month six days from the date of the first accident (December 27,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The plaintiff told Dr. Cameron that following the second accident that he experienced low back pain, headaches, left pinky finger pain, pain in his legs, photophobia, phonophobia, decreased memory, decreased self-esteem, decreased self-confidence, decreased concentration, decreased attention span, decreased libido, decreased appetite, and anxiety and depression. The plaintiff also reported that his relationship with Ms. Neil was strained due to irritability, mood swings, anger outbursts, and anxiety following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Dr. Cameron was unsure of the date the plaintiff reported that he was suffering from decreased self-esteem to his health professional.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Dr. Cameron was of the opinion that the plaintiff suffered soft tissue and musculoskeletal injuries involving his back and shoulder in the first accident. Pain and discomfort rendered him partially disabled for a period of three years following the first accident. He returned to normal functioning ability, but was limited with respect to recreational activities and work-related activities which aggravated his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It was Dr. Cameron's opinion that the plaintiff had not suffered any injury to his central nervous system or peripheral nervous system in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Following the second accident, it was Dr. Cameron's opinion that the plaintiff likely suffered an altered state of consciousness or a brief loss of consciousness, as he had an incomplete recollection of the accident. Dr. Cameron thus felt that Mr. Shoghi fulfilled criteria for to make a diagnosis of MTBI, which was likely sustained during the second accident. Dr. Cameron further believed it was likely the plaintiff had developed symptoms of post traumatic brain injury syndrome following the MTBI. Symptoms of post traumatic brain injury syndrome include a decrease in memory, decreased self-esteem, decreased self-confidence, decreased concentration, and decreased attention span.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Dr. Cameron diagnosed the plaintiff with MTBI. Dr. Anderson had expressed it as likely that he had MTBI.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Dr. Cameron reported that the plaintiff was unable to remain at work because he was making too many mistakes. However, I note that no such evidence was presented by the witnesses from Simons.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Dr. Cameron noted that the plaintiff had not suffered from clinical depression prior to the accidents but now had increased symptoms of depression, particularly following the second accident. He was of the opinion that the plaintiff's psychological problems are a major contributing factor to his ongoing cognitive complaints. He stated that it is very difficult to distinguish cognitive complaints caused by a MTBI from those resulting from chronic pain and the symptoms of depression. Dr. Cameron indicated that, if the plaintiff's symptoms of depression resolved, any residual cognitive problems could be attributed to MTBI.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Dr. Cameron noted that the plaintiff was not being followed by a psychiatrist or psychologist or taking antidepressant medication at the time of assessment. He recorded that the plaintiff was suicidal about eight months following the second accident, and recommended ongoing psychiatric care and psychological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Dr. Cameron was of the opinion that patients continue to improve for approximately two years following a physical injury, including a traumatic brain injury. Since the assessment occurred more than two years after the second accident, it was probable that the plaintiff's ongoing chronic pain would be permanent. He also believed that any MTBI-related cognitive problems would be permanent.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Dr. Cameron was of the opinion that, as of the date of assessment, the plaintiff was "completely disabled" and unable to return to work at his previous job or an equivalent job due to ongoing psychological and cognitive problems and chronic pain. He was of the opinion that the plaintiff may be able to work full-time in an alternate job with less responsibility, or return to work in a job similar to that he held at Simons but in a part-time position.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Defendants' Medical Experts</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Dr. Robin Rickards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At the request of counsel for the defendants, Dr. Rickards, an orthopedic surgeon, examined the plaintiff on February 5, 2019. The plaintiff presented to Dr. Rickards with constant low back pain, right and left buttock pain, and intermittent right and left shoulder pain. The plaintiff indicated that he never had any difficulties with his low back or shoulder areas before the accidents. The plaintiff told Dr. Rickards that the pain in his low back area is aggravated by prolonged sitting or standing and when lying flat on his back. His pain improves with stretching and changing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Dr. Rickards diagnosed soft tissue symptoms of the cervical and lumbar spines and mild adhesive capsulitis of the left shoulder (i.e. frozen shoulder). He noted that a loss of mobility in the shoulder join will cause significant interference with activities and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Dr. Rickards noted that the timing of the onset of neck symptoms suggested that it was causally related to the first accident. However, he observed that the plaintiff did not seek medical attention until February 2013. Dr. Rickards noted that it would be unusual for a patient to wait so long to seek medical aid in the event of an acute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Dr. Rickards made minimal findings on clinical examination of the plaintiff's shoulders, and felt full resolution of symptoms was likely with a structured range of motion exercise program. He did not anticipate permanent difficulties, and surgery was not required. He was of the opinion that it was not likely the shoulder symptoms were related to either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Dr. Rickards noted that on November 30, 2013 the plaintiff indicated to his doctor that he had twisted his back at work two weeks prior and was presenting for a WorkSafeBC claim due to persisting pain in his low back and right hip. Dr. Rickards had obtained this information in a letter from defence counsel. Dr. Rickards noted that the plaintiff injured his lower back again after returning to work following the second accident. He was of the opinion that these workplace accidents "are likely significant factors in regards to ongoing low back symptoms," though they may be related in part to the motor vehicle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Dr. Rickard recommended nonsteroidal anti-inflammatory medication and muscle strengthening to address the plaintiff's soft tissue injuries in his cervical and lumbar spine and his frozen shoulder. An exercise program directed by a personal trainer, along with self-directed exercise, would also be beneficial.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Dr. Rickard was of the opinion that the plaintiff's soft tissue injuries would heal with the appropriate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He testified that the soft tissue injuries would be expected to heal with the appropriate treatment, being nonsteroidal anti-inflammatory medication and muscle strengthening to address the shoulder girdle, neck, low back, and pelvic girdle musculature. As well, an exercise program directed by a personal trainer for between one to three sessions would assist, with the patient continuing with the exercise sessions independently for four to six sessions per week. Dr. Rickards stated this treatment would also be appropriate for the plaintiff's left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In regards to the left shoulder, Dr. Rickards described that the treatment process would be for six-and-a-half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In his testimony, Dr. Rickards indicated that there was no evidence to suggest the plaintiff would not be able to continue as a store manager. He based his opinion in part on the fact that there were no shoulder complaints until one month six days following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Dr. Rickards was asked in cross-examination about plaintiff's statement that he had not been injured since the motor vehicle accidents. Dr. Rickards replied that he asked the plaintiff more than once whether there were injuries or accidents since the motor vehicle accidents. The plaintiff never discussed the work place incidents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Dr. Rickards reviewed the records of Dr. Shahrokhi, the doctor the plaintiff first consulted about his shoulder pain. He noted that Dr. Shahrokhi had observed left parascapular pain. Dr. Rickards agreed in cross-examination with the following:</w:t>
      </w:r>
      <w:r>
        <w:rPr>
          <w:rFonts w:ascii="arial" w:eastAsia="arial" w:hAnsi="arial" w:cs="arial"/>
          <w:sz w:val="20"/>
          <w:lang w:val="en-US" w:eastAsia="en-US" w:bidi="ar-SA"/>
        </w:rPr>
        <w:cr/>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plaintiff told him that his left shoulder symptoms started immediately after the first accident;</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 period of two months had not elapsed between the first accident and his attendance at Dr. Shahrokhi's office, as he had noted in his report. The accident occurred December 27, 2012, and the plaintiff attended Dr. Shahrokhi's office on February 2, 2013;</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parascapular pain can result in weakness in pulling and pushing and decreased mobility in the shoulder;</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if the plaintiff's evidence that the shoulder pain started immediately after the first accident is believed, then the first accident and the shoulder symptoms are related in cause-and-effect.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Dr. Rickards also agreed that a certain percentage of the population will not see a doctor if they have pain even where the pain is serious. He also agreed that the second accident was a significant contributing factor in the plaintiff's ongoing low back symptoms. Finally, he agreed there was a reasonable prospect that the plaintiff's shoulder symptoms may be chronic in nature and will never get better since they have now existed for six-and-a-half years.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Dr. Kulwant Riar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Dr. Kulwant Riar, a psychiatrist, provided an independent medical legal report at the defendants' request after assessing the plaintiff on January 9, 2019. He conducted a two-hour interview with the plaintiff and reviewed his clinical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Dr. Riar summarized the plaintiff's history as follows. Dr. Riar believed the plaintiff suffered musculoligamentous strains in both accidents. He noted that the plaintiff's symptoms after the first accident settled within a few months and he continued to function in his life. He took note of the plaintiff's workplace injuries, which occurred in November 2013 and December 2015. Dr. Riar noted an injury to the plaintiff's left little finger in the second accident. His little finger healed but he continued to complain of other pain and attended physical treatment during the first half of 2016. The plaintiff then did not seek any treatment until June 2017, following a workplace injury. From August 2017 forward, he had significant problems with back pain. The plaintiff's back pain continued for some time, and he was off work until December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Dr. Riar indicated that the plaintiff discussed his experiences of emotional distress during the interview. The plaintiff described feeling anxious after the second accident, particularly when driving, when in crowded spaces, and when overstimulated. He also reported feeling depressed. His feelings of depression started after the first accident and continued after the second.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Following his interview with the plaintiff, Dr. Riar was of the opinion that the plaintiff had a somatic symptom disorder ("SSD") of a mild to moderate degree, with pain as a prominent feature. Since the plaintiff did not display the typical symptoms of a head injury, he was not of the opinion that the plaintiff had suffered a concussion or a MTBI. He stated that the plaintiff's lack of awareness after the second accident was most likely related to the acute stress of the event rather than a concussion.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Dr. Riar did not believe the plaintiff had PTSD or any driving-relating phobia.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He felt the plaintiff had symptoms consistent with "either unspecified anxiety disorder or adjustment disorder with anxiety":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felt his depression has been that of adjustment disorder with depressed mood. His social anxiety, cognitive complaints and behavioural dysfunction are part and parcel of his anxiety and depression rather than any stand alone disorders.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Dr. Riar was of the opinion that the SSD he diagnosed was caused by the plaintiff's December 2015 work injury and was likely aggravated by the second accident. He formed this opinion on the basis that the plaintiff's SSD was more marked for the eight to nine months after the second accident before settling. It was aggravated again in June 2017 after a workplace injury. Dr. Riar was of the opinion that the plaintiff did not suffer symptoms of SSD after the first accident and if he did, they were very mild and not causing significant problems. He believed that the re-emergence of his SSD in the middle of 2017 had little to do with the accidents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Dr. Riar was of the opinion that the plaintiff's SSD was aggravated and perpetuated by his anxiety, depression, personality profile, and other social stressors, especially from June 2017 onward.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Dr. Riar was of the opinion that the plaintiff's anxiety following the second accident was a result of the plaintiff's generalized or nonspecific anxiety disorder rather than any emotional trauma from the second accident. Dr. Riar's believes the plaintiff was experiencing anxiety and depression prior to the second accident, which continued afterwards. While he believes the second accident likely aggravated the plaintiff's anxiety and depression for a short while, the plaintiff would have continued to have those symptoms absent the accident. This is evidenced by the relapse of those disorders in the middle of 2017 due to various social stressors.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Dr. Riar noted that the plaintiff had been prescribed three antidepressant medications, but the doses were not optimized. He further noted that the plaintiff attended psychotherapy for seven sessions, but that no psychiatric or psychological treatment was pursued after the spring of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Dr. Riar recommended that the plaintiff continue to perform his active exercises. Respecting psychiatric intervention, Dr. Riar recommended psychotherapy and psychotropic medication. He recommended that the plaintiff be referred to a psychiatrist, and if that was not possible that his family doctor prescribe medication, starting with small dosages to be optimized depending on the benefit and the side effect profile. Finally, Dr. Riar recommended that the plaintiff attend a psychologist for 10 to 12 one-hour sessions.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Dr. Riar was of the opinion that resolving the stress of the litigation by settling it would enhance the plaintiff's recovery by reducing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Dr. Riar did not believe that the plaintiff was disabled at the time of his review of January 9, 2019. He was guarded about the plaintiff's psychiatric prognosis over the next four to six months, but believed that with the appropriate interventions his functioning could markedly improve. In terms of a long-term prognosis, Dr. Riar believed the plaintiff would eventually achieve remission from his present symptoms. However, Dr. Riar believes that the plaintiff is likely to have recurring episodes of anxiety and depression under stressful situations. Dr. Riar states "this has to do with his constitutional vulnerability rather than any effect of the accident." I find it difficult to understand how the doctor made this determination. If by this statement he means that people with mental illness are weaker than others or somehow are responsible for their illness, I do not accept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Dr. Riar was of the opinion that once the plaintiff's anxiety and depression symptoms improved, then there would be improvement in his SSD as he would have a better ability to deal with his residual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Dr. Riar was cross-examined extensively, particularly on the diagnostic criteria of MDD. He admitted that if the plaintiff's evidence of his depression was to be believed, then he met the criteria for MDD. In addition, Dr. Riar conceded that the plaintiff has GAD.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With respect to the SSD, Dr. Riar's evidence on cross-examination was that his rationale for concluding that the plaintiff's symptoms had resolved within months of the accident was related to the fact that the plaintiff did not consistently seek treatment.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Functional Capacity Evaluators</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Robert Gander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The plaintiff was seen by Robert Gander, a functional capacity evaluator and occupational therapist in January 2019 at the defendants' request. Mr. Gander performed a functional capacity evaluation ("FCE") on the plaintiff. He indicated that a FCE is intended to evaluate an individual's physical abilities and limitations through a battery of standardized tests measuring capacity to perform selected work and daily activities. In addition to relying on the findings of the standardized tests he administered, Mr. Gander based his findings on a comprehensive interview, a review of medical correspondence, and his observations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Mr. Gander took comprehensive notes on the plaintiff's history. He noted the plaintiff's current complaints were of headaches, constant bilateral shoulder and low back pain of variable intensity, intermittent bilateral hip region pain of variable intensity, and occasional pinky finger pain. He also noted that the plaintiff complained of poor sleep, altered emotional status, and cognitive limitations. The plaintiff advised Mr. Gander that his left shoulder is "about the same" but his right shoulder has become worse over the last one-and-a-half to two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Mr. Gander was of the opinion that psychophysical constraints at times prevented the plaintiff from demonstrating his full strength capacity. He nonetheless found that the plaintiff passed a physical effort analysis, meaning his functional capacity could be accurately determined. Mr. Gander found that the plaintiff had a tendency to underestimate some of his abilities, in particular his standing and loadbearing capacity. The plaintiff's report that his standing tolerance is limited to less than an hour conflicts with Mr. Gander's observation that he was able to remain on his feet for multiple hours during the FCE. Likewise, the plaintiff was able to effectively perform lifting and lowering exercises that he stated he was not able to do. This leads Mr. Gander to conclude that the plaintiff has a tendency to overstate his level of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Mr. Gander further opines that the plaintiff was at times unable to demonstrate his full physical capacity during testing. He believes this is the result of the plaintiff's tendency to underestimate his physical capabilities. Despite this, Mr. Gander noted that the plaintiff's report of the symptoms he experiences match objective measures of his functioning and observations of his behaviour. These observations, coupled with the fact that the plaintiff passed reliability tests, indicated to Mr. Gander that the plaintiff's tendency to overstate his disability is likely influenced by his perception of vulnerability or another emotionally-based factor.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Given the plaintiff's tendency to overestimate his level of disability and to underestimate his physical capacity, it is Mr. Gander's opinion that the results of the objective functional testing should be emphasized for determinations for determinations over the plaintiff's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It is Mr. Gander's opinion that the plaintiff's low back pain, and to a lesser extend his bilateral shoulder pain, decrease his physical capacity. Mr. Gander opines that the plaintiff's current lifting capacity does not meet the requirements for past jobs he held at the Gap or Simons, but that he has the physical capacity to perform his job at Askew's. Mr. Gander notes that in his new job at Askew's the plaintiff is able to delegate certain jobs to coworkers or request assistance during certain tasks, and otherwise has the capacity to do the work. It is Mr. Gander's opinion that the plaintiff is capable of working full time so long as the work he performs remains within the bounds of his measured physical 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Mr. Gander believes that the plaintiff's target employment to work as an area or district manager would be advantageous from a physical capacity standpoint because it involves less physical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Mr. Gander opined that the plaintiff is likely not optimally managing his symptoms and mood, and would benefit from education on pain management and sleep strategies. He notes the plaintiff presents with mild cognitive limitations, and indicates that he defers to a physician or psychologist for opinions regarding the possible origins of the plaintiff's cognitive 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Mr. Gander had no opinion on causation.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Paul Pakulak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Mr. Pakulak is an occupational therapist and certified work/functional capacity evaluator. He prepared a report on behalf of the plaintiff in response to the assessment and opinions contained in Mr. Gander's FCE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Mr. Pakulak opines that Mr. Gander's interpretation of testing results were, for the most part, interpreted appropriately. However, Mr. Pakulak takes issue with Mr. Gander's opinion that psychophysical constraints precluded the plaintiff from realizing his full physical capacity. Mr. Pakulak believes this conclusion is inconsistent with Mr. Gander's observation that the plaintiff displayed high physical effort during testing. Mr. Pakulak further noted that some guarding during physical activity is natural out of a fear of aggravating symptoms, and believes Mr. Gander should have made additional efforts to determine whether the plaintiff's guarding behaviour was reasonable in the context of the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Mr. Pakulak further disagrees with Mr. Gander's conclusions regarding the plaintiff's ability to work at Askew's. He notes Mr. Gander's finding that the plaintiff demonstrates the capacity to complete his work relies in part on the fact that he can delegate physically demanding tasks to his coworkers. Mr. Pakulak generally agrees with this conclusion, but notes the plaintiff reported concerns that his store may reduce staff, impacting his ability to delegate tasks, to Mr. Gander. Since the plaintiff's ability to delegate tasks is essential to sustain his work, Mr. Pakulak believes further inquiries into potential changes in the plaintiff's work environment and the impact they would have on future physical demands of the work are warranted.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Finally, Mr. Pakulak disagrees with Mr. Gander's opinion that the plaintiff's employment target of eventually working as an area or district manager would be advantageous from a physical capacity standpoint. He notes Mr. Gander indicated that he plaintiff does best when he is able to move about. While Mr. Pakulak agrees that the plaintiff's target employment would involve a decreased level of reaching, lifting, and dynamic body positioning, Mr. Gander did not state that such a position would also likely require significantly longer periods of sedentary work with much less opportunity to change positions.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Economic Experts</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John Lawless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At the request of counsel for the plaintiff, John Lawless, a vocational rehabilitation consultant, prepared a report after administering a vocational test battery on the plaintiff on January 15, 2019.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Mr. Lawless reviewed the plaintiff's employment history and noted that he had owned and successfully operated an IGA franchise store and worked in senior management positions in retail, earning up to $99,900 per year. Mr. Lawless opined that the plaintiff's strong attainment and employer accolades prior to the accidents boded well for him. Regarding the plaintiff's pre-injury vocational prospects, Mr. Lawless indicates that the plaintiff could have continued to advance in the retail industry, though his prospects would have been further improved had he completed a relevant degree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Mr. Lawless notes that the plaintiff had earned $99,900 in the year before his second accident while working at Simons. His most recent in income was projected to be $80,000 per annum at Askew's. Mr. Lawless noted the plaintiff's past work as a retail trade manager and in the grocery business. Mr. Lawless believed the plaintiff is not capable of reaching, handling, lifting, and bending, and therefore not suited for jobs involving such movements.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In opining on the plaintiff's post-injury vocational prospects, Mr. Lawless noted the opinions of Dr. Anderson and Dr. Cameron indicating the plaintiff is not completely employable. He noted that the plaintiff was, at the time of their meeting, managing Askew's and receiving a salary of $80,000 per annum, but indicates he believes the plaintiff's concern that the position would not work out is valid. Given his difficulties since the accidents, Mr. Lawless felt the plaintiff could not succeed as a retail manager given the physical and cognitive requirements of such a position. Instead, Mr. Lawless was of the opinion that the plaintiff might be able to handle more junior occupations in retail sales, specifically as a retail supervisor or salesperson.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Mr. Lawless noted that the plaintiff's vocational testing indicated an interest in an accounting clerk-type occupation. He indicated that such an occupation can be pursued by completing a one-year, part-time program through Douglas College at the cost of $4,300, but that he would not recommend the plaintiff undertake such an endeavour given his present cognitive, physical, and emotional 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Finally, Mr. Lawless noted that the plaintiff's difficulties put him at greater risk of further unemployment or underemployment. While it is impossible to predict an individual's future risk of unemployment and underemployment, Mr. Lawless indicates that disabled persons are, on the whole, less attached to the workforce.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Mr. Lawless was unclear on some points, notably with the plaintiff's purchase of an IGA store franchise. Mr. Lawless was of the view that the sale of the business back to IGA corporate made a profit, however the plaintiff in fact did not profit from the sale back to IGA corporate.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Dr. Tracy Witty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The plaintiff was assessed by Dr. Witty, an occupational therapist and certified life care planner, of Turning Point Rehab. She prepared a report outlining future care cost for the plaintiff at the request of his counsel. One difficulty with Dr. Witty's evidence is that Ms. Neil also works at Turning Point Rehab. It was not known to Dr. Witty that Ms. Neil was the mother of the plaintiff's children and in a relationship with him until after the report was prepared. For that reason, I find that the conflict did not impact Dr. Witty's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Dr. Witty testified at trial and was qualified as an expert to give opinion evidence in the area of occupational therapy, life care planning, and the cost of future care. She noted the primary impairments the plaintiff had on assessment were pain and impaired mental functioning. She noted the plaintiff's previous diagnoses of neck, low back, and shoulder pain; headaches; persistent SSD; and MTBI. She further noted the plaintiff experiences fatigue; impaired attention and memory; and disrupted emotional, perceptual, and higher level cognitive functioning as a result of a MTBI.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I note that the plaintiff was never conclusively diagnosed with a concussion, though Dr. Anderson and Dr. Cameron opined that he had possibly sustained a MTBI.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Based on her assessment of the plaintiff, Dr. Witty recommended that the plaintiff should have ongoing access to a combination of therapies and comfort measures. She opined that access to these therapies and measures will help to ensure optimal pain management and participation in a balance of work-life activities including socializing, leisure, and parenting, and will increase the plaintiff's likelihood of sustaining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Dr. Witty concurs with Dr. Anderson's recommendation that the plaintiff would benefit from attending a multidisciplinary pain clinic. Treatment at such a clinic is full-time, and would require the plaintiff to take five to six weeks off from work. She further agrees with Dr. Anderson's opinion that the plaintiff would benefit from antidepressant medication and from a gym and pool pass. Given his past success with physiotherapy, Dr. Witty indicates that he should continue to have access to these treatments on a monthly to bi-monthly basis. She states he would also likely benefit from a home neck traction device and monthly massage therapy. She recommends that the plaintiff begin a structured exercise program with a kinesiologist, starting with an initial 48 sessions over a four-month period and gradually reducing to a maintenance level of two sessions per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Based on her observation that the plaintiff demonstrated a poor sitting tolerance, Dr. Witty recommended ergonomic seating at home and work, and suggested an ergonomic office chair and a zero gravity recliner.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Dr. Witty further recommended a number of therapies to assist the plaintiff, including: nutritional consultation to assist the plaintiff with his appetite; consultation with a speech pathologist and occupational therapist for cognitive rehabilitation; and vocational counselling to assist with navigating occupational challenges.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Finally, Dr. Witty opined that the plaintiff would require seasonal homemaking assistance if he were to move back into a condo (at the time of the assessment he was living in a hotel in Salmon Arm). She also recommended a provision for child care up to 40 hours per month until his youngest child is 11 years 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Dr. Witty summarized the plaintiff's costs of future care needs as follows:</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143" type="#_x0000_t75" style="width:432.06pt;height:228.78pt">
            <v:imagedata r:id="rId691"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I note that Dr. Witty was incorrect in reporting on some aspects of the plaintiff's past, notably in the area of education. She indicated that he had been attending UBC and stopped on entry into third year because he found it difficult to juggle between work and school, and wanted to focus on work. As noted by the defendants, there is no evidence of the plaintiff completing courses at UBC.</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Darren Benning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Mr. Darren Benning, an economist, provided a present value of cost of future care report dated March 1, 2019, in which he estimated the present lump sum of the plaintiff's future care expenses based on Dr. Witty's report to be $357,617.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 AWARDS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In all, the plaintiff claims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705"/>
        <w:gridCol w:w="470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w:t>
            </w:r>
          </w:p>
        </w:tc>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future earning capacity</w:t>
            </w:r>
          </w:p>
        </w:tc>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$1,464,445 to $1,523,028</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loss of earning capacity</w:t>
            </w:r>
          </w:p>
        </w:tc>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$149,022</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 of future care</w:t>
            </w:r>
          </w:p>
        </w:tc>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$357,617</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$6,403</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$2,177,487 to $2,236,070</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The plaintiff also seeks costs, disbursements, and court-ordered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As liability has been admitted, the issues remaining for determination are:</w:t>
      </w:r>
      <w:r>
        <w:rPr>
          <w:rFonts w:ascii="arial" w:eastAsia="arial" w:hAnsi="arial" w:cs="arial"/>
          <w:sz w:val="20"/>
          <w:lang w:val="en-US" w:eastAsia="en-US" w:bidi="ar-SA"/>
        </w:rPr>
        <w:cr/>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motor vehicle accidents cause or contribute to any of the plaintiff's injuries?</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any of the plaintiff's injuries were caused by the motor vehicle accidents, what is the appropriate measure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Credibility and reliability of the plaintiff is central to the determination of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CAUSATION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xml:space="preserve">  The onus is on the plaintiff to establish on a balance of probabilities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both his injuries and the resulting losses. The general test for causation is the "but for" test, which requires a plaintiff to show that the injury for which they seek compensation would not have occurred but for the defendant's tortious act: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30"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paras. 13-14. The "but-for" test recognizes that compensation for negligent conduct should only be made where a substantial connection between the injury and the defendant's conduct is present: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162"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at paras. 21-23.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xml:space="preserve">  Causation is a factual determination. The "but for" test does not require scientific precision, and using common sense is generally sufficient: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99"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at paras. 8-9. As noted by the Supreme Court of Canada in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692"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at 324, "a robust and pragmatic approach to the facts to enable an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be drawn even though medical or scientific expertise cannot arrive at a definitive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xml:space="preserve">  The plaintiff need only prove that the defendant's tortious act was a material contributing cause of his injury, not the only cause: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paras. 17-19. Many injuries are the result of both the defendant's negligent act and other non-tortious causes. The purpose of tort law, which is to restore the plaintiff to the position he would have enjoyed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be undermined if the identification of non-tortious causes of the plaintiff's injury were sufficient to reduce damages: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xml:space="preserve">  The tortfeasor must take their victims as they find them. The defendant is liable for the plaintiff's loss even if that loss is more severe than what would be expected in the average person: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34. However, the defendant is not required to place the plaintiff in a </w:t>
      </w:r>
      <w:r>
        <w:rPr>
          <w:rFonts w:ascii="arial" w:eastAsia="arial" w:hAnsi="arial" w:cs="arial"/>
          <w:i/>
          <w:color w:val="000000"/>
          <w:sz w:val="20"/>
          <w:lang w:val="en-US" w:eastAsia="en-US" w:bidi="ar-SA"/>
        </w:rPr>
        <w:t>better</w:t>
      </w:r>
      <w:r>
        <w:rPr>
          <w:rFonts w:ascii="arial" w:eastAsia="arial" w:hAnsi="arial" w:cs="arial"/>
          <w:color w:val="000000"/>
          <w:sz w:val="20"/>
          <w:lang w:val="en-US" w:eastAsia="en-US" w:bidi="ar-SA"/>
        </w:rPr>
        <w:t xml:space="preserve"> position than he would have occupied absent the wrongdoing. The defendant need not compensate the plaintiff for the effects of a pre-existing condition where there is a "measurable risk" that the plaintiff would have sustained the injury anyway: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xml:space="preserve">  A weakness inherent in the plaintiff that might realistically cause or contribute to the loss claimed regardless of the tort is relevant to the assessment of damages. It is a contingency that should be accounted for in the award. Moreover, such a contingency does not have to be proven to a certainty and should be given weight according to its relative likelihood: </w:t>
      </w:r>
      <w:r>
        <w:rPr>
          <w:rFonts w:ascii="arial" w:eastAsia="arial" w:hAnsi="arial" w:cs="arial"/>
          <w:i/>
          <w:color w:val="000000"/>
          <w:sz w:val="20"/>
          <w:lang w:val="en-US" w:eastAsia="en-US" w:bidi="ar-SA"/>
        </w:rPr>
        <w:t>T.W.N.A. v. Canada (Ministry of Indian Affairs)</w:t>
      </w:r>
      <w:r>
        <w:rPr>
          <w:rFonts w:ascii="arial" w:eastAsia="arial" w:hAnsi="arial" w:cs="arial"/>
          <w:color w:val="000000"/>
          <w:sz w:val="20"/>
          <w:lang w:val="en-US" w:eastAsia="en-US" w:bidi="ar-SA"/>
        </w:rPr>
        <w:t xml:space="preserve">, </w:t>
      </w:r>
      <w:hyperlink r:id="rId693" w:history="1">
        <w:r>
          <w:rPr>
            <w:rFonts w:ascii="arial" w:eastAsia="arial" w:hAnsi="arial" w:cs="arial"/>
            <w:i/>
            <w:color w:val="0077CC"/>
            <w:sz w:val="20"/>
            <w:u w:val="single"/>
            <w:shd w:val="clear" w:color="auto" w:fill="FFFFFF"/>
            <w:lang w:val="en-US" w:eastAsia="en-US" w:bidi="ar-SA"/>
          </w:rPr>
          <w:t>2003 BCCA 670</w:t>
        </w:r>
      </w:hyperlink>
      <w:r>
        <w:rPr>
          <w:rFonts w:ascii="arial" w:eastAsia="arial" w:hAnsi="arial" w:cs="arial"/>
          <w:color w:val="000000"/>
          <w:sz w:val="20"/>
          <w:lang w:val="en-US" w:eastAsia="en-US" w:bidi="ar-SA"/>
        </w:rPr>
        <w:t xml:space="preserve"> at para. 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xml:space="preserve">  The Supreme Court of Canada distinguished between causation and the rules of damage assessment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163"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Causation considers whether the defendant is a "but for" cause of the plaintiff's injury on a balance of probabilities. Where causation is established, the rules of damage assessment then consider what the plaintiff's original position would have been. The governing principle is that the defendant need not put the plaintiff in a better position than his original position and should not compensate the plaintiff for any damages he would have suffered anyway: </w:t>
      </w:r>
      <w:r>
        <w:rPr>
          <w:rFonts w:ascii="arial" w:eastAsia="arial" w:hAnsi="arial" w:cs="arial"/>
          <w:i/>
          <w:color w:val="000000"/>
          <w:sz w:val="20"/>
          <w:lang w:val="en-US" w:eastAsia="en-US" w:bidi="ar-SA"/>
        </w:rPr>
        <w:t>Plint</w:t>
      </w:r>
      <w:r>
        <w:rPr>
          <w:rFonts w:ascii="arial" w:eastAsia="arial" w:hAnsi="arial" w:cs="arial"/>
          <w:color w:val="000000"/>
          <w:sz w:val="20"/>
          <w:lang w:val="en-US" w:eastAsia="en-US" w:bidi="ar-SA"/>
        </w:rPr>
        <w:t xml:space="preserve"> at para. 78.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Application to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Counsel for the plaintiff's submissions on causation were not particularly clear. As I understand it, the plaintiff says that the accidents caused or materially contributed to his injuries. I understand the plaintiff further argues that the December 2015 and June 2017 workplace injuries were caused by the plaintiff's weakened condition following the accident, and thus indivisible from the accident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The defendants dispute that the evidence establishes the defendants caused or materially contributed to the plaintiff's injuries. The defendants further say the plaintiff's injuries are less extensive than he alleges. The defendants point out that, other than the plaintiff's fractured pinky finger, there is no objective evidence of injury. The findings of the plaintiff's experts thus rely solely on his subjective reports of symptoms. Beyond that, the plaintiff's claim rests entirely on his own testimony. The defendants argue that the plaintiff was not an honest or credible witness, and the court thus cannot rely on the plaintiff's expert's findings to establish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I do not take the defence argument to be that the workplace injuries displace the injuries sustained in the Motor vehicle accidents. Rather the argument is that the plaintiff's injuries are not as severe as he makes out for several reasons, including:</w:t>
      </w:r>
      <w:r>
        <w:rPr>
          <w:rFonts w:ascii="arial" w:eastAsia="arial" w:hAnsi="arial" w:cs="arial"/>
          <w:sz w:val="20"/>
          <w:lang w:val="en-US" w:eastAsia="en-US" w:bidi="ar-SA"/>
        </w:rPr>
        <w:cr/>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did not seek treatment for over one month following the first accident;</w:t>
      </w:r>
    </w:p>
    <w:p>
      <w:pPr>
        <w:numPr>
          <w:numId w:val="3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 took no time from work after the first accident;</w:t>
      </w:r>
    </w:p>
    <w:p>
      <w:pPr>
        <w:numPr>
          <w:numId w:val="3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His vehicle was not severely damaged following the first accident;</w:t>
      </w:r>
    </w:p>
    <w:p>
      <w:pPr>
        <w:numPr>
          <w:numId w:val="3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Following the second accident the plaintiff after some months worked for a one year period without medical treatment or assessment and without any complaints of his performance at work;</w:t>
      </w:r>
    </w:p>
    <w:p>
      <w:pPr>
        <w:numPr>
          <w:numId w:val="3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even before the accidents the plaintiff did not work consistently year after year; and</w:t>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he overstates his success of his past work performance. For example the IGA was never sold at a profit and was simply sold back to corporate.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Analysis and Conclusion regarding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I find that the motor vehicle accidents materially contributed to the plaintiff's injuries. Prior to the accident he was active, participated in sports, was happy, and had strong relationships with family and friends. I find that but for the accidents he would have continued rock climbing, which he abruptly had to stop following the first accident. Further, the fact that the plaintiff had workplace accidents is not at issue. I find, however, that those incidents aggravated his existing injuries from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The nature of the plaintiff's injuries in this case leaves the court in a position that is not uncommon in cases involving a plaintiff who suffers from ongoing chronic pain that is real in its impact but is not clearly identifiable through currently available medical technologies. The absence of a precise medical explanation for the plaintiff's injuries means the causation analysis turns on the expert evidence, which, in this case, is largely dependent on the plaintiff's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The plaintiff says he suffered soft tissue injuries to his neck and left shoulder in the first accident. He indicated that he had largely recovered from the neck injury after two to three months and had completely recovered after a year. He had some problems with his low back, but his main complaint after the first accident was pain in his left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The plaintiff says the second accident in 2016 resulted in more extensive injuries. In addition, he has been left with a significantly increased depressed mood, and attributes his ongoing mental health issues to the injuries he said he suffered in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The plaintiff also suffered two work place injuries which were significant enough for him to make WorkSafeBC claims. The first injury took place on December 2, 2015 - prior to the second accident - when he hurt his back lifting boxes at work. He felt a sharp pain on the right side of his low back. After this injury the plaintiff's depression and anxiety increased, and he received an emergency referral to a psychiatrist. The evidence indicates that he had mostly recovered from this back injury at the time of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A second work place injury occurred on June 26, 2017. He did not make a WorkSafeBC claim because his human resources manager told him his condition was related to previous injuries from the motor vehicle accidents. He went off work on August 17, 2017, as a result of his pain and cognitive symptoms, and claimed medical, EI, and short term disability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The plaintiff did not stop work following the first accident. He did cease all of his recreational activities, which I accept he enjoyed thoroughly and was an enthusiastic participant. The plaintiff no longer rock climbed or went to the gym, and no longer pursued these activities with his friends and family. He did try to go to the gym to lift weights but was unsuccessful.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I find that from the first accident on, the plaintiff had a shoulder issue. His arm had been on the steering wheel at the time he was rear-ended. His neck and low back injuries eventually resolved, leaving his shoulder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Following the second accident, I find the plaintiff had an aggravation of the shoulder, low back, and neck pain, and began experiencing headaches and symptoms consistent with a concussion. I note, however, that no physician has indicated conclusively that he suffered from a post-traumatic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The records of Dr. Gan note the plaintiff did not develop severe GAD or severe MDD until January 2016. I find the plaintiff's GAD and MDD are attributable to his state following the first accident. His emotional difficulties were later aggravated by his inability to work and the second accident, such that he now has SSD.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I accept the opinion of Dr. Sahjpaul and find that the second accident is the cause of the aggravation of plaintiff's shoulder, low back, and neck pain. I accept his opinion that the plaintiff had symptoms consistent with concussion.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I also accept the opinion of Dr. Adrian, who concluded that the accidents are more likely than not the cause of the plaintiff's chronic shoulder pain. Dr. Adrian was also of the opinion that the plaintiff would not have developed persistent and physically limiting low back pain absent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In finding that the plaintiff's headaches, low back pain, and shoulder issues are causally connected to the accidents, I note that there was no evidence that the plaintiff suffered from these conditions prior to the accidents. Further, there was no evidence that the plaintiff was malingering or making up his injuries. To the contrary, Robert Gander recorded that the plaintiff for the most part tried hard in the evaluation.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With regard to chronic pain, I reject the evidence of Dr. Rickards. He opined the left shoulder problems were not caused by the either motor vehicle accident. To the contrary, I find that the accidents materially contributed to the injuries to the plaintiff's shoulder and the subsequent compensation problems with his right shoulder. Not every individual seeks immediate medical assistance. I accept the plaintiff's evidence that, given he had been in previous accidents with no ill effects, he expected he would similarly recover from the first accident. He did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I accept the evidence of Dr. Anderson respecting the plaintiff's severe GAD and MDD and find that, but for his accident injuries, the plaintiff would not have developed his present physical, cognitive, and emotional difficulties. I accept the evidence of Dr. Sahjpaul, Dr. Anderson, and Dr. Adrian that the plaintiff's psychiatric problems were caused by the accidents and are due to his pain, insomnia, and depression. Given the absence of depressive symptoms in the plaintiff prior to the first accident, I do not accept Dr. Riar's opinion that the plaintiff was prone to GAD or other psychiatric diagnoses. No evidence was led that the plaintiff suffered from any psychiatric difficulties before the accidents. Further undermining his credibility was Dr. Riar's concession while testifying that the plaintiff met the diagnostic criteria for GAD and MDD, contradicting his earlier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While I accept that the plaintiff was injured in the accidents and suffers current difficulties related to his accident injuries, I am unable to accept the plaintiff's contention that his accident injuries entirely preclude him from working in any capacity. Dr. Cameron, Dr. Anderson, and Dr. Adrian all agreed the plaintiff could do easier work. Dr. Adrian testified that he could be a store manager. It is important to bear in mind as well that the plaintiff worked continuously for one year following the accident with absolutely no issues concerning his work. Similarly, he did not attend medical services for the entirety of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Further, the plaintiff's shoulder issue is now being addressed. While I do not accept Dr. Rickards' evidence on causation, he nonetheless described a path of treatment that, if followed, could lead to recovery in six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This matter is difficult in that I do not accept all of the plaintiff's evidence. Clearly, he was untruthful in his applications to Simons when he indicated that he had a bachelor's degree. His past dishonesty makes it difficult for the court to accept everything the plaintiff said. However, I do accept that he is suffering from all of the psychiatric symptoms that have been described.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I find that the plaintiff has no PTSD but has driving fears due to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xml:space="preserve">  In conclusion, I find that the motor vehicles accidents were a material cause of the plaintiff's injuries. I find that the plaintiff has suffered an indivisible injury as the injuries cannot be separated. They include aggravation and exacerbation of earlier injuries and result in joint liability for tortfeasors: </w:t>
      </w:r>
      <w:r>
        <w:rPr>
          <w:rFonts w:ascii="arial" w:eastAsia="arial" w:hAnsi="arial" w:cs="arial"/>
          <w:i/>
          <w:color w:val="000000"/>
          <w:sz w:val="20"/>
          <w:lang w:val="en-US" w:eastAsia="en-US" w:bidi="ar-SA"/>
        </w:rPr>
        <w:t>Bradley v. Groves</w:t>
      </w:r>
      <w:r>
        <w:rPr>
          <w:rFonts w:ascii="arial" w:eastAsia="arial" w:hAnsi="arial" w:cs="arial"/>
          <w:color w:val="000000"/>
          <w:sz w:val="20"/>
          <w:lang w:val="en-US" w:eastAsia="en-US" w:bidi="ar-SA"/>
        </w:rPr>
        <w:t xml:space="preserve">, </w:t>
      </w:r>
      <w:hyperlink r:id="rId485" w:history="1">
        <w:r>
          <w:rPr>
            <w:rFonts w:ascii="arial" w:eastAsia="arial" w:hAnsi="arial" w:cs="arial"/>
            <w:i/>
            <w:color w:val="0077CC"/>
            <w:sz w:val="20"/>
            <w:u w:val="single"/>
            <w:shd w:val="clear" w:color="auto" w:fill="FFFFFF"/>
            <w:lang w:val="en-US" w:eastAsia="en-US" w:bidi="ar-SA"/>
          </w:rPr>
          <w:t>2010 BCCA 361</w:t>
        </w:r>
      </w:hyperlink>
      <w:r>
        <w:rPr>
          <w:rFonts w:ascii="arial" w:eastAsia="arial" w:hAnsi="arial" w:cs="arial"/>
          <w:color w:val="000000"/>
          <w:sz w:val="20"/>
          <w:lang w:val="en-US" w:eastAsia="en-US" w:bidi="ar-SA"/>
        </w:rPr>
        <w:t xml:space="preserve"> at para. 20;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paras. 22-25.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QUANTUM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I now turn to discuss quantum of damages in the following order:</w:t>
      </w:r>
      <w:r>
        <w:rPr>
          <w:rFonts w:ascii="arial" w:eastAsia="arial" w:hAnsi="arial" w:cs="arial"/>
          <w:sz w:val="20"/>
          <w:lang w:val="en-US" w:eastAsia="en-US" w:bidi="ar-SA"/>
        </w:rPr>
        <w:cr/>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numPr>
          <w:numId w:val="4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Past loss of earning capacity;</w:t>
      </w:r>
    </w:p>
    <w:p>
      <w:pPr>
        <w:numPr>
          <w:numId w:val="4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loss of earning capacity;</w:t>
      </w:r>
    </w:p>
    <w:p>
      <w:pPr>
        <w:numPr>
          <w:numId w:val="4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w:t>
      </w:r>
    </w:p>
    <w:p>
      <w:pPr>
        <w:numPr>
          <w:numId w:val="4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 and</w:t>
      </w:r>
    </w:p>
    <w:p>
      <w:pPr>
        <w:numPr>
          <w:numId w:val="4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Trust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NON-PECUNIARY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xml:space="preserve">  The purpose of non-pecuniary damages is to compensate the plaintiff for pain, suffering, and loss of enjoyment of life. The award must assess both the losses suffered by the plaintiff to the date of trial and the losses he will likely suffer in the future: </w:t>
      </w:r>
      <w:r>
        <w:rPr>
          <w:rFonts w:ascii="arial" w:eastAsia="arial" w:hAnsi="arial" w:cs="arial"/>
          <w:i/>
          <w:color w:val="000000"/>
          <w:sz w:val="20"/>
          <w:lang w:val="en-US" w:eastAsia="en-US" w:bidi="ar-SA"/>
        </w:rPr>
        <w:t>Tisalona v. Easton</w:t>
      </w:r>
      <w:r>
        <w:rPr>
          <w:rFonts w:ascii="arial" w:eastAsia="arial" w:hAnsi="arial" w:cs="arial"/>
          <w:color w:val="000000"/>
          <w:sz w:val="20"/>
          <w:lang w:val="en-US" w:eastAsia="en-US" w:bidi="ar-SA"/>
        </w:rPr>
        <w:t xml:space="preserve">, </w:t>
      </w:r>
      <w:hyperlink r:id="rId694" w:history="1">
        <w:r>
          <w:rPr>
            <w:rFonts w:ascii="arial" w:eastAsia="arial" w:hAnsi="arial" w:cs="arial"/>
            <w:i/>
            <w:color w:val="0077CC"/>
            <w:sz w:val="20"/>
            <w:u w:val="single"/>
            <w:shd w:val="clear" w:color="auto" w:fill="FFFFFF"/>
            <w:lang w:val="en-US" w:eastAsia="en-US" w:bidi="ar-SA"/>
          </w:rPr>
          <w:t>2017 BCCA 272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Tisalona</w:t>
      </w:r>
      <w:r>
        <w:rPr>
          <w:rFonts w:ascii="arial" w:eastAsia="arial" w:hAnsi="arial" w:cs="arial"/>
          <w:color w:val="000000"/>
          <w:sz w:val="20"/>
          <w:lang w:val="en-US" w:eastAsia="en-US" w:bidi="ar-SA"/>
        </w:rPr>
        <w:t>] at para. 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xml:space="preserve">  As set out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102"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xml:space="preserve">] at para. 46, leave to appeal ref'd </w:t>
      </w:r>
      <w:hyperlink r:id="rId345" w:history="1">
        <w:r>
          <w:rPr>
            <w:rFonts w:ascii="arial" w:eastAsia="arial" w:hAnsi="arial" w:cs="arial"/>
            <w:i/>
            <w:color w:val="0077CC"/>
            <w:sz w:val="20"/>
            <w:u w:val="single"/>
            <w:shd w:val="clear" w:color="auto" w:fill="FFFFFF"/>
            <w:lang w:val="en-US" w:eastAsia="en-US" w:bidi="ar-SA"/>
          </w:rPr>
          <w:t>[2006] S.C.C.A. No. 100</w:t>
        </w:r>
      </w:hyperlink>
      <w:r>
        <w:rPr>
          <w:rFonts w:ascii="arial" w:eastAsia="arial" w:hAnsi="arial" w:cs="arial"/>
          <w:color w:val="000000"/>
          <w:sz w:val="20"/>
          <w:lang w:val="en-US" w:eastAsia="en-US" w:bidi="ar-SA"/>
        </w:rPr>
        <w:t>, common factors influencing an award of non-pecuniary damages include:</w:t>
      </w:r>
      <w:r>
        <w:rPr>
          <w:rFonts w:ascii="arial" w:eastAsia="arial" w:hAnsi="arial" w:cs="arial"/>
          <w:sz w:val="20"/>
          <w:lang w:val="en-US" w:eastAsia="en-US" w:bidi="ar-SA"/>
        </w:rPr>
        <w:cr/>
      </w:r>
    </w:p>
    <w:p>
      <w:pPr>
        <w:numPr>
          <w:numId w:val="4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4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4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4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w:t>
      </w:r>
    </w:p>
    <w:p>
      <w:pPr>
        <w:numPr>
          <w:numId w:val="5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numPr>
          <w:numId w:val="52"/>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5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 and</w:t>
      </w:r>
    </w:p>
    <w:p>
      <w:pPr>
        <w:numPr>
          <w:numId w:val="5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The plaintiff's stoicism should not, generally speaking, penalize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xml:space="preserve">  An award of non-pecuniary damages must be fair and reasonable to each party. Fairness is measured, in part, by looking to awards made in comparable cases. However, each case must be decided on its own facts. The amount of the award does not depend on the seriousness of the injury, but rather compensates the loss in the context of the specific plaintiff's circumstances: </w:t>
      </w:r>
      <w:r>
        <w:rPr>
          <w:rFonts w:ascii="arial" w:eastAsia="arial" w:hAnsi="arial" w:cs="arial"/>
          <w:i/>
          <w:color w:val="000000"/>
          <w:sz w:val="20"/>
          <w:lang w:val="en-US" w:eastAsia="en-US" w:bidi="ar-SA"/>
        </w:rPr>
        <w:t>Tisalona</w:t>
      </w:r>
      <w:r>
        <w:rPr>
          <w:rFonts w:ascii="arial" w:eastAsia="arial" w:hAnsi="arial" w:cs="arial"/>
          <w:color w:val="000000"/>
          <w:sz w:val="20"/>
          <w:lang w:val="en-US" w:eastAsia="en-US" w:bidi="ar-SA"/>
        </w:rPr>
        <w:t xml:space="preserve"> at para. 39.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Application to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I have already indicated my conclusions on the issue of causation. My findings as to the impact of the plaintiff's accident related injuries as they pertain to the assessment of non-pecuniary damages are as follows:</w:t>
      </w:r>
      <w:r>
        <w:rPr>
          <w:rFonts w:ascii="arial" w:eastAsia="arial" w:hAnsi="arial" w:cs="arial"/>
          <w:sz w:val="20"/>
          <w:lang w:val="en-US" w:eastAsia="en-US" w:bidi="ar-SA"/>
        </w:rPr>
        <w:cr/>
      </w:r>
    </w:p>
    <w:p>
      <w:pPr>
        <w:numPr>
          <w:numId w:val="5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suffered soft tissue injuries in the accidents which have led him to develop chronic pain in his low back, neck, and shoulders. The level of pain has fluctuated over time but has not resolved. The pain has impacted the plaintiff's ability to perform job duties as a retail manager.</w:t>
      </w:r>
    </w:p>
    <w:p>
      <w:pPr>
        <w:numPr>
          <w:numId w:val="56"/>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chronic pain has prevented the plaintiff from enjoying enjoy his pre-accident activities such as rock climbing, skiing, and weightlifting.</w:t>
      </w:r>
    </w:p>
    <w:p>
      <w:pPr>
        <w:numPr>
          <w:numId w:val="57"/>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chronic pain has led him to develop MDD, GAD, and SSD. He further reports experiencing sleeplessness, memory issues, and suicidal thoughts, and states that he no longer enjoys food.</w:t>
      </w:r>
    </w:p>
    <w:p>
      <w:pPr>
        <w:numPr>
          <w:numId w:val="58"/>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injuries have impacted his personal and family life. He has experienced strain on his family, marital, and social relationships.</w:t>
      </w:r>
    </w:p>
    <w:p>
      <w:pPr>
        <w:numPr>
          <w:numId w:val="59"/>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not been able to engage in household activities to the extent he previously did.</w:t>
      </w:r>
    </w:p>
    <w:p>
      <w:pPr>
        <w:numPr>
          <w:numId w:val="60"/>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prognosis is uncertain, especially given the length of time he has experienced chronic pain without improvement.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The plaintiff seeks an award for non-pecuniary damages in the amount of $200,000. He relies on the following cases as establishing an appropriate range:</w:t>
      </w:r>
      <w:r>
        <w:rPr>
          <w:rFonts w:ascii="arial" w:eastAsia="arial" w:hAnsi="arial" w:cs="arial"/>
          <w:sz w:val="20"/>
          <w:lang w:val="en-US" w:eastAsia="en-US" w:bidi="ar-SA"/>
        </w:rPr>
        <w:cr/>
      </w:r>
    </w:p>
    <w:p>
      <w:pPr>
        <w:numPr>
          <w:numId w:val="6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Felix v. Hearne</w:t>
      </w:r>
      <w:r>
        <w:rPr>
          <w:rFonts w:ascii="arial" w:eastAsia="arial" w:hAnsi="arial" w:cs="arial"/>
          <w:color w:val="000000"/>
          <w:sz w:val="20"/>
          <w:lang w:val="en-US" w:eastAsia="en-US" w:bidi="ar-SA"/>
        </w:rPr>
        <w:t xml:space="preserve">, </w:t>
      </w:r>
      <w:hyperlink r:id="rId695" w:history="1">
        <w:r>
          <w:rPr>
            <w:rFonts w:ascii="arial" w:eastAsia="arial" w:hAnsi="arial" w:cs="arial"/>
            <w:i/>
            <w:color w:val="0077CC"/>
            <w:sz w:val="20"/>
            <w:u w:val="single"/>
            <w:shd w:val="clear" w:color="auto" w:fill="FFFFFF"/>
            <w:lang w:val="en-US" w:eastAsia="en-US" w:bidi="ar-SA"/>
          </w:rPr>
          <w:t>2011 BCSC 1236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Felix</w:t>
      </w:r>
      <w:r>
        <w:rPr>
          <w:rFonts w:ascii="arial" w:eastAsia="arial" w:hAnsi="arial" w:cs="arial"/>
          <w:color w:val="000000"/>
          <w:sz w:val="20"/>
          <w:lang w:val="en-US" w:eastAsia="en-US" w:bidi="ar-SA"/>
        </w:rPr>
        <w:t>] ($200,000);</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Gill v. Stevens</w:t>
      </w:r>
      <w:r>
        <w:rPr>
          <w:rFonts w:ascii="arial" w:eastAsia="arial" w:hAnsi="arial" w:cs="arial"/>
          <w:color w:val="000000"/>
          <w:sz w:val="20"/>
          <w:lang w:val="en-US" w:eastAsia="en-US" w:bidi="ar-SA"/>
        </w:rPr>
        <w:t xml:space="preserve">, </w:t>
      </w:r>
      <w:hyperlink r:id="rId696" w:history="1">
        <w:r>
          <w:rPr>
            <w:rFonts w:ascii="arial" w:eastAsia="arial" w:hAnsi="arial" w:cs="arial"/>
            <w:i/>
            <w:color w:val="0077CC"/>
            <w:sz w:val="20"/>
            <w:u w:val="single"/>
            <w:shd w:val="clear" w:color="auto" w:fill="FFFFFF"/>
            <w:lang w:val="en-US" w:eastAsia="en-US" w:bidi="ar-SA"/>
          </w:rPr>
          <w:t>2019 BCSC 798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Gill</w:t>
      </w:r>
      <w:r>
        <w:rPr>
          <w:rFonts w:ascii="arial" w:eastAsia="arial" w:hAnsi="arial" w:cs="arial"/>
          <w:color w:val="000000"/>
          <w:sz w:val="20"/>
          <w:lang w:val="en-US" w:eastAsia="en-US" w:bidi="ar-SA"/>
        </w:rPr>
        <w:t>] ($200,000);</w:t>
      </w:r>
    </w:p>
    <w:p>
      <w:pPr>
        <w:numPr>
          <w:numId w:val="6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Kallstrom v. Yip</w:t>
      </w:r>
      <w:r>
        <w:rPr>
          <w:rFonts w:ascii="arial" w:eastAsia="arial" w:hAnsi="arial" w:cs="arial"/>
          <w:color w:val="000000"/>
          <w:sz w:val="20"/>
          <w:lang w:val="en-US" w:eastAsia="en-US" w:bidi="ar-SA"/>
        </w:rPr>
        <w:t xml:space="preserve">, </w:t>
      </w:r>
      <w:hyperlink r:id="rId697" w:history="1">
        <w:r>
          <w:rPr>
            <w:rFonts w:ascii="arial" w:eastAsia="arial" w:hAnsi="arial" w:cs="arial"/>
            <w:i/>
            <w:color w:val="0077CC"/>
            <w:sz w:val="20"/>
            <w:u w:val="single"/>
            <w:shd w:val="clear" w:color="auto" w:fill="FFFFFF"/>
            <w:lang w:val="en-US" w:eastAsia="en-US" w:bidi="ar-SA"/>
          </w:rPr>
          <w:t>2016 BCSC 829</w:t>
        </w:r>
      </w:hyperlink>
      <w:r>
        <w:rPr>
          <w:rFonts w:ascii="arial" w:eastAsia="arial" w:hAnsi="arial" w:cs="arial"/>
          <w:color w:val="000000"/>
          <w:sz w:val="20"/>
          <w:lang w:val="en-US" w:eastAsia="en-US" w:bidi="ar-SA"/>
        </w:rPr>
        <w:t xml:space="preserve"> ($180,000); and</w:t>
      </w:r>
    </w:p>
    <w:p>
      <w:pPr>
        <w:numPr>
          <w:numId w:val="6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Sebaa v. Ricci</w:t>
      </w:r>
      <w:r>
        <w:rPr>
          <w:rFonts w:ascii="arial" w:eastAsia="arial" w:hAnsi="arial" w:cs="arial"/>
          <w:color w:val="000000"/>
          <w:sz w:val="20"/>
          <w:lang w:val="en-US" w:eastAsia="en-US" w:bidi="ar-SA"/>
        </w:rPr>
        <w:t xml:space="preserve">, </w:t>
      </w:r>
      <w:hyperlink r:id="rId411" w:history="1">
        <w:r>
          <w:rPr>
            <w:rFonts w:ascii="arial" w:eastAsia="arial" w:hAnsi="arial" w:cs="arial"/>
            <w:i/>
            <w:color w:val="0077CC"/>
            <w:sz w:val="20"/>
            <w:u w:val="single"/>
            <w:shd w:val="clear" w:color="auto" w:fill="FFFFFF"/>
            <w:lang w:val="en-US" w:eastAsia="en-US" w:bidi="ar-SA"/>
          </w:rPr>
          <w:t>2015 BCSC 1492</w:t>
        </w:r>
      </w:hyperlink>
      <w:r>
        <w:rPr>
          <w:rFonts w:ascii="arial" w:eastAsia="arial" w:hAnsi="arial" w:cs="arial"/>
          <w:color w:val="000000"/>
          <w:sz w:val="20"/>
          <w:lang w:val="en-US" w:eastAsia="en-US" w:bidi="ar-SA"/>
        </w:rPr>
        <w:t xml:space="preserve"> ($180,000).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The defendants argue that the appropriate range is $35,000-$50,000. The defendants rely on the following cases:</w:t>
      </w:r>
      <w:r>
        <w:rPr>
          <w:rFonts w:ascii="arial" w:eastAsia="arial" w:hAnsi="arial" w:cs="arial"/>
          <w:sz w:val="20"/>
          <w:lang w:val="en-US" w:eastAsia="en-US" w:bidi="ar-SA"/>
        </w:rPr>
        <w:cr/>
      </w:r>
    </w:p>
    <w:p>
      <w:pPr>
        <w:numPr>
          <w:numId w:val="6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Sandher v. Binning</w:t>
      </w:r>
      <w:r>
        <w:rPr>
          <w:rFonts w:ascii="arial" w:eastAsia="arial" w:hAnsi="arial" w:cs="arial"/>
          <w:color w:val="000000"/>
          <w:sz w:val="20"/>
          <w:lang w:val="en-US" w:eastAsia="en-US" w:bidi="ar-SA"/>
        </w:rPr>
        <w:t xml:space="preserve">, </w:t>
      </w:r>
      <w:hyperlink r:id="rId698" w:history="1">
        <w:r>
          <w:rPr>
            <w:rFonts w:ascii="arial" w:eastAsia="arial" w:hAnsi="arial" w:cs="arial"/>
            <w:i/>
            <w:color w:val="0077CC"/>
            <w:sz w:val="20"/>
            <w:u w:val="single"/>
            <w:shd w:val="clear" w:color="auto" w:fill="FFFFFF"/>
            <w:lang w:val="en-US" w:eastAsia="en-US" w:bidi="ar-SA"/>
          </w:rPr>
          <w:t>2012 BCSC 1000</w:t>
        </w:r>
      </w:hyperlink>
      <w:r>
        <w:rPr>
          <w:rFonts w:ascii="arial" w:eastAsia="arial" w:hAnsi="arial" w:cs="arial"/>
          <w:color w:val="000000"/>
          <w:sz w:val="20"/>
          <w:lang w:val="en-US" w:eastAsia="en-US" w:bidi="ar-SA"/>
        </w:rPr>
        <w:t xml:space="preserve"> ($40,000);</w:t>
      </w:r>
    </w:p>
    <w:p>
      <w:pPr>
        <w:numPr>
          <w:numId w:val="6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Stevanovic v. Sin</w:t>
      </w:r>
      <w:r>
        <w:rPr>
          <w:rFonts w:ascii="arial" w:eastAsia="arial" w:hAnsi="arial" w:cs="arial"/>
          <w:color w:val="000000"/>
          <w:sz w:val="20"/>
          <w:lang w:val="en-US" w:eastAsia="en-US" w:bidi="ar-SA"/>
        </w:rPr>
        <w:t xml:space="preserve">, </w:t>
      </w:r>
      <w:hyperlink r:id="rId699" w:history="1">
        <w:r>
          <w:rPr>
            <w:rFonts w:ascii="arial" w:eastAsia="arial" w:hAnsi="arial" w:cs="arial"/>
            <w:i/>
            <w:color w:val="0077CC"/>
            <w:sz w:val="20"/>
            <w:u w:val="single"/>
            <w:shd w:val="clear" w:color="auto" w:fill="FFFFFF"/>
            <w:lang w:val="en-US" w:eastAsia="en-US" w:bidi="ar-SA"/>
          </w:rPr>
          <w:t>2007 BCSC 1797</w:t>
        </w:r>
      </w:hyperlink>
      <w:r>
        <w:rPr>
          <w:rFonts w:ascii="arial" w:eastAsia="arial" w:hAnsi="arial" w:cs="arial"/>
          <w:color w:val="000000"/>
          <w:sz w:val="20"/>
          <w:lang w:val="en-US" w:eastAsia="en-US" w:bidi="ar-SA"/>
        </w:rPr>
        <w:t xml:space="preserve"> ($35,000); and</w:t>
      </w:r>
    </w:p>
    <w:p>
      <w:pPr>
        <w:numPr>
          <w:numId w:val="6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Bern v. Jung</w:t>
      </w:r>
      <w:r>
        <w:rPr>
          <w:rFonts w:ascii="arial" w:eastAsia="arial" w:hAnsi="arial" w:cs="arial"/>
          <w:color w:val="000000"/>
          <w:sz w:val="20"/>
          <w:lang w:val="en-US" w:eastAsia="en-US" w:bidi="ar-SA"/>
        </w:rPr>
        <w:t xml:space="preserve">, </w:t>
      </w:r>
      <w:hyperlink r:id="rId700" w:history="1">
        <w:r>
          <w:rPr>
            <w:rFonts w:ascii="arial" w:eastAsia="arial" w:hAnsi="arial" w:cs="arial"/>
            <w:i/>
            <w:color w:val="0077CC"/>
            <w:sz w:val="20"/>
            <w:u w:val="single"/>
            <w:shd w:val="clear" w:color="auto" w:fill="FFFFFF"/>
            <w:lang w:val="en-US" w:eastAsia="en-US" w:bidi="ar-SA"/>
          </w:rPr>
          <w:t>2010 BCSC 730</w:t>
        </w:r>
      </w:hyperlink>
      <w:r>
        <w:rPr>
          <w:rFonts w:ascii="arial" w:eastAsia="arial" w:hAnsi="arial" w:cs="arial"/>
          <w:color w:val="000000"/>
          <w:sz w:val="20"/>
          <w:lang w:val="en-US" w:eastAsia="en-US" w:bidi="ar-SA"/>
        </w:rPr>
        <w:t xml:space="preserve">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xml:space="preserve">  I refer to criteria enounced in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xml:space="preserve"> in determining the compensation to be provided. In particular, I note that the plaintiff's injuries are chronic and that he has suffered from suicidal ideation.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I do not find the cases presented by the defendants to be helpful in determining non-pecuniary damages as they involved plaintiffs who experienced less severe impacts than those experienced by the plaintiff in this case. None of the authorities the defendants rely on involved plaintiffs who suffered psychological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xml:space="preserve">  I find the plaintiff's damages to be similar, though somewhat less severe, than those of the plaintiff in </w:t>
      </w:r>
      <w:r>
        <w:rPr>
          <w:rFonts w:ascii="arial" w:eastAsia="arial" w:hAnsi="arial" w:cs="arial"/>
          <w:i/>
          <w:color w:val="000000"/>
          <w:sz w:val="20"/>
          <w:lang w:val="en-US" w:eastAsia="en-US" w:bidi="ar-SA"/>
        </w:rPr>
        <w:t>Gill</w:t>
      </w:r>
      <w:r>
        <w:rPr>
          <w:rFonts w:ascii="arial" w:eastAsia="arial" w:hAnsi="arial" w:cs="arial"/>
          <w:color w:val="000000"/>
          <w:sz w:val="20"/>
          <w:lang w:val="en-US" w:eastAsia="en-US" w:bidi="ar-SA"/>
        </w:rPr>
        <w:t>, where Madam Justice Gropper awarded $200,000 in non-pecuniary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[51] Applying those factors, Mr. Gill is now 49 years old and he has been suffering from his injury for almost four years. The treating doctors and Dr. Tarzwell opine that Mr. Gill's psychological problems continue and will not be cured. Mr. Gill is isolated from his peers. Mr. Gill's ambition and drive towards his career goals have dissipated. Mr. Gill's future career prospects, if there are any, will likely include work that is less challenging, interesting or rewarding for him. Mr. Gill has lost his own sense of self-worth and confidence. Mr. Gill's degree of emotional suffering has been extreme and reflects a lonely, frustrated, and frightened individual. Mr. Gill's family, marital and social relationships have been directly impaired, as have his physical and mental abilities. Mr. Gill has completely lost his pre?accident lifestyle. Mr. Gill is unable to bear his loss stoically.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[56] Mr. Gill's physical symptoms have been secondary to his psychological injuries. The psychological injuries have had a devastating impact on every aspect of his life. He was a happy, healthy, ambitious person. He was involved in a loving marriage and had close relationships with both his children. He was pursuing a job that he loved. He enjoyed socializing, he was concerned about his appearance, and he was physically active. His future was bright. That is no longer the case. Mr. Gill is a shadow of his former self. His interaction with his friends and family is non-existent. The effect of these injuries on his day-to-day functioning is profound. Some of his family, friends, and the experts described that Mr. Gill is unable to even engage in basic health self-care and personal hygiene.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[57] Mr. Gill has suicidal ideation that manifested itself in his attempt to take his own life in January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xml:space="preserve">  This case is likewise similar to </w:t>
      </w:r>
      <w:r>
        <w:rPr>
          <w:rFonts w:ascii="arial" w:eastAsia="arial" w:hAnsi="arial" w:cs="arial"/>
          <w:i/>
          <w:color w:val="000000"/>
          <w:sz w:val="20"/>
          <w:lang w:val="en-US" w:eastAsia="en-US" w:bidi="ar-SA"/>
        </w:rPr>
        <w:t>Felix</w:t>
      </w:r>
      <w:r>
        <w:rPr>
          <w:rFonts w:ascii="arial" w:eastAsia="arial" w:hAnsi="arial" w:cs="arial"/>
          <w:color w:val="000000"/>
          <w:sz w:val="20"/>
          <w:lang w:val="en-US" w:eastAsia="en-US" w:bidi="ar-SA"/>
        </w:rPr>
        <w:t xml:space="preserve">, where the plaintiff's suicidal ideation was related to the depression she suffered as a result of her accident. However, in </w:t>
      </w:r>
      <w:r>
        <w:rPr>
          <w:rFonts w:ascii="arial" w:eastAsia="arial" w:hAnsi="arial" w:cs="arial"/>
          <w:i/>
          <w:color w:val="000000"/>
          <w:sz w:val="20"/>
          <w:lang w:val="en-US" w:eastAsia="en-US" w:bidi="ar-SA"/>
        </w:rPr>
        <w:t>Felix</w:t>
      </w:r>
      <w:r>
        <w:rPr>
          <w:rFonts w:ascii="arial" w:eastAsia="arial" w:hAnsi="arial" w:cs="arial"/>
          <w:color w:val="000000"/>
          <w:sz w:val="20"/>
          <w:lang w:val="en-US" w:eastAsia="en-US" w:bidi="ar-SA"/>
        </w:rPr>
        <w:t>, Grist J. found there was only a modest chance of improvement (para.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Taking into account all of the circumstances, I find that an appropriate award in non-pecuniary damages would be $160,000.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PAST LOSS OF 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xml:space="preserve">  An award for damages for loss of earning capacity, whether past or future, compensates the plaintiff's pecuniary loss. Although a claim for "past loss of income" is often characterized as a separate head of damages, it is properly characterized as a component of loss of earning capacity: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w:t>
      </w:r>
      <w:hyperlink r:id="rId166" w:history="1">
        <w:r>
          <w:rPr>
            <w:rFonts w:ascii="arial" w:eastAsia="arial" w:hAnsi="arial" w:cs="arial"/>
            <w:i/>
            <w:color w:val="0077CC"/>
            <w:sz w:val="20"/>
            <w:u w:val="single"/>
            <w:shd w:val="clear" w:color="auto" w:fill="FFFFFF"/>
            <w:lang w:val="en-US" w:eastAsia="en-US" w:bidi="ar-SA"/>
          </w:rPr>
          <w:t>2011 BCSC 944</w:t>
        </w:r>
      </w:hyperlink>
      <w:r>
        <w:rPr>
          <w:rFonts w:ascii="arial" w:eastAsia="arial" w:hAnsi="arial" w:cs="arial"/>
          <w:color w:val="000000"/>
          <w:sz w:val="20"/>
          <w:lang w:val="en-US" w:eastAsia="en-US" w:bidi="ar-SA"/>
        </w:rPr>
        <w:t xml:space="preserve"> at para. 185. Compensation for past loss of earnings is based on what the plaintiff would have, not could have, earned up until the date of trial but for the accident related injuries: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111"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at para.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The burden of proof for actual past events is the balance of probabilities. However, an assessment of both past and future earning capacity requires the court to hypothesize about how a plaintiff's life would have unfolded in the pre-trial period absent the injury, and how it will likely unfold after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xml:space="preserve">  The standard of proof in relation to hypothetical events is simple probability, with hypothetical events given weight according to their relative likelihood: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165"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xml:space="preserve"> at para. 29 [</w:t>
      </w:r>
      <w:r>
        <w:rPr>
          <w:rFonts w:ascii="arial" w:eastAsia="arial" w:hAnsi="arial" w:cs="arial"/>
          <w:i/>
          <w:color w:val="000000"/>
          <w:sz w:val="20"/>
          <w:lang w:val="en-US" w:eastAsia="en-US" w:bidi="ar-SA"/>
        </w:rPr>
        <w:t>Smith</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xml:space="preserve">  Where a plaintiff establishes a real and substantial likelihood of the pecuniary loss asserted, damages are awarded pursuant to an assessment of the degree of likelihood of the particular loss, combined with an assessment of the value of the loss: </w:t>
      </w:r>
      <w:r>
        <w:rPr>
          <w:rFonts w:ascii="arial" w:eastAsia="arial" w:hAnsi="arial" w:cs="arial"/>
          <w:i/>
          <w:color w:val="000000"/>
          <w:sz w:val="20"/>
          <w:lang w:val="en-US" w:eastAsia="en-US" w:bidi="ar-SA"/>
        </w:rPr>
        <w:t>Sendher v. Wong</w:t>
      </w:r>
      <w:r>
        <w:rPr>
          <w:rFonts w:ascii="arial" w:eastAsia="arial" w:hAnsi="arial" w:cs="arial"/>
          <w:color w:val="000000"/>
          <w:sz w:val="20"/>
          <w:lang w:val="en-US" w:eastAsia="en-US" w:bidi="ar-SA"/>
        </w:rPr>
        <w:t xml:space="preserve">, </w:t>
      </w:r>
      <w:hyperlink r:id="rId701" w:history="1">
        <w:r>
          <w:rPr>
            <w:rFonts w:ascii="arial" w:eastAsia="arial" w:hAnsi="arial" w:cs="arial"/>
            <w:i/>
            <w:color w:val="0077CC"/>
            <w:sz w:val="20"/>
            <w:u w:val="single"/>
            <w:shd w:val="clear" w:color="auto" w:fill="FFFFFF"/>
            <w:lang w:val="en-US" w:eastAsia="en-US" w:bidi="ar-SA"/>
          </w:rPr>
          <w:t>2014 BCSC 140</w:t>
        </w:r>
      </w:hyperlink>
      <w:r>
        <w:rPr>
          <w:rFonts w:ascii="arial" w:eastAsia="arial" w:hAnsi="arial" w:cs="arial"/>
          <w:color w:val="000000"/>
          <w:sz w:val="20"/>
          <w:lang w:val="en-US" w:eastAsia="en-US" w:bidi="ar-SA"/>
        </w:rPr>
        <w:t xml:space="preserve"> at para. 162 [</w:t>
      </w:r>
      <w:r>
        <w:rPr>
          <w:rFonts w:ascii="arial" w:eastAsia="arial" w:hAnsi="arial" w:cs="arial"/>
          <w:i/>
          <w:color w:val="000000"/>
          <w:sz w:val="20"/>
          <w:lang w:val="en-US" w:eastAsia="en-US" w:bidi="ar-SA"/>
        </w:rPr>
        <w:t>Sendher</w:t>
      </w:r>
      <w:r>
        <w:rPr>
          <w:rFonts w:ascii="arial" w:eastAsia="arial" w:hAnsi="arial" w:cs="arial"/>
          <w:color w:val="000000"/>
          <w:sz w:val="20"/>
          <w:lang w:val="en-US" w:eastAsia="en-US" w:bidi="ar-SA"/>
        </w:rPr>
        <w:t xml:space="preserve">]. However, the plaintiff must still establish on a balance of probabilities that there is a causal connection between the accident injuries and the pecuniary loss claimed; mere speculation is insufficient: </w:t>
      </w:r>
      <w:r>
        <w:rPr>
          <w:rFonts w:ascii="arial" w:eastAsia="arial" w:hAnsi="arial" w:cs="arial"/>
          <w:i/>
          <w:color w:val="000000"/>
          <w:sz w:val="20"/>
          <w:lang w:val="en-US" w:eastAsia="en-US" w:bidi="ar-SA"/>
        </w:rPr>
        <w:t>Sendher</w:t>
      </w:r>
      <w:r>
        <w:rPr>
          <w:rFonts w:ascii="arial" w:eastAsia="arial" w:hAnsi="arial" w:cs="arial"/>
          <w:color w:val="000000"/>
          <w:sz w:val="20"/>
          <w:lang w:val="en-US" w:eastAsia="en-US" w:bidi="ar-SA"/>
        </w:rPr>
        <w:t xml:space="preserve"> at para. 161; </w:t>
      </w:r>
      <w:r>
        <w:rPr>
          <w:rFonts w:ascii="arial" w:eastAsia="arial" w:hAnsi="arial" w:cs="arial"/>
          <w:i/>
          <w:color w:val="000000"/>
          <w:sz w:val="20"/>
          <w:lang w:val="en-US" w:eastAsia="en-US" w:bidi="ar-SA"/>
        </w:rPr>
        <w:t>Falati v. Smith</w:t>
      </w:r>
      <w:r>
        <w:rPr>
          <w:rFonts w:ascii="arial" w:eastAsia="arial" w:hAnsi="arial" w:cs="arial"/>
          <w:color w:val="000000"/>
          <w:sz w:val="20"/>
          <w:lang w:val="en-US" w:eastAsia="en-US" w:bidi="ar-SA"/>
        </w:rPr>
        <w:t xml:space="preserve">, </w:t>
      </w:r>
      <w:hyperlink r:id="rId702" w:history="1">
        <w:r>
          <w:rPr>
            <w:rFonts w:ascii="arial" w:eastAsia="arial" w:hAnsi="arial" w:cs="arial"/>
            <w:i/>
            <w:color w:val="0077CC"/>
            <w:sz w:val="20"/>
            <w:u w:val="single"/>
            <w:shd w:val="clear" w:color="auto" w:fill="FFFFFF"/>
            <w:lang w:val="en-US" w:eastAsia="en-US" w:bidi="ar-SA"/>
          </w:rPr>
          <w:t>2010 BCSC 465</w:t>
        </w:r>
      </w:hyperlink>
      <w:r>
        <w:rPr>
          <w:rFonts w:ascii="arial" w:eastAsia="arial" w:hAnsi="arial" w:cs="arial"/>
          <w:color w:val="000000"/>
          <w:sz w:val="20"/>
          <w:lang w:val="en-US" w:eastAsia="en-US" w:bidi="ar-SA"/>
        </w:rPr>
        <w:t xml:space="preserve"> at para. 43, aff'd </w:t>
      </w:r>
      <w:hyperlink r:id="rId703" w:history="1">
        <w:r>
          <w:rPr>
            <w:rFonts w:ascii="arial" w:eastAsia="arial" w:hAnsi="arial" w:cs="arial"/>
            <w:i/>
            <w:color w:val="0077CC"/>
            <w:sz w:val="20"/>
            <w:u w:val="single"/>
            <w:shd w:val="clear" w:color="auto" w:fill="FFFFFF"/>
            <w:lang w:val="en-US" w:eastAsia="en-US" w:bidi="ar-SA"/>
          </w:rPr>
          <w:t>2011 BCCA 45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Smith</w:t>
      </w:r>
      <w:r>
        <w:rPr>
          <w:rFonts w:ascii="arial" w:eastAsia="arial" w:hAnsi="arial" w:cs="arial"/>
          <w:color w:val="000000"/>
          <w:sz w:val="20"/>
          <w:lang w:val="en-US" w:eastAsia="en-US" w:bidi="ar-SA"/>
        </w:rPr>
        <w:t xml:space="preserve"> at para. 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303</w:t>
      </w:r>
      <w:r>
        <w:rPr>
          <w:rFonts w:ascii="arial" w:eastAsia="arial" w:hAnsi="arial" w:cs="arial"/>
          <w:color w:val="000000"/>
          <w:sz w:val="20"/>
          <w:lang w:val="en-US" w:eastAsia="en-US" w:bidi="ar-SA"/>
        </w:rPr>
        <w:t xml:space="preserve">  Pursuant to s. 98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a plaintiff is entitled to recover damages for only his or her past net income loss. This means that the court must deduct the amount of income tax payable from lost gross earnings: </w:t>
      </w:r>
      <w:r>
        <w:rPr>
          <w:rFonts w:ascii="arial" w:eastAsia="arial" w:hAnsi="arial" w:cs="arial"/>
          <w:i/>
          <w:color w:val="000000"/>
          <w:sz w:val="20"/>
          <w:lang w:val="en-US" w:eastAsia="en-US" w:bidi="ar-SA"/>
        </w:rPr>
        <w:t>Hudniuk v. Warkentin</w:t>
      </w:r>
      <w:r>
        <w:rPr>
          <w:rFonts w:ascii="arial" w:eastAsia="arial" w:hAnsi="arial" w:cs="arial"/>
          <w:color w:val="000000"/>
          <w:sz w:val="20"/>
          <w:lang w:val="en-US" w:eastAsia="en-US" w:bidi="ar-SA"/>
        </w:rPr>
        <w:t xml:space="preserve">, </w:t>
      </w:r>
      <w:hyperlink r:id="rId704" w:history="1">
        <w:r>
          <w:rPr>
            <w:rFonts w:ascii="arial" w:eastAsia="arial" w:hAnsi="arial" w:cs="arial"/>
            <w:i/>
            <w:color w:val="0077CC"/>
            <w:sz w:val="20"/>
            <w:u w:val="single"/>
            <w:shd w:val="clear" w:color="auto" w:fill="FFFFFF"/>
            <w:lang w:val="en-US" w:eastAsia="en-US" w:bidi="ar-SA"/>
          </w:rPr>
          <w:t>2003 BCSC 62</w:t>
        </w:r>
      </w:hyperlink>
      <w:r>
        <w:rPr>
          <w:rFonts w:ascii="arial" w:eastAsia="arial" w:hAnsi="arial" w:cs="arial"/>
          <w:color w:val="000000"/>
          <w:sz w:val="20"/>
          <w:lang w:val="en-US" w:eastAsia="en-US" w:bidi="ar-SA"/>
        </w:rPr>
        <w:t xml:space="preserve"> at para 40. The trial judge has a discretion to determine what period or periods of time are appropriate for the determination of net income loss: </w:t>
      </w:r>
      <w:r>
        <w:rPr>
          <w:rFonts w:ascii="arial" w:eastAsia="arial" w:hAnsi="arial" w:cs="arial"/>
          <w:i/>
          <w:color w:val="000000"/>
          <w:sz w:val="20"/>
          <w:lang w:val="en-US" w:eastAsia="en-US" w:bidi="ar-SA"/>
        </w:rPr>
        <w:t>Lines v. W.D. Logging Co. Ltd.</w:t>
      </w:r>
      <w:r>
        <w:rPr>
          <w:rFonts w:ascii="arial" w:eastAsia="arial" w:hAnsi="arial" w:cs="arial"/>
          <w:color w:val="000000"/>
          <w:sz w:val="20"/>
          <w:lang w:val="en-US" w:eastAsia="en-US" w:bidi="ar-SA"/>
        </w:rPr>
        <w:t xml:space="preserve">, </w:t>
      </w:r>
      <w:hyperlink r:id="rId164"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Lines</w:t>
      </w:r>
      <w:r>
        <w:rPr>
          <w:rFonts w:ascii="arial" w:eastAsia="arial" w:hAnsi="arial" w:cs="arial"/>
          <w:color w:val="000000"/>
          <w:sz w:val="20"/>
          <w:lang w:val="en-US" w:eastAsia="en-US" w:bidi="ar-SA"/>
        </w:rPr>
        <w:t xml:space="preserve">] at paras. 181-186. In exercising this discretion, the trial judge should keep in mind that the plaintiff is to be put back in the position he or she would have been in had the accident not occurred: </w:t>
      </w:r>
      <w:r>
        <w:rPr>
          <w:rFonts w:ascii="arial" w:eastAsia="arial" w:hAnsi="arial" w:cs="arial"/>
          <w:i/>
          <w:color w:val="000000"/>
          <w:sz w:val="20"/>
          <w:lang w:val="en-US" w:eastAsia="en-US" w:bidi="ar-SA"/>
        </w:rPr>
        <w:t>Lines</w:t>
      </w:r>
      <w:r>
        <w:rPr>
          <w:rFonts w:ascii="arial" w:eastAsia="arial" w:hAnsi="arial" w:cs="arial"/>
          <w:color w:val="000000"/>
          <w:sz w:val="20"/>
          <w:lang w:val="en-US" w:eastAsia="en-US" w:bidi="ar-SA"/>
        </w:rPr>
        <w:t xml:space="preserve"> at paras. 185-186.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Application to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While the plaintiff was not off work following the first accident, he did not work for some time following the second accident. He was off work from the second accident in February 2016 until returning full time and without accommodation at Simons in August 2016. He then worked for approximately one year before going off work following a lifting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305</w:t>
      </w:r>
      <w:r>
        <w:rPr>
          <w:rFonts w:ascii="arial" w:eastAsia="arial" w:hAnsi="arial" w:cs="arial"/>
          <w:color w:val="000000"/>
          <w:sz w:val="20"/>
          <w:lang w:val="en-US" w:eastAsia="en-US" w:bidi="ar-SA"/>
        </w:rPr>
        <w:t>  I accept the plaintiff's evidence respecting his injuries and the pain that he felt. I do not accept, however, that the injuries were such that they completely or partially disabled him from working. In reaching this conclusion, I rely in particular upon the testimony of a number of witnesses from Simons, who testified that in the year following the second accident, no one complained that the plaintiff was making mistakes or was otherwise cognitively impaired. Further, the plaintiff continued to seek out positions in grocery stores, knowing the duties that were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306</w:t>
      </w:r>
      <w:r>
        <w:rPr>
          <w:rFonts w:ascii="arial" w:eastAsia="arial" w:hAnsi="arial" w:cs="arial"/>
          <w:color w:val="000000"/>
          <w:sz w:val="20"/>
          <w:lang w:val="en-US" w:eastAsia="en-US" w:bidi="ar-SA"/>
        </w:rPr>
        <w:t>  I also rely on the opinion of Dr. Cameron who noted the plaintiff can still work at a less physically demanding job, and of Dr. Anderson who opined that the plaintiff should do easier work. Dr. Adrian and Dr. Gander also expressed similar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307</w:t>
      </w:r>
      <w:r>
        <w:rPr>
          <w:rFonts w:ascii="arial" w:eastAsia="arial" w:hAnsi="arial" w:cs="arial"/>
          <w:color w:val="000000"/>
          <w:sz w:val="20"/>
          <w:lang w:val="en-US" w:eastAsia="en-US" w:bidi="ar-SA"/>
        </w:rPr>
        <w:t>  I appreciate that the plaintiff had difficulties completing his work in early 2019 after taking a position at Askew's. However, I find the plaintiff's difficulties were compounded by the fact that he was away from his family and his support network by being isolated in Salmon Arm. I also find that the plaintiff tends to overstate his physical limitations, as was noted by Mr. Gander during the FCE.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308</w:t>
      </w:r>
      <w:r>
        <w:rPr>
          <w:rFonts w:ascii="arial" w:eastAsia="arial" w:hAnsi="arial" w:cs="arial"/>
          <w:color w:val="000000"/>
          <w:sz w:val="20"/>
          <w:lang w:val="en-US" w:eastAsia="en-US" w:bidi="ar-SA"/>
        </w:rPr>
        <w:t>  I accept that the plaintiff could have earned $95,000 a year at Simons. However, just taking the three years earnings before the first accident on average he was making: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22"/>
        <w:gridCol w:w="1150"/>
        <w:gridCol w:w="773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2010</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57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$86,300 (employment income)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2011</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57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$57,500 (employment income)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2012</w:t>
            </w:r>
          </w:p>
        </w:tc>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57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$32,800 (employment income)</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earned an average of $53,733 per year or approximately $4,500 per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309</w:t>
      </w:r>
      <w:r>
        <w:rPr>
          <w:rFonts w:ascii="arial" w:eastAsia="arial" w:hAnsi="arial" w:cs="arial"/>
          <w:color w:val="000000"/>
          <w:sz w:val="20"/>
          <w:lang w:val="en-US" w:eastAsia="en-US" w:bidi="ar-SA"/>
        </w:rPr>
        <w:t>  The plaintiff did not work for six months in 2016. The plaintiff was also off work from August 2017 to November 2018, when he commenced work at Askew's. He worked there for approximately six months, until he left on April 28, 2019. To date of judgment, he did not work for a total of 28 months. Had he been earning $95,000 per year, the plaintiff would have made approximately $221,700.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310</w:t>
      </w:r>
      <w:r>
        <w:rPr>
          <w:rFonts w:ascii="arial" w:eastAsia="arial" w:hAnsi="arial" w:cs="arial"/>
          <w:color w:val="000000"/>
          <w:sz w:val="20"/>
          <w:lang w:val="en-US" w:eastAsia="en-US" w:bidi="ar-SA"/>
        </w:rPr>
        <w:t>  I find that $120,000 is an appropriate award for past loss of earning capacity given the varying circumstances. I will leave it to the parties to make the appropriate deductions, with leave to seek further direction from the court if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FUTURE LOSS OF 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311</w:t>
      </w:r>
      <w:r>
        <w:rPr>
          <w:rFonts w:ascii="arial" w:eastAsia="arial" w:hAnsi="arial" w:cs="arial"/>
          <w:color w:val="000000"/>
          <w:sz w:val="20"/>
          <w:lang w:val="en-US" w:eastAsia="en-US" w:bidi="ar-SA"/>
        </w:rPr>
        <w:t xml:space="preserve">  A claim for loss of future earning capacity raises two key questions: 1) has the plaintiff's earning capacity been impaired by his or her injuries; and, if so 2) what compensation should be awarded for the resulting financial harm that will accrue over time? The assessment of loss must be based on the evidence, and not an application of a purely mathematical calculation. The appropriate means of assessment will vary from case to case: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36"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Pallos v. Insurance Corp. of British Columbia</w:t>
      </w:r>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Pett v. Pett</w:t>
      </w:r>
      <w:r>
        <w:rPr>
          <w:rFonts w:ascii="arial" w:eastAsia="arial" w:hAnsi="arial" w:cs="arial"/>
          <w:color w:val="000000"/>
          <w:sz w:val="20"/>
          <w:lang w:val="en-US" w:eastAsia="en-US" w:bidi="ar-SA"/>
        </w:rPr>
        <w:t xml:space="preserve">, </w:t>
      </w:r>
      <w:hyperlink r:id="rId119" w:history="1">
        <w:r>
          <w:rPr>
            <w:rFonts w:ascii="arial" w:eastAsia="arial" w:hAnsi="arial" w:cs="arial"/>
            <w:i/>
            <w:color w:val="0077CC"/>
            <w:sz w:val="20"/>
            <w:u w:val="single"/>
            <w:shd w:val="clear" w:color="auto" w:fill="FFFFFF"/>
            <w:lang w:val="en-US" w:eastAsia="en-US" w:bidi="ar-SA"/>
          </w:rPr>
          <w:t>2009 BCCA 232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312</w:t>
      </w:r>
      <w:r>
        <w:rPr>
          <w:rFonts w:ascii="arial" w:eastAsia="arial" w:hAnsi="arial" w:cs="arial"/>
          <w:color w:val="000000"/>
          <w:sz w:val="20"/>
          <w:lang w:val="en-US" w:eastAsia="en-US" w:bidi="ar-SA"/>
        </w:rPr>
        <w:t xml:space="preserve">  Insofar as possible, the plaintiff should be put in the position he or she would have been in but for the injuries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Lines</w:t>
      </w:r>
      <w:r>
        <w:rPr>
          <w:rFonts w:ascii="arial" w:eastAsia="arial" w:hAnsi="arial" w:cs="arial"/>
          <w:color w:val="000000"/>
          <w:sz w:val="20"/>
          <w:lang w:val="en-US" w:eastAsia="en-US" w:bidi="ar-SA"/>
        </w:rPr>
        <w:t xml:space="preserve"> at para. 185. The valuation of lost earning capacity involves a comparison of what the plaintiff likely would have earned but for the accident with what he will likely earn in his present condition: </w:t>
      </w:r>
      <w:r>
        <w:rPr>
          <w:rFonts w:ascii="arial" w:eastAsia="arial" w:hAnsi="arial" w:cs="arial"/>
          <w:i/>
          <w:color w:val="000000"/>
          <w:sz w:val="20"/>
          <w:lang w:val="en-US" w:eastAsia="en-US" w:bidi="ar-SA"/>
        </w:rPr>
        <w:t>Gregory v. Insurance Corp. of British Columbia</w:t>
      </w:r>
      <w:r>
        <w:rPr>
          <w:rFonts w:ascii="arial" w:eastAsia="arial" w:hAnsi="arial" w:cs="arial"/>
          <w:color w:val="000000"/>
          <w:sz w:val="20"/>
          <w:lang w:val="en-US" w:eastAsia="en-US" w:bidi="ar-SA"/>
        </w:rPr>
        <w:t xml:space="preserve">, </w:t>
      </w:r>
      <w:hyperlink r:id="rId120"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 32. Additionally, the overall fairness and reasonableness of the award must be considered. The task of the court is to assess the losses, not to calculate them mathematically: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124"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paras. 11 and 18. Finally, since future is unknown, allowance must be made for possibility that the assumptions upon which the award is based are wrong: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123"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aff'd </w:t>
      </w:r>
      <w:hyperlink r:id="rId344"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313</w:t>
      </w:r>
      <w:r>
        <w:rPr>
          <w:rFonts w:ascii="arial" w:eastAsia="arial" w:hAnsi="arial" w:cs="arial"/>
          <w:color w:val="000000"/>
          <w:sz w:val="20"/>
          <w:lang w:val="en-US" w:eastAsia="en-US" w:bidi="ar-SA"/>
        </w:rPr>
        <w:t xml:space="preserve">  There are two possible approaches to assessing loss of future earning capacity: the "earnings approach" and the "capital asset approach." Both are correct and will be more or less appropriate depending on whether the loss in question can be quantified in a measurable way: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116"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at para.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314</w:t>
      </w:r>
      <w:r>
        <w:rPr>
          <w:rFonts w:ascii="arial" w:eastAsia="arial" w:hAnsi="arial" w:cs="arial"/>
          <w:color w:val="000000"/>
          <w:sz w:val="20"/>
          <w:lang w:val="en-US" w:eastAsia="en-US" w:bidi="ar-SA"/>
        </w:rPr>
        <w:t>  The earnings approach involves a math-oriented methodology whereby the court:</w:t>
      </w:r>
      <w:r>
        <w:rPr>
          <w:rFonts w:ascii="arial" w:eastAsia="arial" w:hAnsi="arial" w:cs="arial"/>
          <w:sz w:val="20"/>
          <w:lang w:val="en-US" w:eastAsia="en-US" w:bidi="ar-SA"/>
        </w:rPr>
        <w:cr/>
      </w:r>
    </w:p>
    <w:p>
      <w:pPr>
        <w:numPr>
          <w:numId w:val="6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postulates a minimum annual income loss for the plaintiff's remaining years of work, multiplying the annual projected loss by the number of remaining years and calculating a present value; or</w:t>
      </w:r>
    </w:p>
    <w:p>
      <w:pPr>
        <w:numPr>
          <w:numId w:val="6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awards the plaintiff's entire annual income for a year or two.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at 271.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315</w:t>
      </w:r>
      <w:r>
        <w:rPr>
          <w:rFonts w:ascii="arial" w:eastAsia="arial" w:hAnsi="arial" w:cs="arial"/>
          <w:color w:val="000000"/>
          <w:sz w:val="20"/>
          <w:lang w:val="en-US" w:eastAsia="en-US" w:bidi="ar-SA"/>
        </w:rPr>
        <w:t>  The capital asset approach involves considering whether the plaintiff:</w:t>
      </w:r>
      <w:r>
        <w:rPr>
          <w:rFonts w:ascii="arial" w:eastAsia="arial" w:hAnsi="arial" w:cs="arial"/>
          <w:sz w:val="20"/>
          <w:lang w:val="en-US" w:eastAsia="en-US" w:bidi="ar-SA"/>
        </w:rPr>
        <w:cr/>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been rendered less capable overall from earning income in all types of employment;</w:t>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less marketable or attractive as a potential employee;</w:t>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lost the ability to take advantage of all job opportunities that might otherwise have been open; and</w:t>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at 356.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316</w:t>
      </w:r>
      <w:r>
        <w:rPr>
          <w:rFonts w:ascii="arial" w:eastAsia="arial" w:hAnsi="arial" w:cs="arial"/>
          <w:color w:val="000000"/>
          <w:sz w:val="20"/>
          <w:lang w:val="en-US" w:eastAsia="en-US" w:bidi="ar-SA"/>
        </w:rPr>
        <w:t xml:space="preserve">  Though the capital asset approach is not a "mathematical calculation", the trial judge must still explain the factual basis of the award: </w:t>
      </w:r>
      <w:r>
        <w:rPr>
          <w:rFonts w:ascii="arial" w:eastAsia="arial" w:hAnsi="arial" w:cs="arial"/>
          <w:i/>
          <w:color w:val="000000"/>
          <w:sz w:val="20"/>
          <w:lang w:val="en-US" w:eastAsia="en-US" w:bidi="ar-SA"/>
        </w:rPr>
        <w:t>Morgan v. Galbraith</w:t>
      </w:r>
      <w:r>
        <w:rPr>
          <w:rFonts w:ascii="arial" w:eastAsia="arial" w:hAnsi="arial" w:cs="arial"/>
          <w:color w:val="000000"/>
          <w:sz w:val="20"/>
          <w:lang w:val="en-US" w:eastAsia="en-US" w:bidi="ar-SA"/>
        </w:rPr>
        <w:t xml:space="preserve">, </w:t>
      </w:r>
      <w:hyperlink r:id="rId705" w:history="1">
        <w:r>
          <w:rPr>
            <w:rFonts w:ascii="arial" w:eastAsia="arial" w:hAnsi="arial" w:cs="arial"/>
            <w:i/>
            <w:color w:val="0077CC"/>
            <w:sz w:val="20"/>
            <w:u w:val="single"/>
            <w:shd w:val="clear" w:color="auto" w:fill="FFFFFF"/>
            <w:lang w:val="en-US" w:eastAsia="en-US" w:bidi="ar-SA"/>
          </w:rPr>
          <w:t>2013 BCCA 305</w:t>
        </w:r>
      </w:hyperlink>
      <w:r>
        <w:rPr>
          <w:rFonts w:ascii="arial" w:eastAsia="arial" w:hAnsi="arial" w:cs="arial"/>
          <w:color w:val="000000"/>
          <w:sz w:val="20"/>
          <w:lang w:val="en-US" w:eastAsia="en-US" w:bidi="ar-SA"/>
        </w:rPr>
        <w:t xml:space="preserve"> at para. 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317</w:t>
      </w:r>
      <w:r>
        <w:rPr>
          <w:rFonts w:ascii="arial" w:eastAsia="arial" w:hAnsi="arial" w:cs="arial"/>
          <w:color w:val="000000"/>
          <w:sz w:val="20"/>
          <w:lang w:val="en-US" w:eastAsia="en-US" w:bidi="ar-SA"/>
        </w:rPr>
        <w:t xml:space="preserve">  Ultimately the court must award damages in a manner that is reasonable in all the circumstances. Economic and statistical evidence is only useful to the extent that it assists in making a determination of what is fair and reasonable: </w:t>
      </w:r>
      <w:r>
        <w:rPr>
          <w:rFonts w:ascii="arial" w:eastAsia="arial" w:hAnsi="arial" w:cs="arial"/>
          <w:i/>
          <w:color w:val="000000"/>
          <w:sz w:val="20"/>
          <w:lang w:val="en-US" w:eastAsia="en-US" w:bidi="ar-SA"/>
        </w:rPr>
        <w:t>Grewal v. Naumann</w:t>
      </w:r>
      <w:r>
        <w:rPr>
          <w:rFonts w:ascii="arial" w:eastAsia="arial" w:hAnsi="arial" w:cs="arial"/>
          <w:color w:val="000000"/>
          <w:sz w:val="20"/>
          <w:lang w:val="en-US" w:eastAsia="en-US" w:bidi="ar-SA"/>
        </w:rPr>
        <w:t xml:space="preserve">, </w:t>
      </w:r>
      <w:hyperlink r:id="rId115" w:history="1">
        <w:r>
          <w:rPr>
            <w:rFonts w:ascii="arial" w:eastAsia="arial" w:hAnsi="arial" w:cs="arial"/>
            <w:i/>
            <w:color w:val="0077CC"/>
            <w:sz w:val="20"/>
            <w:u w:val="single"/>
            <w:shd w:val="clear" w:color="auto" w:fill="FFFFFF"/>
            <w:lang w:val="en-US" w:eastAsia="en-US" w:bidi="ar-SA"/>
          </w:rPr>
          <w:t>2017 BCCA 158</w:t>
        </w:r>
      </w:hyperlink>
      <w:r>
        <w:rPr>
          <w:rFonts w:ascii="arial" w:eastAsia="arial" w:hAnsi="arial" w:cs="arial"/>
          <w:color w:val="000000"/>
          <w:sz w:val="20"/>
          <w:lang w:val="en-US" w:eastAsia="en-US" w:bidi="ar-SA"/>
        </w:rPr>
        <w:t xml:space="preserve"> at para. 49, citing </w:t>
      </w:r>
      <w:r>
        <w:rPr>
          <w:rFonts w:ascii="arial" w:eastAsia="arial" w:hAnsi="arial" w:cs="arial"/>
          <w:i/>
          <w:color w:val="000000"/>
          <w:sz w:val="20"/>
          <w:lang w:val="en-US" w:eastAsia="en-US" w:bidi="ar-SA"/>
        </w:rPr>
        <w:t>Dunbar v. Mendez</w:t>
      </w:r>
      <w:r>
        <w:rPr>
          <w:rFonts w:ascii="arial" w:eastAsia="arial" w:hAnsi="arial" w:cs="arial"/>
          <w:color w:val="000000"/>
          <w:sz w:val="20"/>
          <w:lang w:val="en-US" w:eastAsia="en-US" w:bidi="ar-SA"/>
        </w:rPr>
        <w:t xml:space="preserve">, </w:t>
      </w:r>
      <w:hyperlink r:id="rId706" w:history="1">
        <w:r>
          <w:rPr>
            <w:rFonts w:ascii="arial" w:eastAsia="arial" w:hAnsi="arial" w:cs="arial"/>
            <w:i/>
            <w:color w:val="0077CC"/>
            <w:sz w:val="20"/>
            <w:u w:val="single"/>
            <w:shd w:val="clear" w:color="auto" w:fill="FFFFFF"/>
            <w:lang w:val="en-US" w:eastAsia="en-US" w:bidi="ar-SA"/>
          </w:rPr>
          <w:t>2016 BCCA 211</w:t>
        </w:r>
      </w:hyperlink>
      <w:r>
        <w:rPr>
          <w:rFonts w:ascii="arial" w:eastAsia="arial" w:hAnsi="arial" w:cs="arial"/>
          <w:color w:val="000000"/>
          <w:sz w:val="20"/>
          <w:lang w:val="en-US" w:eastAsia="en-US" w:bidi="ar-SA"/>
        </w:rPr>
        <w:t xml:space="preserve"> at para.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Plaintiff's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318</w:t>
      </w:r>
      <w:r>
        <w:rPr>
          <w:rFonts w:ascii="arial" w:eastAsia="arial" w:hAnsi="arial" w:cs="arial"/>
          <w:color w:val="000000"/>
          <w:sz w:val="20"/>
          <w:lang w:val="en-US" w:eastAsia="en-US" w:bidi="ar-SA"/>
        </w:rPr>
        <w:t>  In 2008, when the plaintiff was the franchisee of IGA, he paid himself a salary of $85,000. Since then, his annual income has been: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22"/>
        <w:gridCol w:w="627"/>
        <w:gridCol w:w="826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2009</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809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$86,256 (employment income)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2010</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809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$86,300 (employment income)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2011</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809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$56,732 (employment income)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2012</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809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$32,798 (employment income)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2013</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809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$96,287 (employment income)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2014</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809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$88,496 (employment income)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2015</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809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$100,501 ($99,929 employment income and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809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$572 from EI benefits)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2016</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809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$60,868 ($54,747 employment income and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809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$6,121 from EI benefits)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2017</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809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$68,459 ($60,314 from employment, $8,145</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809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from EI Benefits)</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Application to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319</w:t>
      </w:r>
      <w:r>
        <w:rPr>
          <w:rFonts w:ascii="arial" w:eastAsia="arial" w:hAnsi="arial" w:cs="arial"/>
          <w:color w:val="000000"/>
          <w:sz w:val="20"/>
          <w:lang w:val="en-US" w:eastAsia="en-US" w:bidi="ar-SA"/>
        </w:rPr>
        <w:t>  A determination of the plaintiff's loss of future earning capacity is very much dependent upon credibility and acceptance of the evidence of the plaintiff and his collateral witnesses respecting his ability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320</w:t>
      </w:r>
      <w:r>
        <w:rPr>
          <w:rFonts w:ascii="arial" w:eastAsia="arial" w:hAnsi="arial" w:cs="arial"/>
          <w:color w:val="000000"/>
          <w:sz w:val="20"/>
          <w:lang w:val="en-US" w:eastAsia="en-US" w:bidi="ar-SA"/>
        </w:rPr>
        <w:t>  Turning to the plaintiff's employment history, it is of note that he has never worked consistently without taking breaks. The plaintiff did not work for much of 2012, working instead without pay for his father. He stopped working again in 2017, doing stock day trading at home and losing over $50,000. He has a history of working for short periods of time for certain firms then leaving to try his hand in a different area. I thus do not agree with Mr. Lawless' opinion that, absent the accidents, the plaintiff would have continued to advance in the retail industry. I find instead that he has an ambivalent attitude to the workplace.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321</w:t>
      </w:r>
      <w:r>
        <w:rPr>
          <w:rFonts w:ascii="arial" w:eastAsia="arial" w:hAnsi="arial" w:cs="arial"/>
          <w:color w:val="000000"/>
          <w:sz w:val="20"/>
          <w:lang w:val="en-US" w:eastAsia="en-US" w:bidi="ar-SA"/>
        </w:rPr>
        <w:t>  This is not a case where I can find that the plaintiff would have otherwise been employed as a retail manager earning up to $95,000 per annum until retirement. I thus find that the earnings approach is inappropriate in the case at hand, and will determine the plaintiff's loss of earning capacity pursuant to the capital asset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322</w:t>
      </w:r>
      <w:r>
        <w:rPr>
          <w:rFonts w:ascii="arial" w:eastAsia="arial" w:hAnsi="arial" w:cs="arial"/>
          <w:color w:val="000000"/>
          <w:sz w:val="20"/>
          <w:lang w:val="en-US" w:eastAsia="en-US" w:bidi="ar-SA"/>
        </w:rPr>
        <w:t>  I do not entirely accept Mr. Lawless' opinion that the plaintiff is completely precluded from being a manager. At present it is clear that the plaintiff is unable to work in his prior capacity as a high functioning executive. However, he can still work in a less physically demanding position. Accordingly, I find that, while he cannot earn $80,000 to $100,000 annually, having declined work which has a physical component, he could nonetheless work as a lower level manager and earn $60,000 per annum.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323</w:t>
      </w:r>
      <w:r>
        <w:rPr>
          <w:rFonts w:ascii="arial" w:eastAsia="arial" w:hAnsi="arial" w:cs="arial"/>
          <w:color w:val="000000"/>
          <w:sz w:val="20"/>
          <w:lang w:val="en-US" w:eastAsia="en-US" w:bidi="ar-SA"/>
        </w:rPr>
        <w:t>  I do accept that the plaintiff has ongoing mental health issues which have impacted all areas of his life, for which he has only recently started treatment with a psychologist, Dr. Owen James. The plaintiff plans to see him on a weekly basis and has applied for funding for this. The plaintiff continues to explore other treatment possibilities, and has recently seen a rheumatologist and a physiatrist. The plaintiff confirms that if he is willing to try treatments from a pain clinic, physiotherapist, psychiatrist, registered massage therapist, nutritionist, and cognitive rehabilitation specialist.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324</w:t>
      </w:r>
      <w:r>
        <w:rPr>
          <w:rFonts w:ascii="arial" w:eastAsia="arial" w:hAnsi="arial" w:cs="arial"/>
          <w:color w:val="000000"/>
          <w:sz w:val="20"/>
          <w:lang w:val="en-US" w:eastAsia="en-US" w:bidi="ar-SA"/>
        </w:rPr>
        <w:t>  Given that the plaintiff has received minimal treatment for his GAD, MDD, and SSD beyond the initial appointment with Dr. Raycraft, I find it reasonable to expect that he will improve by exploring new therapies. With respect to his shoulder injury, according to Dr. Rickards, if the plaintiff follows the appropriate course of treatment, he could see recovery in six years. I thus take the contingency that the plaintiff will improve into consideration in assessing his claim for future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325</w:t>
      </w:r>
      <w:r>
        <w:rPr>
          <w:rFonts w:ascii="arial" w:eastAsia="arial" w:hAnsi="arial" w:cs="arial"/>
          <w:color w:val="000000"/>
          <w:sz w:val="20"/>
          <w:lang w:val="en-US" w:eastAsia="en-US" w:bidi="ar-SA"/>
        </w:rPr>
        <w:t>  In considering my finding that the plaintiff is capable of working in a lower-level management position, the contingency that his condition will continue to improve, and his employment history, I find that his claim seeking over $2 million in future loss of earning capacity is not realistic.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326</w:t>
      </w:r>
      <w:r>
        <w:rPr>
          <w:rFonts w:ascii="arial" w:eastAsia="arial" w:hAnsi="arial" w:cs="arial"/>
          <w:color w:val="000000"/>
          <w:sz w:val="20"/>
          <w:lang w:val="en-US" w:eastAsia="en-US" w:bidi="ar-SA"/>
        </w:rPr>
        <w:t>  He worked for an entire year following the second accident and, accordingly, there is some question about his inability to work on a sustained basis. While it is clear that he cannot work at the present time in the capacity he did when he started at Simons or before the accidents, he is nonetheless capable of employment in a less demanding position as was suggested the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327</w:t>
      </w:r>
      <w:r>
        <w:rPr>
          <w:rFonts w:ascii="arial" w:eastAsia="arial" w:hAnsi="arial" w:cs="arial"/>
          <w:color w:val="000000"/>
          <w:sz w:val="20"/>
          <w:lang w:val="en-US" w:eastAsia="en-US" w:bidi="ar-SA"/>
        </w:rPr>
        <w:t>  In the circumstances, I find that his future loss of earning capacity is more in the nature of $30,000 a year. I must, however, also consider economic contingencies of taking time from work such as illness, as well as taking time to care for others, unemployment, etc.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328</w:t>
      </w:r>
      <w:r>
        <w:rPr>
          <w:rFonts w:ascii="arial" w:eastAsia="arial" w:hAnsi="arial" w:cs="arial"/>
          <w:color w:val="000000"/>
          <w:sz w:val="20"/>
          <w:lang w:val="en-US" w:eastAsia="en-US" w:bidi="ar-SA"/>
        </w:rPr>
        <w:t>  I find there is little evidence on when the plaintiff would retire, and thus conclude that he would retire at age 65. Applying standard actuarial contingencies to his annual loss of $30,000 per annum, the plaintiff's loss of future earning capacity is assessed at $440,520.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 OF FUTURE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329</w:t>
      </w:r>
      <w:r>
        <w:rPr>
          <w:rFonts w:ascii="arial" w:eastAsia="arial" w:hAnsi="arial" w:cs="arial"/>
          <w:color w:val="000000"/>
          <w:sz w:val="20"/>
          <w:lang w:val="en-US" w:eastAsia="en-US" w:bidi="ar-SA"/>
        </w:rPr>
        <w:t xml:space="preserve">  An award for future care costs is based on what is reasonable necessary to promote the mental and physical health of the plaintiff: </w:t>
      </w:r>
      <w:r>
        <w:rPr>
          <w:rFonts w:ascii="arial" w:eastAsia="arial" w:hAnsi="arial" w:cs="arial"/>
          <w:i/>
          <w:color w:val="000000"/>
          <w:sz w:val="20"/>
          <w:lang w:val="en-US" w:eastAsia="en-US" w:bidi="ar-SA"/>
        </w:rPr>
        <w:t>Gignac v. Insurance Corporation of British Columbia</w:t>
      </w:r>
      <w:r>
        <w:rPr>
          <w:rFonts w:ascii="arial" w:eastAsia="arial" w:hAnsi="arial" w:cs="arial"/>
          <w:color w:val="000000"/>
          <w:sz w:val="20"/>
          <w:lang w:val="en-US" w:eastAsia="en-US" w:bidi="ar-SA"/>
        </w:rPr>
        <w:t xml:space="preserve">, </w:t>
      </w:r>
      <w:hyperlink r:id="rId129" w:history="1">
        <w:r>
          <w:rPr>
            <w:rFonts w:ascii="arial" w:eastAsia="arial" w:hAnsi="arial" w:cs="arial"/>
            <w:i/>
            <w:color w:val="0077CC"/>
            <w:sz w:val="20"/>
            <w:u w:val="single"/>
            <w:shd w:val="clear" w:color="auto" w:fill="FFFFFF"/>
            <w:lang w:val="en-US" w:eastAsia="en-US" w:bidi="ar-SA"/>
          </w:rPr>
          <w:t>2012 BCCA 351</w:t>
        </w:r>
      </w:hyperlink>
      <w:r>
        <w:rPr>
          <w:rFonts w:ascii="arial" w:eastAsia="arial" w:hAnsi="arial" w:cs="arial"/>
          <w:color w:val="000000"/>
          <w:sz w:val="20"/>
          <w:lang w:val="en-US" w:eastAsia="en-US" w:bidi="ar-SA"/>
        </w:rPr>
        <w:t xml:space="preserve"> at para. 29. The authorities establish that the items or services claimed must be medically justified and reasonable: </w:t>
      </w:r>
      <w:r>
        <w:rPr>
          <w:rFonts w:ascii="arial" w:eastAsia="arial" w:hAnsi="arial" w:cs="arial"/>
          <w:i/>
          <w:color w:val="000000"/>
          <w:sz w:val="20"/>
          <w:lang w:val="en-US" w:eastAsia="en-US" w:bidi="ar-SA"/>
        </w:rPr>
        <w:t>Hardychuk v. Johnstone</w:t>
      </w:r>
      <w:r>
        <w:rPr>
          <w:rFonts w:ascii="arial" w:eastAsia="arial" w:hAnsi="arial" w:cs="arial"/>
          <w:color w:val="000000"/>
          <w:sz w:val="20"/>
          <w:lang w:val="en-US" w:eastAsia="en-US" w:bidi="ar-SA"/>
        </w:rPr>
        <w:t xml:space="preserve">, </w:t>
      </w:r>
      <w:hyperlink r:id="rId346" w:history="1">
        <w:r>
          <w:rPr>
            <w:rFonts w:ascii="arial" w:eastAsia="arial" w:hAnsi="arial" w:cs="arial"/>
            <w:i/>
            <w:color w:val="0077CC"/>
            <w:sz w:val="20"/>
            <w:u w:val="single"/>
            <w:shd w:val="clear" w:color="auto" w:fill="FFFFFF"/>
            <w:lang w:val="en-US" w:eastAsia="en-US" w:bidi="ar-SA"/>
          </w:rPr>
          <w:t>2012 BCSC 1359</w:t>
        </w:r>
      </w:hyperlink>
      <w:r>
        <w:rPr>
          <w:rFonts w:ascii="arial" w:eastAsia="arial" w:hAnsi="arial" w:cs="arial"/>
          <w:color w:val="000000"/>
          <w:sz w:val="20"/>
          <w:lang w:val="en-US" w:eastAsia="en-US" w:bidi="ar-SA"/>
        </w:rPr>
        <w:t xml:space="preserve"> at paras. 210-211. The criterion to be used in addressing a claim future care costs is whether a reasonable person of ample means would be ready to incur the expense for which an award is sought. However, in assessing what is reasonably necessary to promote the plaintiff's health, the court should also look for evidence of a real and substantial possibility that the expense will be incurred: </w:t>
      </w:r>
      <w:r>
        <w:rPr>
          <w:rFonts w:ascii="arial" w:eastAsia="arial" w:hAnsi="arial" w:cs="arial"/>
          <w:i/>
          <w:color w:val="000000"/>
          <w:sz w:val="20"/>
          <w:lang w:val="en-US" w:eastAsia="en-US" w:bidi="ar-SA"/>
        </w:rPr>
        <w:t>Harrington v. Sangha</w:t>
      </w:r>
      <w:r>
        <w:rPr>
          <w:rFonts w:ascii="arial" w:eastAsia="arial" w:hAnsi="arial" w:cs="arial"/>
          <w:color w:val="000000"/>
          <w:sz w:val="20"/>
          <w:lang w:val="en-US" w:eastAsia="en-US" w:bidi="ar-SA"/>
        </w:rPr>
        <w:t xml:space="preserve">, </w:t>
      </w:r>
      <w:hyperlink r:id="rId707" w:history="1">
        <w:r>
          <w:rPr>
            <w:rFonts w:ascii="arial" w:eastAsia="arial" w:hAnsi="arial" w:cs="arial"/>
            <w:i/>
            <w:color w:val="0077CC"/>
            <w:sz w:val="20"/>
            <w:u w:val="single"/>
            <w:shd w:val="clear" w:color="auto" w:fill="FFFFFF"/>
            <w:lang w:val="en-US" w:eastAsia="en-US" w:bidi="ar-SA"/>
          </w:rPr>
          <w:t>2011 BCSC 1035</w:t>
        </w:r>
      </w:hyperlink>
      <w:r>
        <w:rPr>
          <w:rFonts w:ascii="arial" w:eastAsia="arial" w:hAnsi="arial" w:cs="arial"/>
          <w:color w:val="000000"/>
          <w:sz w:val="20"/>
          <w:lang w:val="en-US" w:eastAsia="en-US" w:bidi="ar-SA"/>
        </w:rPr>
        <w:t xml:space="preserve"> at paras. 150, 152.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Application to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330</w:t>
      </w:r>
      <w:r>
        <w:rPr>
          <w:rFonts w:ascii="arial" w:eastAsia="arial" w:hAnsi="arial" w:cs="arial"/>
          <w:color w:val="000000"/>
          <w:sz w:val="20"/>
          <w:lang w:val="en-US" w:eastAsia="en-US" w:bidi="ar-SA"/>
        </w:rPr>
        <w:t>  The plaintiff testified that he would be willing to try treatments from a pain clinic, physiotherapist, psychiatrist, registered massage therapist, nutritionist, and cognitive rehabilitation program. He would also like to try vocational counselling. He further seeks homemaking support, childcare, a comfortable chair and traction unit for use at home, a gym membership, and the costs of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331</w:t>
      </w:r>
      <w:r>
        <w:rPr>
          <w:rFonts w:ascii="arial" w:eastAsia="arial" w:hAnsi="arial" w:cs="arial"/>
          <w:color w:val="000000"/>
          <w:sz w:val="20"/>
          <w:lang w:val="en-US" w:eastAsia="en-US" w:bidi="ar-SA"/>
        </w:rPr>
        <w:t>  I find that assessing future care costs in this case is not straightforward. The plaintiff did not seek medical attention for over 30 days following the first accident, and did not attend the doctor for the entirety of 2014. Given his intermittent attendance on medical professionals, I do not find it likely that the will use all of the modalities of future care as suggested by Dr. Witty.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332</w:t>
      </w:r>
      <w:r>
        <w:rPr>
          <w:rFonts w:ascii="arial" w:eastAsia="arial" w:hAnsi="arial" w:cs="arial"/>
          <w:color w:val="000000"/>
          <w:sz w:val="20"/>
          <w:lang w:val="en-US" w:eastAsia="en-US" w:bidi="ar-SA"/>
        </w:rPr>
        <w:t>  I find that the plaintiff is being urged to continue with physiotherapy, and award $30,000 for that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333</w:t>
      </w:r>
      <w:r>
        <w:rPr>
          <w:rFonts w:ascii="arial" w:eastAsia="arial" w:hAnsi="arial" w:cs="arial"/>
          <w:color w:val="000000"/>
          <w:sz w:val="20"/>
          <w:lang w:val="en-US" w:eastAsia="en-US" w:bidi="ar-SA"/>
        </w:rPr>
        <w:t>  The plaintiff attends the gym. Accordingly, I will allow for ergonomic supplies with an initial outlay of $600. I will allow $4,000 for projected therapeutic modalities. For gym memberships and health maintenance, I will award $10,000.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334</w:t>
      </w:r>
      <w:r>
        <w:rPr>
          <w:rFonts w:ascii="arial" w:eastAsia="arial" w:hAnsi="arial" w:cs="arial"/>
          <w:color w:val="000000"/>
          <w:sz w:val="20"/>
          <w:lang w:val="en-US" w:eastAsia="en-US" w:bidi="ar-SA"/>
        </w:rPr>
        <w:t>  The plaintiff may undertake further training to assist in finding more sedentary work. I further accept that the plaintiff would require some vocational counselling if he were to find himself in need of alternate employment. I anticipate, however, that he will be able to return to retail management. I thus allow for vocational counselling and occupational therapy in the amount of $9,000.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335</w:t>
      </w:r>
      <w:r>
        <w:rPr>
          <w:rFonts w:ascii="arial" w:eastAsia="arial" w:hAnsi="arial" w:cs="arial"/>
          <w:color w:val="000000"/>
          <w:sz w:val="20"/>
          <w:lang w:val="en-US" w:eastAsia="en-US" w:bidi="ar-SA"/>
        </w:rPr>
        <w:t>  I make an award for medication costs in the amount of $1,300.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336</w:t>
      </w:r>
      <w:r>
        <w:rPr>
          <w:rFonts w:ascii="arial" w:eastAsia="arial" w:hAnsi="arial" w:cs="arial"/>
          <w:color w:val="000000"/>
          <w:sz w:val="20"/>
          <w:lang w:val="en-US" w:eastAsia="en-US" w:bidi="ar-SA"/>
        </w:rPr>
        <w:t>  I am mindful that the plaintiff testified that he would try anything. However, his past behaviour suggests otherwise as he has not followed through with certain medications or continued with therapeutic recommendations, as demonstrated by discontinuing care for a year following the second accident. Accordingly, his award under this heading is limited.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337</w:t>
      </w:r>
      <w:r>
        <w:rPr>
          <w:rFonts w:ascii="arial" w:eastAsia="arial" w:hAnsi="arial" w:cs="arial"/>
          <w:color w:val="000000"/>
          <w:sz w:val="20"/>
          <w:lang w:val="en-US" w:eastAsia="en-US" w:bidi="ar-SA"/>
        </w:rPr>
        <w:t>  I award a total of $54,900 ($30,000 + $600 + $4,000 + $10,000 + $9,000 + $1,300) for cost of future care, including non-recurring cost for the future care needs of health maintenance and leisure, projected therapeutic modalities, and ergonomic supplies. I make no award for home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338</w:t>
      </w:r>
      <w:r>
        <w:rPr>
          <w:rFonts w:ascii="arial" w:eastAsia="arial" w:hAnsi="arial" w:cs="arial"/>
          <w:color w:val="000000"/>
          <w:sz w:val="20"/>
          <w:lang w:val="en-US" w:eastAsia="en-US" w:bidi="ar-SA"/>
        </w:rPr>
        <w:t>  Plaintiff's counsel reported the plaintiff's special damages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555"/>
        <w:gridCol w:w="1778"/>
        <w:gridCol w:w="51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Raincoast Physiotherapy</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$50</w:t>
            </w:r>
          </w:p>
        </w:tc>
        <w:tc>
          <w:tcPr>
            <w:tcW w:w="501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Burrard Physiotherapy</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$30</w:t>
            </w:r>
          </w:p>
        </w:tc>
        <w:tc>
          <w:tcPr>
            <w:tcW w:w="501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Gastown Physiotherapy</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$350.25</w:t>
            </w:r>
          </w:p>
        </w:tc>
        <w:tc>
          <w:tcPr>
            <w:tcW w:w="501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Treloar Physiotherapy</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$280</w:t>
            </w:r>
          </w:p>
        </w:tc>
        <w:tc>
          <w:tcPr>
            <w:tcW w:w="501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Turning Point Rehab</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$3,714.78</w:t>
            </w:r>
          </w:p>
        </w:tc>
        <w:tc>
          <w:tcPr>
            <w:tcW w:w="501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Blue Sky Physiotherapy</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$613</w:t>
            </w:r>
          </w:p>
        </w:tc>
        <w:tc>
          <w:tcPr>
            <w:tcW w:w="501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Treloar Physiotherapy</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$430</w:t>
            </w:r>
          </w:p>
        </w:tc>
        <w:tc>
          <w:tcPr>
            <w:tcW w:w="501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Prescription Medication</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$420.08</w:t>
            </w:r>
          </w:p>
        </w:tc>
        <w:tc>
          <w:tcPr>
            <w:tcW w:w="501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Miscellaneous Medical</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$515</w:t>
            </w:r>
          </w:p>
        </w:tc>
        <w:tc>
          <w:tcPr>
            <w:tcW w:w="501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$6,403.11</w:t>
            </w:r>
          </w:p>
        </w:tc>
        <w:tc>
          <w:tcPr>
            <w:tcW w:w="5018"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339</w:t>
      </w:r>
      <w:r>
        <w:rPr>
          <w:rFonts w:ascii="arial" w:eastAsia="arial" w:hAnsi="arial" w:cs="arial"/>
          <w:color w:val="000000"/>
          <w:sz w:val="20"/>
          <w:lang w:val="en-US" w:eastAsia="en-US" w:bidi="ar-SA"/>
        </w:rPr>
        <w:t>  As well, the plaintiff had out laid for numerous medications and BC Ambulance Service respecting the second accident. The special damages totalled $6,403.11.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340</w:t>
      </w:r>
      <w:r>
        <w:rPr>
          <w:rFonts w:ascii="arial" w:eastAsia="arial" w:hAnsi="arial" w:cs="arial"/>
          <w:color w:val="000000"/>
          <w:sz w:val="20"/>
          <w:lang w:val="en-US" w:eastAsia="en-US" w:bidi="ar-SA"/>
        </w:rPr>
        <w:t>  The plaintiff testified to a number of prescriptions that he paid for as well as for the costs for medical notes and for BC Ambulance Services at $80.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341</w:t>
      </w:r>
      <w:r>
        <w:rPr>
          <w:rFonts w:ascii="arial" w:eastAsia="arial" w:hAnsi="arial" w:cs="arial"/>
          <w:color w:val="000000"/>
          <w:sz w:val="20"/>
          <w:lang w:val="en-US" w:eastAsia="en-US" w:bidi="ar-SA"/>
        </w:rPr>
        <w:t>  In evidence were all the documents (receipts, bills) paid by the plaintiff. I accept that evidence. For special damages, I award in the amount of $6,403.11.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 TRUST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342</w:t>
      </w:r>
      <w:r>
        <w:rPr>
          <w:rFonts w:ascii="arial" w:eastAsia="arial" w:hAnsi="arial" w:cs="arial"/>
          <w:color w:val="000000"/>
          <w:sz w:val="20"/>
          <w:lang w:val="en-US" w:eastAsia="en-US" w:bidi="ar-SA"/>
        </w:rPr>
        <w:t xml:space="preserve">  I note that the plaintiff seeks in trust claim on behalf of Ms. Neil and his family. The test for in trust claims is set out in </w:t>
      </w:r>
      <w:r>
        <w:rPr>
          <w:rFonts w:ascii="arial" w:eastAsia="arial" w:hAnsi="arial" w:cs="arial"/>
          <w:i/>
          <w:color w:val="000000"/>
          <w:sz w:val="20"/>
          <w:lang w:val="en-US" w:eastAsia="en-US" w:bidi="ar-SA"/>
        </w:rPr>
        <w:t>Bystedt (Guardian ad litem of) v. Bagdan</w:t>
      </w:r>
      <w:r>
        <w:rPr>
          <w:rFonts w:ascii="arial" w:eastAsia="arial" w:hAnsi="arial" w:cs="arial"/>
          <w:color w:val="000000"/>
          <w:sz w:val="20"/>
          <w:lang w:val="en-US" w:eastAsia="en-US" w:bidi="ar-SA"/>
        </w:rPr>
        <w:t xml:space="preserve">, </w:t>
      </w:r>
      <w:hyperlink r:id="rId137" w:history="1">
        <w:r>
          <w:rPr>
            <w:rFonts w:ascii="arial" w:eastAsia="arial" w:hAnsi="arial" w:cs="arial"/>
            <w:i/>
            <w:color w:val="0077CC"/>
            <w:sz w:val="20"/>
            <w:u w:val="single"/>
            <w:shd w:val="clear" w:color="auto" w:fill="FFFFFF"/>
            <w:lang w:val="en-US" w:eastAsia="en-US" w:bidi="ar-SA"/>
          </w:rPr>
          <w:t>2001 BCSC 1735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Bystedt</w:t>
      </w:r>
      <w:r>
        <w:rPr>
          <w:rFonts w:ascii="arial" w:eastAsia="arial" w:hAnsi="arial" w:cs="arial"/>
          <w:color w:val="000000"/>
          <w:sz w:val="20"/>
          <w:lang w:val="en-US" w:eastAsia="en-US" w:bidi="ar-SA"/>
        </w:rPr>
        <w:t xml:space="preserve">] at para. 180, aff'd </w:t>
      </w:r>
      <w:hyperlink r:id="rId708" w:history="1">
        <w:r>
          <w:rPr>
            <w:rFonts w:ascii="arial" w:eastAsia="arial" w:hAnsi="arial" w:cs="arial"/>
            <w:i/>
            <w:color w:val="0077CC"/>
            <w:sz w:val="20"/>
            <w:u w:val="single"/>
            <w:shd w:val="clear" w:color="auto" w:fill="FFFFFF"/>
            <w:lang w:val="en-US" w:eastAsia="en-US" w:bidi="ar-SA"/>
          </w:rPr>
          <w:t>2004 BCCA 124</w:t>
        </w:r>
      </w:hyperlink>
      <w:r>
        <w:rPr>
          <w:rFonts w:ascii="arial" w:eastAsia="arial" w:hAnsi="arial" w:cs="arial"/>
          <w:color w:val="000000"/>
          <w:sz w:val="20"/>
          <w:lang w:val="en-US" w:eastAsia="en-US" w:bidi="ar-SA"/>
        </w:rPr>
        <w:t xml:space="preserve">, and requires a consideration of six relevant factors. For an in trust claim to be established, the services provided to the plaintiff must go above and beyond what one would be expected to be performed out of a sense of love, friendship, or family duty: </w:t>
      </w:r>
      <w:r>
        <w:rPr>
          <w:rFonts w:ascii="arial" w:eastAsia="arial" w:hAnsi="arial" w:cs="arial"/>
          <w:i/>
          <w:color w:val="000000"/>
          <w:sz w:val="20"/>
          <w:lang w:val="en-US" w:eastAsia="en-US" w:bidi="ar-SA"/>
        </w:rPr>
        <w:t>Dufault v. Kathed Holdings Ltd.</w:t>
      </w:r>
      <w:r>
        <w:rPr>
          <w:rFonts w:ascii="arial" w:eastAsia="arial" w:hAnsi="arial" w:cs="arial"/>
          <w:color w:val="000000"/>
          <w:sz w:val="20"/>
          <w:lang w:val="en-US" w:eastAsia="en-US" w:bidi="ar-SA"/>
        </w:rPr>
        <w:t xml:space="preserve">, </w:t>
      </w:r>
      <w:hyperlink r:id="rId709" w:history="1">
        <w:r>
          <w:rPr>
            <w:rFonts w:ascii="arial" w:eastAsia="arial" w:hAnsi="arial" w:cs="arial"/>
            <w:i/>
            <w:color w:val="0077CC"/>
            <w:sz w:val="20"/>
            <w:u w:val="single"/>
            <w:shd w:val="clear" w:color="auto" w:fill="FFFFFF"/>
            <w:lang w:val="en-US" w:eastAsia="en-US" w:bidi="ar-SA"/>
          </w:rPr>
          <w:t>2007 BCSC 186</w:t>
        </w:r>
      </w:hyperlink>
      <w:r>
        <w:rPr>
          <w:rFonts w:ascii="arial" w:eastAsia="arial" w:hAnsi="arial" w:cs="arial"/>
          <w:color w:val="000000"/>
          <w:sz w:val="20"/>
          <w:lang w:val="en-US" w:eastAsia="en-US" w:bidi="ar-SA"/>
        </w:rPr>
        <w:t xml:space="preserve"> at para. 176.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343</w:t>
      </w:r>
      <w:r>
        <w:rPr>
          <w:rFonts w:ascii="arial" w:eastAsia="arial" w:hAnsi="arial" w:cs="arial"/>
          <w:color w:val="000000"/>
          <w:sz w:val="20"/>
          <w:lang w:val="en-US" w:eastAsia="en-US" w:bidi="ar-SA"/>
        </w:rPr>
        <w:t xml:space="preserve">  The six relevant factors from </w:t>
      </w:r>
      <w:r>
        <w:rPr>
          <w:rFonts w:ascii="arial" w:eastAsia="arial" w:hAnsi="arial" w:cs="arial"/>
          <w:i/>
          <w:color w:val="000000"/>
          <w:sz w:val="20"/>
          <w:lang w:val="en-US" w:eastAsia="en-US" w:bidi="ar-SA"/>
        </w:rPr>
        <w:t>Bystedt</w:t>
      </w:r>
      <w:r>
        <w:rPr>
          <w:rFonts w:ascii="arial" w:eastAsia="arial" w:hAnsi="arial" w:cs="arial"/>
          <w:color w:val="000000"/>
          <w:sz w:val="20"/>
          <w:lang w:val="en-US" w:eastAsia="en-US" w:bidi="ar-SA"/>
        </w:rPr>
        <w:t xml:space="preserve"> are:</w:t>
      </w:r>
      <w:r>
        <w:rPr>
          <w:rFonts w:ascii="arial" w:eastAsia="arial" w:hAnsi="arial" w:cs="arial"/>
          <w:sz w:val="20"/>
          <w:lang w:val="en-US" w:eastAsia="en-US" w:bidi="ar-SA"/>
        </w:rPr>
        <w:cr/>
      </w:r>
    </w:p>
    <w:p>
      <w:pPr>
        <w:numPr>
          <w:numId w:val="9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services provided must replace services necessary for the care of the plaintiff as a result of a plaintiff's injuries;</w:t>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services are rendered by a family member, they must be over and above what would be expected from the family relationship;</w:t>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maximum value of such services is the cost of obtaining the services outside the family;</w:t>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opportunity cost to the care-giving family member is lower than the cost of obtaining the services independently, the court will award the lower amount;</w:t>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quantification should reflect the true and reasonable value of the services performed taking into account the time, quality and nature of those services;</w:t>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family members providing the services need not forego other income and there need not be payment for the services rendered.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Application to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344</w:t>
      </w:r>
      <w:r>
        <w:rPr>
          <w:rFonts w:ascii="arial" w:eastAsia="arial" w:hAnsi="arial" w:cs="arial"/>
          <w:color w:val="000000"/>
          <w:sz w:val="20"/>
          <w:lang w:val="en-US" w:eastAsia="en-US" w:bidi="ar-SA"/>
        </w:rPr>
        <w:t>  There was little evidence that the Ms. Neil has been required to do anything extra beyond what she normally does. While I can infer that her housekeeping responsibility has increased, there was no evidence of her providing extra personal care to the plaintiff. Nor was there evidence that the plaintiff's family was providing him personal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345</w:t>
      </w:r>
      <w:r>
        <w:rPr>
          <w:rFonts w:ascii="arial" w:eastAsia="arial" w:hAnsi="arial" w:cs="arial"/>
          <w:color w:val="000000"/>
          <w:sz w:val="20"/>
          <w:lang w:val="en-US" w:eastAsia="en-US" w:bidi="ar-SA"/>
        </w:rPr>
        <w:t>  I find that there is no indication that Ms. Neil is providing to the plaintiff will go above and beyond what she has always done and, consequently, I make no award under this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 OF AWARDS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346</w:t>
      </w:r>
      <w:r>
        <w:rPr>
          <w:rFonts w:ascii="arial" w:eastAsia="arial" w:hAnsi="arial" w:cs="arial"/>
          <w:color w:val="000000"/>
          <w:sz w:val="20"/>
          <w:lang w:val="en-US" w:eastAsia="en-US" w:bidi="ar-SA"/>
        </w:rPr>
        <w:t>  In summary, I award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601"/>
        <w:gridCol w:w="480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$160,000.00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loss of earning capacity:</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$120,000.00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Future loss of earning capacity:</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$440,520.00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 of future care:</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$54,900.00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$6,403.11</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 trust claim:</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Total</w:t>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$781,823.11</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347</w:t>
      </w:r>
      <w:r>
        <w:rPr>
          <w:rFonts w:ascii="arial" w:eastAsia="arial" w:hAnsi="arial" w:cs="arial"/>
          <w:color w:val="000000"/>
          <w:sz w:val="20"/>
          <w:lang w:val="en-US" w:eastAsia="en-US" w:bidi="ar-SA"/>
        </w:rPr>
        <w:t>  In the event that counsel are unable to reach an agreement respecting costs, they may, within 60 days of the release of this judgment, arrange to address costs by contacting the Supreme Court Scheduling.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 MAISONVILLE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4" style="position:absolute;z-index:2517954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10"/>
          <w:headerReference w:type="default" r:id="rId711"/>
          <w:footerReference w:type="even" r:id="rId712"/>
          <w:footerReference w:type="default" r:id="rId713"/>
          <w:headerReference w:type="first" r:id="rId714"/>
          <w:footerReference w:type="first" r:id="rId71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16" w:history="1">
        <w:r>
          <w:rPr>
            <w:rFonts w:ascii="arial" w:eastAsia="arial" w:hAnsi="arial" w:cs="arial"/>
            <w:b/>
            <w:bCs/>
            <w:i/>
            <w:color w:val="0077CC"/>
            <w:kern w:val="32"/>
            <w:sz w:val="28"/>
            <w:szCs w:val="32"/>
            <w:u w:val="single"/>
            <w:shd w:val="clear" w:color="auto" w:fill="FFFFFF"/>
            <w:lang w:val="en-US" w:eastAsia="en-US" w:bidi="ar-SA"/>
          </w:rPr>
          <w:t>Silverstone Trucking Ltd. v. Pacific Dispatch Ltd., [2015] B.C.J. No. 656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 Crawford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20,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9,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S132216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656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533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24 C.B.R. (6th) 331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252 A.C.W.S. (3d) 481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CarswellBC 896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Silverstone Trucking Ltd., Plaintiff, and Pacific Dispatch Ltd., Bhupinder Singh Dhillon and Kiewit Flatiron General Partnership,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(83 paras.)</w:t>
      </w:r>
    </w:p>
    <w:p>
      <w:pPr>
        <w:jc w:val="both"/>
        <w:rPr>
          <w:rFonts w:ascii="arial" w:eastAsia="arial" w:hAnsi="arial" w:cs="arial"/>
          <w:sz w:val="20"/>
          <w:lang w:val="en-US" w:eastAsia="en-US" w:bidi="ar-SA"/>
        </w:rPr>
      </w:pPr>
      <w:bookmarkStart w:id="118" w:name="Counsel_34"/>
      <w:bookmarkEnd w:id="11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5" style="position:absolute;z-index:2516951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 Gautam.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Kiewit Flatiron General Partnership: M. Demers.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Defendant, Bhupinder Singh Dhillon: In Person.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9" w:name="Judgment_34"/>
      <w:bookmarkEnd w:id="119"/>
      <w:r>
        <w:pict>
          <v:line id="_x0000_s1146" style="position:absolute;z-index:25174630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0" w:name="R. CRAWFORD J."/>
            <w:bookmarkEnd w:id="120"/>
            <w:r>
              <w:rPr>
                <w:rFonts w:ascii="arial" w:eastAsia="arial" w:hAnsi="arial" w:cs="arial"/>
                <w:b/>
                <w:color w:val="000000"/>
                <w:sz w:val="30"/>
                <w:lang w:val="en-US" w:eastAsia="en-US" w:bidi="ar-SA"/>
              </w:rPr>
              <w:t>R. CRAWFORD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 Kiewit Flatiron General Partnership ("KF") moves to dismiss the plaintiff's claim against KF on the basis that it discloses no genuine issue for trial pursuant to Rule 9-6; and in the alternative that the plaintiff's claim be dismissed by way of summary trial pursuant to Rule 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a summary trial application by the defendant, the onus is still on the plaintiff to establish the factual and legal elements of the claim on a balance of probabilities. Mr. Harpreet Dhillon, the principal of the plaintiff company Silverstone Trucking Ltd., has filed two affidavits. I am satisfied on the basis of his evidence, as well as other evidence and argument put before me, that I can deal with this matter by way of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claim arises out of the construction of the new Port Mann Bridge.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 KF contracted with Transportation Investment Corporation to perform improvements and expansion around the Port Mann Bridge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his second affidavit, Mr. Dhillon appends four agreements made between December 24, 2008 and April 1, 2010 by KF with two companies, Falcon West Contracting Ltd. ("Falcon West") and Falcon Leasing Ltd. that are said to relate to the construction of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Dhillon says that in May 2009 his "long-time friend", the defendant Bhupinder Singh Dhillon ("BD"), approached him and asked if he would provide his truck and some drivers for the Port Mann Bridge Highway 1 improvement project, telling him he had a contract with KF to provide dump trucks and drivers for the project. BD was the alter ego of Falcon West and Falcon Leasing Ltd., as well as another company, the defendant Pacific Dispatch Ltd. Mr. Dhillon says he does not know which of BD's companies contracted with KF.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There is no written agreement between the plaintiff and BD. What Mr. Dhillon does put in evidence are the invoices from the plaintiff to Pacific Dispatch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Dhillon says he arranged to provide drivers and trucks to the project via the plaintiff company from May 22, 2009 to October 30, 2009. The oral agreement was that the plaintiff would be paid within 90 days from the end of each month in which the plaintiff rendered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first payment was due August 31, 2009. The plaintiff was not paid, but the plaintiff continued to provide trucks and drivers in September and October on BD's "assurances" that he would "shortly clear all invoices of the plaintiff". This did not happen and the plaintiff stopped providing trucks and drivers.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early December BD approached Mr. Dhillon again saying he urgently needed some more dump trucks and promised to pay that very day. Trucks were provided December 3, 4 and 8, 2009, but yet again the plaintiff was not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By January 10, 2010 the plaintiff was owed $148,763.67 plus interest. Of that amount, $132,286.60 was for work performed by the plaintiff for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Dhillon says that on February 11, 2010 he called KF's telephone number. Ms. Cathy Hendrickson answered the phone, listened to him, and said she would look into the matter "to make necessary and appropriate arrangements to ensure payment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Dhillon also forwarded his unpaid invoices to KF's accounting department.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call to KF had some effect. On or about March 4, 2010, BD called Mr. Dhillon and asked him to come to his office and collect payment. On March 5, 2010 BD provided Mr. Dhillon with five cheques of $20,000 each, and said the balance would be paid shortly. BD instructed Mr. Dhillon to only deposit one cheque the following day, and wait for advice as to when to deposit the other cheques.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BD also asked Mr. Dhillon to tell Ms. Hendrickson that Silverstone had been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Dhillon says he deposited one of the cheques and it cleared.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 copy of the cheques is in the affidavit material. I will presume for a moment that the cheque that cleared was No. 283 and was dated on or about March 5,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There were four other cheques: See Mr. Dhillon's Affidavit #1, Tab C. They are in numerical sequence: No. 284, dated November 17, 2010; No. 285, dated November 17, 2010; No. 286, dated November 17, 2010; and No. 287, dated June 6,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Hendrickson did not call Mr. Dhillon and he did not call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Dhillon says "whenever I ask BD as to depositing the other four cheques, he would ask me to wait on pre-text or another".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am obliged to comment that given that three of the cheques are dated for November 2010, I do not make sense of that assertion.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April 2010 Mr. Dhillon asked his wife to speak to BD's wife but without any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Dhillon says that BD called him on April 22, 2010 and asked him to attend his office. Mr. Dhillon says "since I already had the cheques I told him I could just deposit those but he stated he wished to give me one new cheque". Mr. Dhillon attended BD's office and was given a cheque for $5,000, which did clear.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Dhillon says BD again said he would call him to let him know when to deposit the previously provided cheques, but BD was waiting for payment from KF.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May 2010, Mr. Dhillon called Ms. Hendrickson's office number but it was no longer in service. In June 2010 he called KF and spoke with Mr. Colis Lim, who said he would look into the matter. On June 7, 2010 Mr. Dhillon forwarded his invoices to Mr. Lim and on June 22, 2010 Mr. Lim confirmed "he has added me to his file".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early July Mr. Dhillon contacted Mr. Lim who confirmed he had verified the invoices. He said the invoices matched their records and he would be transferring the file to Mr. Wes Renaud.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Dhillon says he spoke to Mr. Renaud several times. He said he was assured Mr. Renaud was "working towards getting payments released directly by KF but there were certain formalities that needed to be taken care of". In a later call Mr. Renaud advised Mr. Dhillon "that they were working towards getting [him] an endorsement cheque". Mr. Dhillon says he did not know the meaning of "endorsement cheque".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the third week of August Mr. Renaud asked Mr. Dhillon to get a written statement signed by BD confirming the total amount of outstanding money due and owing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Dhillon asked if there were sufficient holdback monies to cover his invoices, to which Mr. Renaud said he could not disclose. Mr. Renaud reiterated his request that Mr. Dhillon get signed confirmation from BD of the monies 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further conversation Mr. Renaud said he would pay on a "first come first serve basis" and Mr. Renaud advised that meant that whoever got confirmation first would be paid from what funds were left for settling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However Mr. Dhillon says when he went to BD to get written confirmation, BD "kept on making excuses".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Dhillon says at the end of August 2010 he called Mr. Renaud and told him BD was making excuses and would not give written confirmation. He says Mr. Renaud said he would look into it. Mr. Dhillon asked for a meeting to be arranged with BD but a week later when Mr. Dhillon called Mr. Renaud, Mr. Renaud said he was unable to contact BD.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Dhillon says he then himself requested BD attend a meeting with Mr. Renaud and Mr. Lim so the plaintiff could get paid. Mr. Dhillon says BD told him no one could release "his money" to Mr. Dhillon and refused to attend a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Dhillon says in the third week of September he told Mr. Renaud of BD's refusal. Mr. Dhillon says Mr. Renaud told him KF could not pay him directly. Mr. Dhillon said he was "shocked and surprised". He further stated "Mr. Wes made a complete U-turn" and "I said to him this was completely opposite to what he and Mr. Lim had been promising me and assuring me for the past three months" to which he says Mr. Renaud said "I am sorry".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Renaud then in turn passed Mr. Dhillon on to his supervisor, Mr. Ryan Tones.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Dhillon spoke with Mr. Tones and said Mr. Tones knew about his case, as he knew about the four cheques BD had given him in March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He says he asked Mr. Tones "why did you waste my three months?" He says he was told they were trying work things out and Mr. Dhillon should get legal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KF's documents show that on September 13, 2010 KF ended their relationship with BD, Falcon West and Falcon Leasing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Well before that, on June 12, 2010, Mr. Tones in a memorandum to Mr. Lim and Mr. Renaud had said "guys lets go to joint cheques for the Falcon West truckers and get this solved": Mr. Dhillon's Affidavit #2, p. 97. As is evident from the internal communications of KF's employees, BD and Falcon West's failure to pay other unpaid truckers had been an ongoing problem from December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another correspondence on September 7, 2010, Mr. Renaud complained to Mr. Tones that he had spent a great deal of time over the last three months with "Bob and his subs" trying to come up with an agreed amount owing from "Falcon" to his sub-contractors. He had three confirmed agreements but three other sub-contractors "have yet to come to an agreement. Uncoincidentally, these are the 3 largest dollar amount disputes that Bob has. I need to get Bob and his subs to agree to an amount owing before I can cut joint cheques."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Renaud went on to indicate that he did not want to "release any money directly to Falcon until [BD] gets his house in order... this means that he needs to get an amount owing with his remaining subs and provide me with a letter signed by both parties indicating what the amount is... We could then discuss a payment plan and move on with cutting joint cheques": Mr. Dhillon's Affidavit # 2, p. 68.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On September 13, 2010 Mr. Renaud sent a memorandum to KF employees saying "we had a meeting with Bob from Falcon on Friday afternoon and informed him we will no longer be requiring his services" and not to use Falcon West Leasing or any other BD related companies under any circumstances: Mr. Dhillon's Affidavit # 2, pp. 78 and 104.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On October 7, 2010 Mr. Dhillon sent a letter to several MLAs and the Transportation Deputy Minister regarding his unpaid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He noted he had been in conversation with KF and stated "they said they were going to take money from Bob Dhillon and hold enough money until they could pay us our amount which is over $100,000. They held $175,000 from Bob Dhillon/Falcon West Trucking and yesterday called me and told me they cannot get me the money and are going to give Bob Dhillon the money. We cannot put a lean [sic] on the project because it is a highway project", and he sought the help of the recipients of the letter: Mr. Dhillon's Affidavit #1, p.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Correspondence then ensued with the Ministry of Transportation and KF, KF advising that the broker (Falcon West) had provided statutory declarations that it had paid its subcontractors and thus any claim would lie between Falcon West and the subcontractors. On October 20, 2010, Gary Dawson, Vice President, Technical Services, Port Mann Highway Project, Transportation Investment Corporation wrote to Mr. Dhillon. Mr. Dawson noted he took his concerns very seriously and had discussed them with KF. Mr. Dawson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Kiewit/Flatiron has assured us that they paid your broker, Falcon West, for the work in question, which was performed in 2009. Release of these payments was based on statutory declarations provided by Falcon West confirming all subcontractors had been paid.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result of your email however, Kiewit/Flatiron has been in touch with Falcon West in regards to your concern and we understand Kiewit/Flatiron is prepared to pay you directly for outstanding work performed by you on the PMH1 project. The amount would have to be agreed upon by you, your broker and Kiewit/Flatiron, in consideration of disbursements already paid to Falcon West. I encourage you discuss this option with Falcon West in order to resolve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It is also evident that BD did agree to paying some of the smaller subcontractors' accounts: on September 17, to ZR Trucking, $8,323.88; BSB Trucking, $3,800; Nordell Trucking and Contracting, $17,620; and on September 20, 2010, to Dash Mash Trucking, $1,764.64.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It also appears that between July 15, 2010 and October 15, 2010 KF paid Falcon Leasing Ltd. $151,970.04.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It is fair to comment that by mid-June, if not before, KF knew that BD's statutory declarations were not true and that they attempted to resolve matters with the various truckers, but only those that managed to persuade BD to put his signature to their unpaid bills were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Dhillon's statement that in May 2009 BD was a "long-time friend" is belied by BD's betrayal in not paying for the plaintiff's services, and the untrue statutory declarations.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Dhillon says BD no longer operates Falcon West and Falcon Leasing Ltd. and his residential home has been foreclosed. He further stated in his second affidavit of January 29, 2015: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wish to say that if [KF] had not given me the assurances and promises about payments of my invoices which led me to believe my invoices will be paid without the need for legal action, I would have immediately contacted a lawyer to seek my legal remedies in accordance with the law. I knew at the time that the partnership [KF] was holding back monies from Falcon West/Falcon Leasing and I believe I could have enforced my entitlement to those monies but for the representations and promises from [KF].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Litigation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notice of civil claim in this matter naming Pacific Dispatch Ltd., Bhupinder Singh Dhillon and Kiewit Flatiron Partnership as parties was issued on January 10, 2011. It was amended on October 17, 2011 alleging the following causes of action:</w:t>
      </w:r>
      <w:r>
        <w:rPr>
          <w:rFonts w:ascii="arial" w:eastAsia="arial" w:hAnsi="arial" w:cs="arial"/>
          <w:sz w:val="20"/>
          <w:lang w:val="en-US" w:eastAsia="en-US" w:bidi="ar-SA"/>
        </w:rPr>
        <w:cr/>
      </w:r>
    </w:p>
    <w:p>
      <w:pPr>
        <w:numPr>
          <w:numId w:val="1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KF owed the plaintiff a fiduciary duty and breached that duty by releasing holdback money to BP and/or his companies;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KF was unjustly enriched by the work performed by the plaintiff; and</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KF promised or assured the plaintiff that it would be paid and ultimately failed to honour its promise, and as a result KF is estopped from denying liability.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KF's Application for Summary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On October 18, 2011, KF brought an application before Mr. Justice Williams seeking to have the plaintiff's claims dismissed on summary judgment. Mr. Justice Williams gave judgment October 27,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With regards to the fiduciary duty claim, his Lordship held there was no basis to find KF had a duty to hold back funds as the project was exempt from the requirements of the </w:t>
      </w:r>
      <w:r>
        <w:rPr>
          <w:rFonts w:ascii="arial" w:eastAsia="arial" w:hAnsi="arial" w:cs="arial"/>
          <w:i/>
          <w:color w:val="000000"/>
          <w:sz w:val="20"/>
          <w:lang w:val="en-US" w:eastAsia="en-US" w:bidi="ar-SA"/>
        </w:rPr>
        <w:t>Builders Lien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1997, c. 45</w:t>
      </w:r>
      <w:r>
        <w:rPr>
          <w:rFonts w:ascii="arial" w:eastAsia="arial" w:hAnsi="arial" w:cs="arial"/>
          <w:color w:val="000000"/>
          <w:sz w:val="20"/>
          <w:lang w:val="en-US" w:eastAsia="en-US" w:bidi="ar-SA"/>
        </w:rPr>
        <w:t>. He found the claim bound to fail and dismissed that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With regards to the estoppel claim, his Lordship noted the established principle that the doctrine of estoppel can be used as a shield but not a sword, and here it was undisputed that the plaintiff was seeking to use the doctrine to found rather than defeat a claim. However on the evidence he declined to dismiss the claim, allowing the plaintiff to have additional time to pursue further discovery or produce further affidavit evidence and clarify this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On the unjust enrichment claim, his Lordship noted KF had paid for the services rendered by the plaintiff by issuing a cheque to BD's company, to whom it was contractually obliged to pay. His Lordship observed that a contractual obligation is a circumstance that will result in denial of recovery under the heading of unjust enrichment. He adjourned the matter to allow the plaintiff to find additional evidence. Subsequently, on August 8, 2013 an order was entered by the plaintiff by consent dismissing the claim for unjust enrichment.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Pleadings Amended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On August 8, 2013, the plaintiff further amended its pleadings alleging a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Prior to that time the plaintiff had made discovery of a KF representative on February 23,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 pleading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stated that KF assumed a duty of care to the plaintiff by agreeing to pay money owing to the plaintiff or ensure BD and/or his companies would pay the plaintiff; that the plaintiff relied on KF's statements and believed it would fulfil its "duty of care"; that the duty of care required KF to verify the authenticity, accuracy and truthfulness of the statutory declarations provided by BD and/or his companies and confirm to the plaintiff that the monies due and owing were paid in full before releasing funds to any other party; and that KF breached its duty of care by failing to verify the authenticity, accuracy and truthfulness of the statutory declarations provided by BD or his companies, and by failing to confirm with the plaintiff that monies due and owing to it were paid before releasing funds to other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plaintiff filed a notice of trial on June 19, 2014 setting the matter down on April 15, 2015 for three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On December 22, 2014, KF filed a notice of application to dismiss the plaintiff's claim, which is the application before me today.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Estoppel Claim</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Promissory Estoppel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The plaintiff pleads promissory estoppel. However, the law is clearly stated in </w:t>
      </w:r>
      <w:r>
        <w:rPr>
          <w:rFonts w:ascii="arial" w:eastAsia="arial" w:hAnsi="arial" w:cs="arial"/>
          <w:i/>
          <w:color w:val="000000"/>
          <w:sz w:val="20"/>
          <w:lang w:val="en-US" w:eastAsia="en-US" w:bidi="ar-SA"/>
        </w:rPr>
        <w:t>Calgary Firefighters Association</w:t>
      </w:r>
      <w:r>
        <w:rPr>
          <w:rFonts w:ascii="arial" w:eastAsia="arial" w:hAnsi="arial" w:cs="arial"/>
          <w:color w:val="000000"/>
          <w:sz w:val="20"/>
          <w:lang w:val="en-US" w:eastAsia="en-US" w:bidi="ar-SA"/>
        </w:rPr>
        <w:t xml:space="preserve"> v. </w:t>
      </w:r>
      <w:r>
        <w:rPr>
          <w:rFonts w:ascii="arial" w:eastAsia="arial" w:hAnsi="arial" w:cs="arial"/>
          <w:i/>
          <w:color w:val="000000"/>
          <w:sz w:val="20"/>
          <w:lang w:val="en-US" w:eastAsia="en-US" w:bidi="ar-SA"/>
        </w:rPr>
        <w:t>Calgary (City)</w:t>
      </w:r>
      <w:r>
        <w:rPr>
          <w:rFonts w:ascii="arial" w:eastAsia="arial" w:hAnsi="arial" w:cs="arial"/>
          <w:color w:val="000000"/>
          <w:sz w:val="20"/>
          <w:lang w:val="en-US" w:eastAsia="en-US" w:bidi="ar-SA"/>
        </w:rPr>
        <w:t xml:space="preserve">, </w:t>
      </w:r>
      <w:hyperlink r:id="rId717" w:history="1">
        <w:r>
          <w:rPr>
            <w:rFonts w:ascii="arial" w:eastAsia="arial" w:hAnsi="arial" w:cs="arial"/>
            <w:i/>
            <w:color w:val="0077CC"/>
            <w:sz w:val="20"/>
            <w:u w:val="single"/>
            <w:shd w:val="clear" w:color="auto" w:fill="FFFFFF"/>
            <w:lang w:val="en-US" w:eastAsia="en-US" w:bidi="ar-SA"/>
          </w:rPr>
          <w:t>2011 ABCA 121</w:t>
        </w:r>
      </w:hyperlink>
      <w:r>
        <w:rPr>
          <w:rFonts w:ascii="arial" w:eastAsia="arial" w:hAnsi="arial" w:cs="arial"/>
          <w:color w:val="000000"/>
          <w:sz w:val="20"/>
          <w:lang w:val="en-US" w:eastAsia="en-US" w:bidi="ar-SA"/>
        </w:rPr>
        <w:t>, at para. 3: "the doctrine of promissory estoppel could not be used to create positive obligations. This doctrine is limited to providing a defence against enforcement of otherwise enforceable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any case, I cannot find a legal promise made by KF to the plaintiff to base a claim of estoppel. There is no contractual relationship between the plaintiff and the defendant, KF, nor do the words or conduct of KF constitute a promise or assurance as Mr. Dhillon claims. At best, all that KF said to Mr. Dhillon was that he needed to get BD to confirm in writing the monies to be paid and they would then issue a joint payment from the monies that were then being held. Some other companies managed to get BD's signature but not the plaintiff or Mr. Dhillon.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More recently, Mr. Dhillon has alleged that in reliance on what was being said by the KF representatives, he did not pursue his legal remedies. However, there was no promise or assurance, as Mr. Dhillon calls it, made by KF that they would pay him directly, such that it would entitle him to a legal remedy against KF. The evidence is that there were monies being held and he needed to get BD's signature.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There is also no evidence that Mr. Dhillon could not have at an earlier time asserted his legal rights against BD and Pacific Dispatch Ltd. to sue in contract as he eventually did in early 2011. There is no evidence other than his recent statement that he "held his fire". Nobody suggested that he should not exercise his legal remedies as against BD and Pacific Dispatch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There is no evidence that BD or the plaintiff altered their legal positions at any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It is plain Mr. Dhillon made a handshake deal with his long-time friend and was duped. There is insufficient evidence to ground an estoppel claim against KF.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Proprietary Estoppel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 limited basis to found this cause of action pertains to claims related to real property. That is plainly the law: see the reasons of the Nova Scotia Court of Appeal in </w:t>
      </w:r>
      <w:r>
        <w:rPr>
          <w:rFonts w:ascii="arial" w:eastAsia="arial" w:hAnsi="arial" w:cs="arial"/>
          <w:i/>
          <w:color w:val="000000"/>
          <w:sz w:val="20"/>
          <w:lang w:val="en-US" w:eastAsia="en-US" w:bidi="ar-SA"/>
        </w:rPr>
        <w:t>Maritime Telegraph and Telephone Co. v. Château Lafleur Development Corp.</w:t>
      </w:r>
      <w:r>
        <w:rPr>
          <w:rFonts w:ascii="arial" w:eastAsia="arial" w:hAnsi="arial" w:cs="arial"/>
          <w:color w:val="000000"/>
          <w:sz w:val="20"/>
          <w:lang w:val="en-US" w:eastAsia="en-US" w:bidi="ar-SA"/>
        </w:rPr>
        <w:t xml:space="preserve"> </w:t>
      </w:r>
      <w:hyperlink r:id="rId718" w:history="1">
        <w:r>
          <w:rPr>
            <w:rFonts w:ascii="arial" w:eastAsia="arial" w:hAnsi="arial" w:cs="arial"/>
            <w:i/>
            <w:color w:val="0077CC"/>
            <w:sz w:val="20"/>
            <w:u w:val="single"/>
            <w:shd w:val="clear" w:color="auto" w:fill="FFFFFF"/>
            <w:lang w:val="en-US" w:eastAsia="en-US" w:bidi="ar-SA"/>
          </w:rPr>
          <w:t>2001 NSCA 167</w:t>
        </w:r>
      </w:hyperlink>
      <w:r>
        <w:rPr>
          <w:rFonts w:ascii="arial" w:eastAsia="arial" w:hAnsi="arial" w:cs="arial"/>
          <w:color w:val="000000"/>
          <w:sz w:val="20"/>
          <w:lang w:val="en-US" w:eastAsia="en-US" w:bidi="ar-SA"/>
        </w:rPr>
        <w:t xml:space="preserve"> at paras. 37, 50, and the British Columbia Court of Appeal in </w:t>
      </w:r>
      <w:r>
        <w:rPr>
          <w:rFonts w:ascii="arial" w:eastAsia="arial" w:hAnsi="arial" w:cs="arial"/>
          <w:i/>
          <w:color w:val="000000"/>
          <w:sz w:val="20"/>
          <w:lang w:val="en-US" w:eastAsia="en-US" w:bidi="ar-SA"/>
        </w:rPr>
        <w:t>Sabey v. Rommel,</w:t>
      </w:r>
      <w:r>
        <w:rPr>
          <w:rFonts w:ascii="arial" w:eastAsia="arial" w:hAnsi="arial" w:cs="arial"/>
          <w:color w:val="000000"/>
          <w:sz w:val="20"/>
          <w:lang w:val="en-US" w:eastAsia="en-US" w:bidi="ar-SA"/>
        </w:rPr>
        <w:t xml:space="preserve"> </w:t>
      </w:r>
      <w:hyperlink r:id="rId719" w:history="1">
        <w:r>
          <w:rPr>
            <w:rFonts w:ascii="arial" w:eastAsia="arial" w:hAnsi="arial" w:cs="arial"/>
            <w:i/>
            <w:color w:val="0077CC"/>
            <w:sz w:val="20"/>
            <w:u w:val="single"/>
            <w:shd w:val="clear" w:color="auto" w:fill="FFFFFF"/>
            <w:lang w:val="en-US" w:eastAsia="en-US" w:bidi="ar-SA"/>
          </w:rPr>
          <w:t>2014 BCCA 360</w:t>
        </w:r>
      </w:hyperlink>
      <w:r>
        <w:rPr>
          <w:rFonts w:ascii="arial" w:eastAsia="arial" w:hAnsi="arial" w:cs="arial"/>
          <w:color w:val="000000"/>
          <w:sz w:val="20"/>
          <w:lang w:val="en-US" w:eastAsia="en-US" w:bidi="ar-SA"/>
        </w:rPr>
        <w:t xml:space="preserve"> at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As this case does not relate to real property, any claim of proprietary estoppel fails.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While the pleading relating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is not particularly clear, Mr. Gautam, counsel for the plaintiff, referred to </w:t>
      </w:r>
      <w:r>
        <w:rPr>
          <w:rFonts w:ascii="arial" w:eastAsia="arial" w:hAnsi="arial" w:cs="arial"/>
          <w:i/>
          <w:color w:val="000000"/>
          <w:sz w:val="20"/>
          <w:lang w:val="en-US" w:eastAsia="en-US" w:bidi="ar-SA"/>
        </w:rPr>
        <w:t>Fort McMurray Roman Catholic School District No. 32 v. Fort McMurray School District No. 2833</w:t>
      </w:r>
      <w:r>
        <w:rPr>
          <w:rFonts w:ascii="arial" w:eastAsia="arial" w:hAnsi="arial" w:cs="arial"/>
          <w:color w:val="000000"/>
          <w:sz w:val="20"/>
          <w:lang w:val="en-US" w:eastAsia="en-US" w:bidi="ar-SA"/>
        </w:rPr>
        <w:t xml:space="preserve">, </w:t>
      </w:r>
      <w:hyperlink r:id="rId720" w:history="1">
        <w:r>
          <w:rPr>
            <w:rFonts w:ascii="arial" w:eastAsia="arial" w:hAnsi="arial" w:cs="arial"/>
            <w:i/>
            <w:color w:val="0077CC"/>
            <w:sz w:val="20"/>
            <w:u w:val="single"/>
            <w:shd w:val="clear" w:color="auto" w:fill="FFFFFF"/>
            <w:lang w:val="en-US" w:eastAsia="en-US" w:bidi="ar-SA"/>
          </w:rPr>
          <w:t>[1992] 6 W.W.R. 520</w:t>
        </w:r>
      </w:hyperlink>
      <w:r>
        <w:rPr>
          <w:rFonts w:ascii="arial" w:eastAsia="arial" w:hAnsi="arial" w:cs="arial"/>
          <w:color w:val="000000"/>
          <w:sz w:val="20"/>
          <w:lang w:val="en-US" w:eastAsia="en-US" w:bidi="ar-SA"/>
        </w:rPr>
        <w:t xml:space="preserve"> (A.B.Q.B.) at para. 48, for the factors to consider in a case of alleged 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factors to consider were:</w:t>
      </w:r>
      <w:r>
        <w:rPr>
          <w:rFonts w:ascii="arial" w:eastAsia="arial" w:hAnsi="arial" w:cs="arial"/>
          <w:sz w:val="20"/>
          <w:lang w:val="en-US" w:eastAsia="en-US" w:bidi="ar-SA"/>
        </w:rPr>
        <w:cr/>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Voluntarily assumed responsibility for the misrepresentation;</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knew or ought to have known the plaintiff would reasonably rely on the misrepresentation;</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and the plaintiff were in a special relationship with one another before the defendant had direct or indirect interest in the transaction in respect to which the representation was made;</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was a professional or someone who possessed professional skills, judgment or knowledge;</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advice or information was provided in the course of the defendant's business;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information or advice was given deliberately and not on a social occasion;</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information or advice was given in response to a special inquiry or request.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plaintiff asserts KF voluntarily promised the plaintiff it would pay the plaintiff's unpaid invoices, either directly or from funds held back from Falcon West.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do not find that to be a fact. There was no promise, nor was there voluntary assumption of responsibility to pay the plaintiff's unpaid invoices. There is no evidence of a misrepresentation. Again, all that KF said to Mr. Dhillon was that he needed to get BD to confirm in writing the monies to be paid and they would then issue a joint payment from the monies that were then being held. This does not amount to KF voluntarily assuming responsibility for the debts Falcon West or Falcon Leasing Ltd. owed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factors of a special relationship, reasonable reliance, and reasonable foreseeability of reliance are also lacking.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There was no evidence KF knew that the plaintiff was reasonably relying on what was being said.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In terms of law, arguably there is a proximity relationship, but not a special relationship. It was not a question of the plaintiff relying on the professional skills, judgment, or knowledge of the employees of KF, as is required by law to establish a special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Information was nonetheless given in the course of KF's business and was in response to Mr. Dhillon's inquiries.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As well, the plaintiff argues KF in its contract with Falcon West had the option to withhold payments from Falcon West as per the following provision: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2(b) Contractor may deduct from any amounts due or to become due to the trucker, any sum or sums owed by trucker to the contractor or contractors affiliated entities, and in the event of any breach by the trucker of any provision or obligation of this agreement, or in the event of the assertion by other parties of any claim or lien against the contractor or the premises arising out of the truckers performance of this agreement, the contractor shall have the right to retain out of any payments due or to become due to the trucker an amount sufficient to completely protect the contractor from any and all loss, damage or expense there from, until situation has been satisfactorily remedied or adjusted by the trucker.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On its plain reading the provision allows KF to withhold monies in the event of a claim against KF arising out the truckers' (Falcon West) performance of the agreement so as to protect KF from "any or all loss, damage or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It is not clear to me on the evidence whether in fact that was the basis for KF holding monies back from Falcon West. In any event, KF plainly did attempt to try and resolve some of the other trucking companies' claims against Falcon West and to some degree some of the other truckers were successful, if they obtained BD's signature confirming 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However, I do not find a negligent misstatement by KF or its employees, such that liability would arise as between the plaintiff and KF.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In sum, I do not find a factual basis that KF promised to pay the plaintiff's unpaid invoices, or cause others to pay.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Accordingly, KF succeeds on this application and the plaintiff's claims against it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KF is entitled to its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 CRAWFORD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7" style="position:absolute;z-index:2517964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21"/>
          <w:headerReference w:type="default" r:id="rId722"/>
          <w:footerReference w:type="even" r:id="rId723"/>
          <w:footerReference w:type="default" r:id="rId724"/>
          <w:headerReference w:type="first" r:id="rId725"/>
          <w:footerReference w:type="first" r:id="rId72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27" w:history="1">
        <w:r>
          <w:rPr>
            <w:rFonts w:ascii="arial" w:eastAsia="arial" w:hAnsi="arial" w:cs="arial"/>
            <w:b/>
            <w:bCs/>
            <w:i/>
            <w:color w:val="0077CC"/>
            <w:kern w:val="32"/>
            <w:sz w:val="28"/>
            <w:szCs w:val="32"/>
            <w:u w:val="single"/>
            <w:shd w:val="clear" w:color="auto" w:fill="FFFFFF"/>
            <w:lang w:val="en-US" w:eastAsia="en-US" w:bidi="ar-SA"/>
          </w:rPr>
          <w:t>Singh v. Lepitre, [2019] B.C.J. No. 1905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 MacNaughton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12-15,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9,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M154195, M31412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 and Chilliwack</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1905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1728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Amrinder Singh, Plaintiff, and Sandra Lepitre, Defendant And between Jaskirat Singh Sekhon, Plaintiff, and Sandra Lepitre,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(115 paras.)</w:t>
      </w:r>
    </w:p>
    <w:p>
      <w:pPr>
        <w:jc w:val="both"/>
        <w:rPr>
          <w:rFonts w:ascii="arial" w:eastAsia="arial" w:hAnsi="arial" w:cs="arial"/>
          <w:sz w:val="20"/>
          <w:lang w:val="en-US" w:eastAsia="en-US" w:bidi="ar-SA"/>
        </w:rPr>
      </w:pPr>
      <w:bookmarkStart w:id="121" w:name="Counsel_35"/>
      <w:bookmarkEnd w:id="12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8" style="position:absolute;z-index:2516961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Amrinder Singh: K. Powar.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Plaintiff Jaskirat Singh Sekhon: H. Bains.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C. Jago.</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2" w:name="Judgment_35"/>
      <w:bookmarkEnd w:id="122"/>
      <w:r>
        <w:pict>
          <v:line id="_x0000_s1149" style="position:absolute;z-index:25174732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ASSESSMENT OF THE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Santokh Khakh's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APPLICABLE LEGAL PRINCIPLES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Statutory Duty of Care</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Were Mr. Singh and Mr. Sekhon pedestrians?</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Relevant statutory provisions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Common Law Duty of Care</w:t>
      </w:r>
    </w:p>
    <w:p>
      <w:pPr>
        <w:spacing w:before="120" w:line="260" w:lineRule="atLeast"/>
        <w:ind w:firstLine="240"/>
        <w:rPr>
          <w:rFonts w:ascii="arial" w:eastAsia="arial" w:hAnsi="arial" w:cs="arial"/>
          <w:sz w:val="20"/>
          <w:lang w:val="en-US" w:eastAsia="en-US" w:bidi="ar-SA"/>
        </w:rPr>
      </w:pPr>
      <w:r>
        <w:rPr>
          <w:rFonts w:ascii="arial" w:eastAsia="arial" w:hAnsi="arial" w:cs="arial"/>
          <w:b/>
          <w:i/>
          <w:color w:val="000000"/>
          <w:sz w:val="20"/>
          <w:lang w:val="en-US" w:eastAsia="en-US" w:bidi="ar-SA"/>
        </w:rPr>
        <w:t>Where was Ms. Lepitre's vehicle parked prior to the accident?</w:t>
      </w:r>
    </w:p>
    <w:p>
      <w:pPr>
        <w:spacing w:before="120" w:line="260" w:lineRule="atLeast"/>
        <w:ind w:firstLine="240"/>
        <w:rPr>
          <w:rFonts w:ascii="arial" w:eastAsia="arial" w:hAnsi="arial" w:cs="arial"/>
          <w:sz w:val="20"/>
          <w:lang w:val="en-US" w:eastAsia="en-US" w:bidi="ar-SA"/>
        </w:rPr>
      </w:pPr>
      <w:r>
        <w:rPr>
          <w:rFonts w:ascii="arial" w:eastAsia="arial" w:hAnsi="arial" w:cs="arial"/>
          <w:b/>
          <w:i/>
          <w:color w:val="000000"/>
          <w:sz w:val="20"/>
          <w:lang w:val="en-US" w:eastAsia="en-US" w:bidi="ar-SA"/>
        </w:rPr>
        <w:t>How far in front of Ms. Lepitre's vehicle were Mr. Singh and Mr. Sekhon seated?</w:t>
      </w:r>
    </w:p>
    <w:p>
      <w:pPr>
        <w:spacing w:before="120" w:line="260" w:lineRule="atLeast"/>
        <w:ind w:firstLine="240"/>
        <w:rPr>
          <w:rFonts w:ascii="arial" w:eastAsia="arial" w:hAnsi="arial" w:cs="arial"/>
          <w:sz w:val="20"/>
          <w:lang w:val="en-US" w:eastAsia="en-US" w:bidi="ar-SA"/>
        </w:rPr>
      </w:pPr>
      <w:r>
        <w:rPr>
          <w:rFonts w:ascii="arial" w:eastAsia="arial" w:hAnsi="arial" w:cs="arial"/>
          <w:b/>
          <w:i/>
          <w:color w:val="000000"/>
          <w:sz w:val="20"/>
          <w:lang w:val="en-US" w:eastAsia="en-US" w:bidi="ar-SA"/>
        </w:rPr>
        <w:t>Were Mr. Singh and Mr. Sekhon there to be seen by Ms. Lepitre?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RELATIVE BLAMEWORTHINESS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3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3" w:name="H. MacNAUGHTON J."/>
            <w:bookmarkEnd w:id="123"/>
            <w:r>
              <w:rPr>
                <w:rFonts w:ascii="arial" w:eastAsia="arial" w:hAnsi="arial" w:cs="arial"/>
                <w:b/>
                <w:color w:val="000000"/>
                <w:sz w:val="30"/>
                <w:lang w:val="en-US" w:eastAsia="en-US" w:bidi="ar-SA"/>
              </w:rPr>
              <w:t>H. MacNAUGHTON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trial was solely to determine liability for an August 11, 2014 accident in which a Honda CR-V, owned and driven by the defendant, Sandra Lepitre, struck the plaintiffs, Amrinder Singh and Jaskirat Singh Sekhon (the "accident"). Ms. Lepitre struck Mr. Singh and Mr. Sekhon at about 1:00 p.m. while they were seated on Aurora Road in North Vancouver, B.C., eating their lunch.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Singh and Mr. Sekhon say that Ms. Lepitre is liable for the accident. They say they were sitting in a place where it was safe for them to do so, and that they were there to be seen by Ms. Lepitre, if she had been paying due care and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Lepitre denies that she is liable for the accident. She says that she did not see Mr. Singh and Mr. Sekhon until after she struck them because they sat in front of her car, in an area where it was not possible for her to see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It is not controversial that in order to establish that Ms. Lepitre was negligent, Mr. Singh and Mr. Sekhon must establish, on a balance of probabilities, that:</w:t>
      </w:r>
      <w:r>
        <w:rPr>
          <w:rFonts w:ascii="arial" w:eastAsia="arial" w:hAnsi="arial" w:cs="arial"/>
          <w:sz w:val="20"/>
          <w:lang w:val="en-US" w:eastAsia="en-US" w:bidi="ar-SA"/>
        </w:rPr>
        <w:cr/>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Lepitre owed them a duty of care;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breached the applicable standard of care;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Singh and Mr. Sekhon sustained damages;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Singh and Mr. Sekhon's damages were caused, in fact and in law, by Ms. Lepitre's breach of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for example, </w:t>
      </w:r>
      <w:r>
        <w:rPr>
          <w:rFonts w:ascii="arial" w:eastAsia="arial" w:hAnsi="arial" w:cs="arial"/>
          <w:i/>
          <w:color w:val="000000"/>
          <w:sz w:val="20"/>
          <w:lang w:val="en-US" w:eastAsia="en-US" w:bidi="ar-SA"/>
        </w:rPr>
        <w:t>Hussack v. Chilliwack School District No. 33</w:t>
      </w:r>
      <w:r>
        <w:rPr>
          <w:rFonts w:ascii="arial" w:eastAsia="arial" w:hAnsi="arial" w:cs="arial"/>
          <w:color w:val="000000"/>
          <w:sz w:val="20"/>
          <w:lang w:val="en-US" w:eastAsia="en-US" w:bidi="ar-SA"/>
        </w:rPr>
        <w:t xml:space="preserve">, </w:t>
      </w:r>
      <w:hyperlink r:id="rId728" w:history="1">
        <w:r>
          <w:rPr>
            <w:rFonts w:ascii="arial" w:eastAsia="arial" w:hAnsi="arial" w:cs="arial"/>
            <w:i/>
            <w:color w:val="0077CC"/>
            <w:sz w:val="20"/>
            <w:u w:val="single"/>
            <w:shd w:val="clear" w:color="auto" w:fill="FFFFFF"/>
            <w:lang w:val="en-US" w:eastAsia="en-US" w:bidi="ar-SA"/>
          </w:rPr>
          <w:t>2011 BCCA 258</w:t>
        </w:r>
      </w:hyperlink>
      <w:r>
        <w:rPr>
          <w:rFonts w:ascii="arial" w:eastAsia="arial" w:hAnsi="arial" w:cs="arial"/>
          <w:color w:val="000000"/>
          <w:sz w:val="20"/>
          <w:lang w:val="en-US" w:eastAsia="en-US" w:bidi="ar-SA"/>
        </w:rPr>
        <w:t xml:space="preserve"> at para. 33, citing </w:t>
      </w:r>
      <w:r>
        <w:rPr>
          <w:rFonts w:ascii="arial" w:eastAsia="arial" w:hAnsi="arial" w:cs="arial"/>
          <w:i/>
          <w:color w:val="000000"/>
          <w:sz w:val="20"/>
          <w:lang w:val="en-US" w:eastAsia="en-US" w:bidi="ar-SA"/>
        </w:rPr>
        <w:t>Mustapha v. Culligan of Canada Ltd.</w:t>
      </w:r>
      <w:r>
        <w:rPr>
          <w:rFonts w:ascii="arial" w:eastAsia="arial" w:hAnsi="arial" w:cs="arial"/>
          <w:color w:val="000000"/>
          <w:sz w:val="20"/>
          <w:lang w:val="en-US" w:eastAsia="en-US" w:bidi="ar-SA"/>
        </w:rPr>
        <w:t xml:space="preserve">, </w:t>
      </w:r>
      <w:hyperlink r:id="rId613" w:history="1">
        <w:r>
          <w:rPr>
            <w:rFonts w:ascii="arial" w:eastAsia="arial" w:hAnsi="arial" w:cs="arial"/>
            <w:i/>
            <w:color w:val="0077CC"/>
            <w:sz w:val="20"/>
            <w:u w:val="single"/>
            <w:shd w:val="clear" w:color="auto" w:fill="FFFFFF"/>
            <w:lang w:val="en-US" w:eastAsia="en-US" w:bidi="ar-SA"/>
          </w:rPr>
          <w:t>2008 SCC 27</w:t>
        </w:r>
      </w:hyperlink>
      <w:r>
        <w:rPr>
          <w:rFonts w:ascii="arial" w:eastAsia="arial" w:hAnsi="arial" w:cs="arial"/>
          <w:color w:val="000000"/>
          <w:sz w:val="20"/>
          <w:lang w:val="en-US" w:eastAsia="en-US" w:bidi="ar-SA"/>
        </w:rPr>
        <w:t xml:space="preserve"> at para.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As this is a liability-only trial, I need only consider the first two elements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If unresolved, damages and causation will be dealt with at a subsequent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behalf of the plaintiffs, I heard evidence from Mr. Singh, Mr. Sekhon and Mr. Khakh. Ms. Lepitre testified on her own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There is very little dispute about most of the 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the date of the accident, Mr. Singh was 26 years old and Mr. Sekhon was 25. They were both born in India. Mr. Singh testified through a Punjabi interpreter. Mr. Sekhon did not require an interpreter.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Singh and Mr. Sekhon's employer, All Star Excavating and Demolition Ltd. ("All Star"), was building a new home at 2851 Aurora Rd. (the "job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Singh and Mr. Sekhon were, and continue to be, employees of All Star. Both are currently machine operators but, on the date of the accident, were working as drain tile installers. Their job was to lay drainpipes into trenches dug on the job site. After the drainpipes are laid and connected to the sump, the trenches are backfilled using excavators.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Aurora Rd. is a quiet, short and narrow, crescent-shaped road. It is located to the west of Newmarket Drive and intersects Newmarket Drive at both its north and south ends. There are residential homes on either side of the road. There are no sidewalks, and parking is only permitted on the west side of Aurora Rd., where a part of the road is used for parking.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Immediately to the north of the job site is a residential home with a residential address of 2875 Aurora Rd. ("2875"). The job site and 2875 are on abutting lots.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the morning of the accident, on her way to work, Ms. Lepitre had parked her Honda CR-V in front of 2875, facing south. She is a veterinarian who works at a clinic, which is only a two-minute walk from the north end of Aurora Rd. She testified that she often parked on Aurora Rd., or on other nearby streets, as there was no staff parking at the clinic.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Singh and Mr. Sekhon arrived at the job site around the lunch hour, in separate vehicles. Mr. Singh estimated that he arrived at about 1:30 p.m. Mr. Sekhon estimated that he arrived between 12:30 and 1:00 p.m. Their co-worker, Mr. Khakh, had arrived just before them, in another vehicle. All three of them had come from other job sites.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When Mr. Singh and Mr. Sekhon arrived, two other All Star employees, Kamaldeep Dhaliwal and Gurdeep Singh, were eating their lunches, sitting on Aurora Rd., in an area they had cleaned off in front of 2875.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Singh testified that, when he arrived, he saw safety fencing on the right side of the job site and a large excavator in front of the new home being constructed. Mr. Sekhon saw two excavators, one at the front and one at side of the home. Mr. Singh described the job site as having piles of dirt, mud, pebbles, and gravel. He testified that there were signs indicating that there was construction in the area. Mr. Sekhon echoed Mr. Singh's description of the job site, but also described piles of wood, pipes, and nails.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Singh testified that, after Mr. Dhaliwal and Gurdeep Singh finished their lunches, they returned to the job site and began operating the large excavator, which he described as a loud machine.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Singh and Mr. Sekhon decided to eat their lunches together. Mr. Singh testified that he and Mr. Sekhon sat cross-legged on Aurora Rd., two to three feet north of the property line between the job site and 2875, in the shade of a tree located on 2875. Mr. Sekhon said that Mr. Singh was already sitting on the road, and he joined him. They sat facing the job site with their backs towards Ms. Lepitre's vehicle, which was parked to the north of them, facing south.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Singh and Mr. Sekhon testified that it would have been unsafe for them to eat their lunches on the job site because of the large machinery that was being operated. There were no sidewalks on Aurora Rd. on which to sit. They could not sit in their work vehicles because they were dirty, and it was a hot day. Mr. Sekhon explained that he could not turn on the air conditioning in his work vehicle because North Vancouver has a no-idling bylaw. Mr. Singh testified that, before he sat down, he assessed the area for hazards to ensure that where he was sitting was a safe distance away from the closest parked vehicle and that he would be visible to moving traffic from either direction. He was satisfied that he could sit safely.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Singh testified that they sat six to seven feet in front of Ms. Lepitre's vehicle. He described Ms. Lepitre's vehicle as parked closer to the driveway of 2875 than it was to the property line between the job site and 2875. In cross-examination, Mr. Singh acknowledged that at his examination for discovery, he estimated that he and Mr. Sekhon were sitting five or six feet in front of Ms. Lepitre's vehicle. He ultimately settled on six feet. He testified that he would not have sat within two to four feet of Ms. Lepitre's vehicle because it would not have been safe for him to do so. He said that if a car had been closer than six to seven feet, he would not have sat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Sekhon testified that he did not see Ms. Lepitre's vehicle when he sat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From where he sat, Mr. Singh said that he could see the ongoing work on the job site, including the excavator. He said that he and Mr. Sekhon were speaking louder than normal to be heard over the noise from the job site. He acknowledged that they were not yelling.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Sekhon described the excavators working on the job site as loud diesel machines which "beeped" when they moved forward and backward.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Both Mr. Singh and Mr. Sekhon testified that they sat side by side on Aurora Rd., close to the curb, and in an area in which cars would park. Mr. Singh's red cooler was in front of him, a little to the left, and Mr. Sekhon's cooler was in front of him. Mr. Sekhon described sitting approximately eight inches in front of Mr. Singh, to Mr. Singh's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Khakh, who had finished his lunch earlier, walked to his work vehicle, which was parked in front of the property to the south of the job site, to retrieve his phone to call their boss to find out what work was to be completed next. Mr. Sekhon testified that he saw Mr. Khakh walking back towards him from about 15 feet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Lepitre testified that, over lunch, she had an errand to run. She intended to travel to the office of another doctor to pick up a book that she had loaned that doctor. She walked from the clinic to her vehicle. She said that she was not in a hurry. She testified that she approached her vehicle from the north end of Aurora Rd., walking south on the roadway itself, as there are no sidewalks.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Ms. Lepitre confirmed that the property to the south of 2875 was a job site and that she saw machinery, piles of lumber, and a dump truck parked across the street in a driveway to another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Ms. Lepitre testified that, as she approached her vehicle, she did not hear excavators running, hear anyone talking, or see anyone in the area. She described the area as "deathly" quiet. She approached her vehicle from the rear and used her remote to unlock her car door while standing beside it. She got in, started her engine, released her parking brake, put her foot on the break, put her vehicle in drive, moved her foot to the gas pedal, and slowly began moving forward, angling away from the curb. She testified that she had since recreated the circumstances of the accident on a number of occasions and the steps she described consistently took her between ten and fifteen seconds.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cross-examination, Ms. Lepitre agreed that she did not signal that she intended to move from her parked position onto the travelled portion of Aurora Rd. She conceded that signalling would have indicated to anyone in the area that she was about to move her vehicle away from the curb and would have been a safe thing to do. She was adamant that, in her 40 years of driving experience, signalling was not her normal practice, or that of anyone else, on a quiet residential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any event, because Mr. Singh and Mr. Sekhon were sitting with their backs to Ms. Lepitre's vehicle, they would not have seen her signal.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Lepitre testified that both before and after she entered her car, she scanned the road in front of her and did not see anything. In particular, she did not see Mr. Singh and Mr. Sekhon sitting on the roadway, or their coolers, or Mr. Khakh, who was walking back towards Mr. Singh and Mr. Sekhon.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Ms. Lepitre testified that she moved her vehicle forward at about five km/h. She confirmed that speed in her post-accident re-creations. As she pulled away from the curb, and within three or four seconds, she saw an older man come running over, waving his hands like crazy. She said she stopped her vehicle and got out to see what was going on. She saw one man lying face up under her vehicle, with only his head sticking out, and another man sitting by the curb with his shoulder touching her bumper. She also saw at least one cooler. She did not know that she had struck Mr. Singh and Mr. Sekhon.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Ms. Lepitre said that when she first saw Mr. Khakh, she wondered if he was stopping her so that "they" (presumably, the construction workers) could move the truck that she observed across the street from the job site. Ms. Lepitre was "flabbergasted" and "was in shock" when she saw Mr. Singh and Mr. Sekhon. She had not heard or seen anything in and around her vehicle, and she had no warning that Mr. Singh and Mr. Sekhon were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cross-examination, Ms. Lepitre agreed that there was designated parking on the west side of Aurora Rd. and that it was reasonable to expect that vehicles would not drive on that portion of the roadway.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Prior to being struck, Mr. Singh did not see or hear anything, or have any other warning that Ms. Lepitre was about to move her car or that he and Mr. Sekhon were about to be struck. At the last second before impact, as he was turning his head to speak to Mr. Sekhon, he heard or felt something approaching. The impact of the vehicle pushed Mr. Singh forward onto the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Sekhon testified that the impact from Ms. Lepitre's vehicle knocked him forward into his cooler and onto his stomach. He immediately turned over to face up, and saw that Ms. Lepitre's vehicle was not stopping. He reached up and grabbed a part of the Ms. Lepitre's vehicle, near the front bumper, and raised his head off the ground while he was being dragged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Both Mr. Singh and Mr. Sekhon testified that they could see and hear Mr. Khakh coming towards Ms. Lepitre's vehicle, waiving his arms and shouting, trying to get Ms. Lepitre to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After he was struck, Mr. Singh said that Ms. Lepitre spoke to him and asked him if he was all right and admitted that the accident was her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Sekhon testified that Ms. Lepitre did not speak to him after the accident, but he heard Ms. Lepitre tell Mr. Singh that the accident was not her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Ms. Lepitre only recalled asking Mr. Singh and Mr. Sekhon if they were all right. As Mr. Sekhon's command of English was better than Mr. Singh's, I think it is more likely that Ms. Lepitre said she was not at fault for the accident. Nothing turns on this alleged admission of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Singh testified that at all times, he, Mr. Sekhon, and Mr. Khakh were wearing orange safety vests with yellow reflective markings on them. This was not disputed.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Assessment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the unusual circumstances of this case, Mr. Singh and Mr. Sekhon cannot testify about Ms. Lepitre's actions before the accident as they did not see or hear her before they were struck. Similarly, Ms. Lepitre cannot testify about Mr. Singh or Mr. Sekhon's actions before the accident as she did not see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Determining whether Ms. Lepitre owed Mr. Singh and Mr. Sekhon a duty of care, and whether she breached a standard of care, involves assessing the credibility and reliability of all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63"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at paras. 186-187, aff'd </w:t>
      </w:r>
      <w:hyperlink r:id="rId408" w:history="1">
        <w:r>
          <w:rPr>
            <w:rFonts w:ascii="arial" w:eastAsia="arial" w:hAnsi="arial" w:cs="arial"/>
            <w:i/>
            <w:color w:val="0077CC"/>
            <w:sz w:val="20"/>
            <w:u w:val="single"/>
            <w:shd w:val="clear" w:color="auto" w:fill="FFFFFF"/>
            <w:lang w:val="en-US" w:eastAsia="en-US" w:bidi="ar-SA"/>
          </w:rPr>
          <w:t>2012 BCCA 296</w:t>
        </w:r>
      </w:hyperlink>
      <w:r>
        <w:rPr>
          <w:rFonts w:ascii="arial" w:eastAsia="arial" w:hAnsi="arial" w:cs="arial"/>
          <w:color w:val="000000"/>
          <w:sz w:val="20"/>
          <w:lang w:val="en-US" w:eastAsia="en-US" w:bidi="ar-SA"/>
        </w:rPr>
        <w:t>, Justice Dillon suggested an analytical framework for assessing credibility. It is also a helpful framework in assessing the reliability of the evidence in the circumstances of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[186] Credibility involves an assessment of the trustworthiness of a witness' testimony based upon the veracity or sincerity of a witness and the accuracy of the evidence that the witness provides. The art of assessment involves examination of various factors such as the ability and opportunity to observe events, the firmness of his memory, the ability to resist the influence of interest to modify his recollection, whether the witness' evidence harmonizes with independent evidence that has been accepted, whether the witness changes his testimony during direct and cross-examination, whether the witness' testimony seems unreasonable, impossible, or unlikely, whether a witness has a motive to lie, and the demeanour of a witness generally. ... Ultimately, the validity of the evidence depends on whether the evidence is consistent with the probabilities affecting the case as a whole and shown to be in existence at the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[187] It has been suggested that a methodology to adopt is to first consider the testimony of a witness on a 'stand alone' basis, followed by an analysis of whether the witness' story is inherently believable. Then, if the witness testimony has survived relatively intact, the testimony should be evaluated based upon the consistency with other witnesses and with documentary evidence. The testimony of non-party, disinterested witnesses may provide a reliable yardstick for comparison. Finally, the court should determine which version of events is the most consistent with the "preponderance of probabilities which a practical and informed person would readily recognize as reasonable in that place and in those conditions"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conclude that all of the parties gave their evidence to the best of their ability and there was no indication that the parties were not credible or were attempting to mislead the court. Minor differences between the parties' evidence at trial and at their examinations for discovery are explained by the passage of time, the human tendency to revisit events, and, to an extent, language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Here, the real issue is an assessment of the reliability of the parties'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accept that Mr. Khakh's evidence was the most reliable. He was the only objective witness who saw the actions of all of the parties prior to the accident. He had no reason to alter his evidence to favour any of the parties. For the most part, his evidence went unchallenged in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As a result of the reliability of Mr. Khakh's evidence, I will consider the parties' evidence in light of it. I will also consider the parties' evidence in light of the photographs of the accident scene taken after the accident; Ms. Lepitre's statement to ICBC and her sketch of the scene; and the re-creation of the accident, which Ms. Lepitre did at the request of an ICBC adjuster. Because of the importance of Mr. Khakh's evidence, I set it out in some detail.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Santokh Khakh's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Khakh is 61 years old. He gave his evidence through a Punjabi interpreter.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Khakh testified that, after starting his day at 7:30 a.m. at another site, he arrived at the job site at around lunchtime. As he arrived at the job site, Mr. Khakh saw Mr. Dhaliwal and Gurdeep Singh sitting on the side of Aurora Rd., in the shade of a tree, eating their lunches. As they got up to go back to work, Mr. Khakh sat down in the same spot and began eating his lunch. He testified that there was no safe place to sit on the job site because of the excavating machines and the lumber. He saw Ms. Lepitre's vehicle parked five to six feet from where he was eating and from where he saw Mr. Singh and Mr. Sekhon sit after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After Mr. Khakh finished his lunch, he walked toward his work vehicle, which he had parked in front of a neighbouring property to the south of the job site, to get his cell phone to call his boss for instructions about what work was to be completed next. Mr. Dhaliwal and Gurdeep Singh had resumed excavation work on the job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Khakh estimated that about two minutes elapsed from the time he left Mr. Singh and Mr. Sekhon, where they were eating, until they were struck by Ms. Lepitre's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Khakh was walking back towards Mr. Singh and Mr. Sekhon when he saw Ms. Lepitre approaching her vehicle, walking fast, as if she was late. She was about ten feet from the rear of her vehicle, and approaching it from the rear. He testified that, as she approached the trunk of her vehicle, she retrieved her keys from her purse, opened the door, sat down, and immediately began moving forward "as if the vehicle was already in gear." He testified that he thought that there was about ten seconds between Ms. Lepitre retrieving her keys and her vehicle striking Mr. Singh and Mr. Sekhon.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Khakh said that Ms. Lepitre did not pull her vehicle away from the curb; she drove straight into Mr. Singh and Mr. Sekhon, who were sitting five to six feet away, and pushed them forward. Mr. Khakh ran towards Ms. Lepitre, waving his arms and shouting to get her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Khakh testified that after Ms. Lepitre's vehicle stopped, he helped pull Mr. Sekhon out from underneath it and helped Mr. Singh up. He described Mr. Sekhon's body as being underneath Ms. Lepitre's vehicle with only his head visible.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Khakh testified that he was wearing a pink turban and an orange safety vest with yellow reflective tape on it and that Mr. Singh and Mr. Sekhon were wearing the same safety vests. A photograph of the type of safety vest the workers were wearing was made an exhibit.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Khakh's evidence was consistent with the photographs taken after the accident, particularly as it related to whether Ms. Lepitre drove straight forward into Mr. Singh and Mr. Sekhon, as he described her path of travel, or was pulling out onto the travelled portion of the roadway, as she described her path of travel. In the photographs of Ms. Lepitre's vehicle, taken after the accident, although Ms. Lepitre's wheels are turned to the left, as if to pull into the roadway, her vehicle is stopped close to the curb on the west side of Aurora Rd. and is still in the parking area of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Both Mr. Singh and Mr. Sekhon were taken by ambulance for hospital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Applicable Legal Principles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Statutory Duty of Care</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Were Mr. Singh and Mr. Sekhon pedestrians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Section 119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defines "pedestrian" for the purpose of Part 3, which includes ss. 119-214, encompassing the sections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cited by the parties, as "a person afoot, or an invalid or child in a wheelchair or carriage".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Clearly, Mr. Singh and Mr. Sekhon do not come within the </w:t>
      </w:r>
      <w:r>
        <w:rPr>
          <w:rFonts w:ascii="arial" w:eastAsia="arial" w:hAnsi="arial" w:cs="arial"/>
          <w:i/>
          <w:color w:val="000000"/>
          <w:sz w:val="20"/>
          <w:lang w:val="en-US" w:eastAsia="en-US" w:bidi="ar-SA"/>
        </w:rPr>
        <w:t>Act's</w:t>
      </w:r>
      <w:r>
        <w:rPr>
          <w:rFonts w:ascii="arial" w:eastAsia="arial" w:hAnsi="arial" w:cs="arial"/>
          <w:color w:val="000000"/>
          <w:sz w:val="20"/>
          <w:lang w:val="en-US" w:eastAsia="en-US" w:bidi="ar-SA"/>
        </w:rPr>
        <w:t xml:space="preserve"> definition of a pedestrian as they were not "afoot".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Further, most dictionary definitions of "pedestrian" refer to a person travelling on foot. However, in </w:t>
      </w:r>
      <w:r>
        <w:rPr>
          <w:rFonts w:ascii="arial" w:eastAsia="arial" w:hAnsi="arial" w:cs="arial"/>
          <w:i/>
          <w:color w:val="000000"/>
          <w:sz w:val="20"/>
          <w:lang w:val="en-US" w:eastAsia="en-US" w:bidi="ar-SA"/>
        </w:rPr>
        <w:t>Black's Law Dictionary</w:t>
      </w:r>
      <w:r>
        <w:rPr>
          <w:rFonts w:ascii="arial" w:eastAsia="arial" w:hAnsi="arial" w:cs="arial"/>
          <w:color w:val="000000"/>
          <w:sz w:val="20"/>
          <w:lang w:val="en-US" w:eastAsia="en-US" w:bidi="ar-SA"/>
        </w:rPr>
        <w:t>, 6th Ed., the definition is expanded to include persons on roller skates, ice skates, stilts, or crutches. Decisions of various courts have also extended the definition to persons using motorized scooters and wheelchairs on a roadway.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Common to all of the expanded definitions is that they include people who are moving on a roadway or a sidewalk, for the purpose of getting from one place to another. Unique in this case is that Mr. Singh and Mr. Sekhon were not using Aurora Rd. for the purpose of moving from one place to another; they were seated on it, in an area in which cars would normally park, and which was not normally part of the travelled portion of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parties relied on a number of cases in support of their positions. However, it is clear that this case is highly fact-specific, and none of the counsel was able to refer me to a case involving these particular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As I have determined that Mr. Singh and Mr. Sekhon were not pedestrians, I have not found the cases involving collisions between pedestrians and vehicles helpful.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Relevant statutory provisions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In this outline of the applicable sections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I have not included the sections which govern rights of way between vehicles and pedestrians because I have concluded that Mr. Singh and Mr. Sekhon were not pedestrians.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 potentially applicable sections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Careless driving prohibited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144(1) A person must not drive a motor vehicle on a highway</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due care and attention,</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reasonable consideration for other persons using the highway, or</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a speed that is excessive relative to the road, traffic, visibility or weather conditions.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Starting vehicle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169 A person must not move a vehicle that is stopped, standing or parked unless the movement can be made with reasonable safety and he or she first gives the appropriate signal under section 171 or 172.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Means of signalling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171(1) Subject to subsection (2), if a signal is required a driver must give it by means of</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his or her hand and arm,</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signal lamp of a type approved by the director, or</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mechanical device of a type approved by the director.</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a vehicle is constructed or loaded in a manner that makes a signal by hand and arm not visible both to its front and rear, or a body or load extends more than 60 cm to the left of the centre of the steering wheel, a driver must give signals as provided by subsection (1) (b) or (c), and a person must not drive the motor vehicle on a highway unless it is so equipped.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As I have said, although Ms. Lepitre did not signal before she moved her vehicle, signalling would not have prevented the accident or changed anything that happened. Mr. Singh and Mr. Sekhon would not have seen Ms. Lepitre's signal as their backs were towards her vehicle. A signal would not have warned them that Ms. Lepitre was about to move her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This case falls to be determined under the common law duty of a driver to others on the roadway. In assessing this duty, the provisions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including s. 144(1)(a), may be considered as evidence of the appropriate standard of behaviour: </w:t>
      </w:r>
      <w:r>
        <w:rPr>
          <w:rFonts w:ascii="arial" w:eastAsia="arial" w:hAnsi="arial" w:cs="arial"/>
          <w:i/>
          <w:color w:val="000000"/>
          <w:sz w:val="20"/>
          <w:lang w:val="en-US" w:eastAsia="en-US" w:bidi="ar-SA"/>
        </w:rPr>
        <w:t>The Queen v. Saskatchewan Wheat Pool</w:t>
      </w:r>
      <w:r>
        <w:rPr>
          <w:rFonts w:ascii="arial" w:eastAsia="arial" w:hAnsi="arial" w:cs="arial"/>
          <w:color w:val="000000"/>
          <w:sz w:val="20"/>
          <w:lang w:val="en-US" w:eastAsia="en-US" w:bidi="ar-SA"/>
        </w:rPr>
        <w:t xml:space="preserve">, </w:t>
      </w:r>
      <w:hyperlink r:id="rId729" w:history="1">
        <w:r>
          <w:rPr>
            <w:rFonts w:ascii="arial" w:eastAsia="arial" w:hAnsi="arial" w:cs="arial"/>
            <w:i/>
            <w:color w:val="0077CC"/>
            <w:sz w:val="20"/>
            <w:u w:val="single"/>
            <w:shd w:val="clear" w:color="auto" w:fill="FFFFFF"/>
            <w:lang w:val="en-US" w:eastAsia="en-US" w:bidi="ar-SA"/>
          </w:rPr>
          <w:t>[1983] 1 S.C.R. 205</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Common Law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While the sections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are a factor to be considered in determining whether a driver, or another user of a roadway, has breached a duty of care, the provisions are not the exclusive measure of the duty of care. The sections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have been described as "supplementary" or in addition to the common law duty that rests on all persons using a highway to exercise due care: see </w:t>
      </w:r>
      <w:r>
        <w:rPr>
          <w:rFonts w:ascii="arial" w:eastAsia="arial" w:hAnsi="arial" w:cs="arial"/>
          <w:i/>
          <w:color w:val="000000"/>
          <w:sz w:val="20"/>
          <w:lang w:val="en-US" w:eastAsia="en-US" w:bidi="ar-SA"/>
        </w:rPr>
        <w:t>Olson v. Farran</w:t>
      </w:r>
      <w:r>
        <w:rPr>
          <w:rFonts w:ascii="arial" w:eastAsia="arial" w:hAnsi="arial" w:cs="arial"/>
          <w:color w:val="000000"/>
          <w:sz w:val="20"/>
          <w:lang w:val="en-US" w:eastAsia="en-US" w:bidi="ar-SA"/>
        </w:rPr>
        <w:t xml:space="preserve">, </w:t>
      </w:r>
      <w:hyperlink r:id="rId730" w:history="1">
        <w:r>
          <w:rPr>
            <w:rFonts w:ascii="arial" w:eastAsia="arial" w:hAnsi="arial" w:cs="arial"/>
            <w:i/>
            <w:color w:val="0077CC"/>
            <w:sz w:val="20"/>
            <w:u w:val="single"/>
            <w:shd w:val="clear" w:color="auto" w:fill="FFFFFF"/>
            <w:lang w:val="en-US" w:eastAsia="en-US" w:bidi="ar-SA"/>
          </w:rPr>
          <w:t>2016 BCSC 1255</w:t>
        </w:r>
      </w:hyperlink>
      <w:r>
        <w:rPr>
          <w:rFonts w:ascii="arial" w:eastAsia="arial" w:hAnsi="arial" w:cs="arial"/>
          <w:color w:val="000000"/>
          <w:sz w:val="20"/>
          <w:lang w:val="en-US" w:eastAsia="en-US" w:bidi="ar-SA"/>
        </w:rPr>
        <w:t xml:space="preserve"> at para. 86, and the cases cited therein.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As the Court of Appeal said in </w:t>
      </w:r>
      <w:r>
        <w:rPr>
          <w:rFonts w:ascii="arial" w:eastAsia="arial" w:hAnsi="arial" w:cs="arial"/>
          <w:i/>
          <w:color w:val="000000"/>
          <w:sz w:val="20"/>
          <w:lang w:val="en-US" w:eastAsia="en-US" w:bidi="ar-SA"/>
        </w:rPr>
        <w:t>Salaam v. Abramovic</w:t>
      </w:r>
      <w:r>
        <w:rPr>
          <w:rFonts w:ascii="arial" w:eastAsia="arial" w:hAnsi="arial" w:cs="arial"/>
          <w:color w:val="000000"/>
          <w:sz w:val="20"/>
          <w:lang w:val="en-US" w:eastAsia="en-US" w:bidi="ar-SA"/>
        </w:rPr>
        <w:t xml:space="preserve">, </w:t>
      </w:r>
      <w:hyperlink r:id="rId313" w:history="1">
        <w:r>
          <w:rPr>
            <w:rFonts w:ascii="arial" w:eastAsia="arial" w:hAnsi="arial" w:cs="arial"/>
            <w:i/>
            <w:color w:val="0077CC"/>
            <w:sz w:val="20"/>
            <w:u w:val="single"/>
            <w:shd w:val="clear" w:color="auto" w:fill="FFFFFF"/>
            <w:lang w:val="en-US" w:eastAsia="en-US" w:bidi="ar-SA"/>
          </w:rPr>
          <w:t>2010 BCCA 212</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In the end, a court must determine whether, and to what extent, each of the players in an accident met their common law duties of care to other users of the road. In making that determination, a court will be informed by the rules of the road, but those rules do not eliminate the need to consider the reasonableness of the actions of the parties. This is both because the rules of the road cannot comprehensively cover all possible scenarios, and because users of the road are expected to exercise reasonable care, even when others have failed to respect their right of way.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In my view, this case is to be determined based on the responsibility of a driver to others using the roadway for an uncommon purpose. It is not in dispute that drivers owe a common law duty to take reasonable care for the safety of others and themselves when using a roadway: </w:t>
      </w:r>
      <w:r>
        <w:rPr>
          <w:rFonts w:ascii="arial" w:eastAsia="arial" w:hAnsi="arial" w:cs="arial"/>
          <w:i/>
          <w:color w:val="000000"/>
          <w:sz w:val="20"/>
          <w:lang w:val="en-US" w:eastAsia="en-US" w:bidi="ar-SA"/>
        </w:rPr>
        <w:t>Wotherspoon v. Hameluck</w:t>
      </w:r>
      <w:r>
        <w:rPr>
          <w:rFonts w:ascii="arial" w:eastAsia="arial" w:hAnsi="arial" w:cs="arial"/>
          <w:color w:val="000000"/>
          <w:sz w:val="20"/>
          <w:lang w:val="en-US" w:eastAsia="en-US" w:bidi="ar-SA"/>
        </w:rPr>
        <w:t>, 2014 BSCS 2137 at para.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The standard of care required of drivers is that of a reasonably prudent motorist in light of all the circumstances. Motorists are not required to anticipate all foreseeable road hazards, only those that are reasonably foreseeable. The standard of care of a driver is not one of perfection; the question is whether the driver acted in a manner in which an ordinarily prudent person would act to ensure that there are no impediments or obstructions to them driving in a safe manner: </w:t>
      </w:r>
      <w:r>
        <w:rPr>
          <w:rFonts w:ascii="arial" w:eastAsia="arial" w:hAnsi="arial" w:cs="arial"/>
          <w:i/>
          <w:color w:val="000000"/>
          <w:sz w:val="20"/>
          <w:lang w:val="en-US" w:eastAsia="en-US" w:bidi="ar-SA"/>
        </w:rPr>
        <w:t>Hadden v. Lynch</w:t>
      </w:r>
      <w:r>
        <w:rPr>
          <w:rFonts w:ascii="arial" w:eastAsia="arial" w:hAnsi="arial" w:cs="arial"/>
          <w:color w:val="000000"/>
          <w:sz w:val="20"/>
          <w:lang w:val="en-US" w:eastAsia="en-US" w:bidi="ar-SA"/>
        </w:rPr>
        <w:t xml:space="preserve">, </w:t>
      </w:r>
      <w:hyperlink r:id="rId67" w:history="1">
        <w:r>
          <w:rPr>
            <w:rFonts w:ascii="arial" w:eastAsia="arial" w:hAnsi="arial" w:cs="arial"/>
            <w:i/>
            <w:color w:val="0077CC"/>
            <w:sz w:val="20"/>
            <w:u w:val="single"/>
            <w:shd w:val="clear" w:color="auto" w:fill="FFFFFF"/>
            <w:lang w:val="en-US" w:eastAsia="en-US" w:bidi="ar-SA"/>
          </w:rPr>
          <w:t>2008 BCSC 295</w:t>
        </w:r>
      </w:hyperlink>
      <w:r>
        <w:rPr>
          <w:rFonts w:ascii="arial" w:eastAsia="arial" w:hAnsi="arial" w:cs="arial"/>
          <w:color w:val="000000"/>
          <w:sz w:val="20"/>
          <w:lang w:val="en-US" w:eastAsia="en-US" w:bidi="ar-SA"/>
        </w:rPr>
        <w:t xml:space="preserve"> at para. 69. Whether a driver of a vehicle, exercising reasonable care, would have seen a stationary object in time to avoid a collision with the object is a question of fact to be determined in each case: </w:t>
      </w:r>
      <w:r>
        <w:rPr>
          <w:rFonts w:ascii="arial" w:eastAsia="arial" w:hAnsi="arial" w:cs="arial"/>
          <w:i/>
          <w:color w:val="000000"/>
          <w:sz w:val="20"/>
          <w:lang w:val="en-US" w:eastAsia="en-US" w:bidi="ar-SA"/>
        </w:rPr>
        <w:t>Western Canadian Greyhound Lines Ltd. v. Lord</w:t>
      </w:r>
      <w:r>
        <w:rPr>
          <w:rFonts w:ascii="arial" w:eastAsia="arial" w:hAnsi="arial" w:cs="arial"/>
          <w:color w:val="000000"/>
          <w:sz w:val="20"/>
          <w:lang w:val="en-US" w:eastAsia="en-US" w:bidi="ar-SA"/>
        </w:rPr>
        <w:t xml:space="preserve">, </w:t>
      </w:r>
      <w:hyperlink r:id="rId731" w:history="1">
        <w:r>
          <w:rPr>
            <w:rFonts w:ascii="arial" w:eastAsia="arial" w:hAnsi="arial" w:cs="arial"/>
            <w:i/>
            <w:color w:val="0077CC"/>
            <w:sz w:val="20"/>
            <w:u w:val="single"/>
            <w:shd w:val="clear" w:color="auto" w:fill="FFFFFF"/>
            <w:lang w:val="en-US" w:eastAsia="en-US" w:bidi="ar-SA"/>
          </w:rPr>
          <w:t>[1953] 2 D.L.R. 694</w:t>
        </w:r>
      </w:hyperlink>
      <w:r>
        <w:rPr>
          <w:rFonts w:ascii="arial" w:eastAsia="arial" w:hAnsi="arial" w:cs="arial"/>
          <w:color w:val="000000"/>
          <w:sz w:val="20"/>
          <w:lang w:val="en-US" w:eastAsia="en-US" w:bidi="ar-SA"/>
        </w:rPr>
        <w:t xml:space="preserve"> (S.C.C.) at 700.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With respect to the inferences I am able to draw, I accept that Ms. Lepitre did not see Mr. Singh or Mr. Sekhon where they were seated on the roadway. The issue to be determined is whether they were there to be seen, or whether Ms. Lepitre was inattentive to her surroundings.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Where was Ms. Lepitre's vehicle parked prior to the accident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During cross-examination, Ms. Lepitre was shown Exhibit 9, a photograph of the rear of her vehicle taken after the accident. She confirmed that she could see an address marker indicating the address of 2875 on the curb itself (the "curb marking"). In Exhibit 9, the curb marking is well behind her vehicle. She was then shown Exhibit 5, a view of the curb marking in relation to the driveway of 2875. She agreed that the curb marking was close to the driveway of 2875.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Ms. Lepitre was then shown Exhibit 6, a sketch she had drawn of the location of her vehicle. She confirmed that she had sketched the job site which was next to 2875, and the large hedge running along the front of 2875, from the property line between the jobsite and 2875 to the driveway of 2875.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On the sketch, Ms. Lepitre drew the curb marking beside the driveway, and her vehicle is shown beside, and partially in front of, the curb marking. In cross-examination, although she agreed the sketch was "pretty accurate", she did not accept that her sketch showed the position of her vehicle as it related to the curb marking. She said that she was not sure of her thought process at the time she wrote 2875 on the curb in her sketch.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It is clear in Ms. Lepitre's sketch that she drew her vehicle parked just to the south of the driveway of 2875. Although she said that she was not sure whether the sketch was spatially accurate, she specifically recorded the curb marking. In cross-examination, she acknowledged that, driving south on Aurora Rd., she was likely to have parked in the first available spot she found to be as close to the clinic as she could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Ms. Lepitre was also asked to do an accident reconstruction for an ICBC adjuster. In a photograph taken during that accident reconstruction, and marked as Exhibit 3, Ms. Lepitre's vehicle is parked further south than she sketched it to be, and further south than Mr. Singh says her vehicle was parked on the day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conclude, based on all of the available evidence, that Ms. Lepitre parked her vehicle just south of the driveway of 2875 and that the location of her vehicle in the accident reconstruction was inaccurate. Exhibit 4, which was also a photograph taken during the accident reconstruction, purports to show Ms. Lepitre's position on Aurora Rd. when she unlocked her vehicle. She is walking on the east side of Aurora Rd., approaching her vehicle from the north. That position is inconsistent with Mr. Khakh's evidence that she was approaching her vehicle from the rear, on the west side of Aurora Rd. It is also inconsistent with Ms. Lepitre's evidence that she was walking in the middle of Aurora Rd., as she approached her vehicle. In cross-examination, Ms. Lepitre acknowledged that the photograph was inaccurate.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How far in front of Ms. Lepitre's vehicle were Mr. Singh and Mr. Sekhon seated</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Singh and Mr. Sekhon testified that they sat to eat their lunches in a location about two to three feet north of the property line between the job site and 2875.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On a panoramic photograph of the job site and 2875, Mr. Singh and Mr. Sekhon were asked to mark where they sat. Both marked their position as just to the north of the property line between the two properties. They marked very similar locations.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photographs taken after the accident, and marked as Exhibits 7 and 8, show spilled liquid in front of Ms. Lepitre's car and a plate squashed under her front passenger tire. The location of the spilled liquid and the plate closely approximates where Mr. Singh and Mr. Sekhon said they were seated.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At trial, Mr. Singh testified that Ms. Lepitre's vehicle was parked at least six to seven feet behind where he and Mr. Sekhon were seated on the roadway. Mr. Sekhon did not see Ms. Lepitre's vehicle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Mr. Khakh testified that Ms. Lepitre's vehicle was five to six feet away from where he, and later Mr. Singh and Mr. Sekhon, sat to eat their lunches. Although Mr. Singh estimated the distance at five to six feet at his examination for discovery, and Mr. Khakh estimated four to five feet in his statement to an insurance adjuster, I did not find that these differences affected the reliability of their evidence. I conclude, based on all of the evidence, and on a balance of probabilities, that Mr. Singh and Mr. Sekhon were sitting between five and six feet in front of Ms. Lepitre's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Because Ms. Lepitre did not see Mr. Singh or Mr. Sekhon, she is unable to say how far in front of her vehicle they were seated. Nevertheless, on different occasions, she has speculated about where they were sitting.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particular, Ms. Lepitre was cross-examined about the reconstruction of the accident she participated in, in which she approached her vehicle, walking south on the east side of Aurora Rd. When it was put to her that from that angle, she would have had a view of the front of her vehicle, she said that she did not specifically recall where she walked as she approached it. She recalled that her line of sight was to the rear and side of her vehicle, and said that she could not see the area within two to three feet in front of her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direct, Ms. Lepitre testified that she is five feet, one inch tall and that there is a short space in front of her vehicle that is not visible to her. She said that if a person sat on the road, close to her front bumper, she would not see them. In cross-examination, she said that depending on where Mr. Singh and Mr. Sekhon were seated in relation to her vehicle, there were some areas that would not be visible to her. She agreed that this area would be approximately three feet in front of her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At her examination for discovery, she said, "as far as [she could] determine, there could only be one place" where Mr. Singh and Mr. Sekhon could have been sitting. As she only moved her vehicle three or four feet, "it seem[ed] obvious to [her] that they were sitting right in front of [her] bumper". She also said that there would have been a small area directly in front of her bumper that was not visible. She relied on her estimate that she had only moved her vehicle about three or four feet before stopping to estimate that the blind spot was about three or four feet in front of her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cross-examination at trial, Ms. Lepitre repeated that because she had only moved her vehicle three or four feet, and she had not seen Mr. Singh and Mr. Sekhon, it was logical that they were right next to her bumper before she moved her vehicle. In cross-examination, she testified that she was sure that Mr. Singh and Mr. Sekhon were seeking shade, but suggested that they may have been seeking the shade provided by her bumper. She said she did not know what was providing shade. She acknowledged, however, that in Exhibits 7 and 8, there was a hedge and a tree on 2875, which were providing shade. When pressed on how far her vehicle had moved, she said that her perception was that she moved three to four feet before she stopped.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When Ms. Lepitre was asked to agree that she would have seen Mr. Singh and Mr. Sekhon if they were sitting four to five feet in front of her car, she would not agree. She said that determining that would require setting up obstacles at specific distances from her car, and would depend on whether Mr. Singh and Mr. Sekhon were sitting up, leaning forward, or lying down. Despite having reconstructed the circumstances of the accident, she could not recall the extent of the blind spot. She then resiled from her three- to- four- foot estimate of the blind spot, saying it was not based on scientific investigation, which would take into account the precise height of a body, and that Mr. Singh and Mr. Sekhon "could have been laying down on the road for all [she] knew."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In cross-examination, Ms. Lepitre denied that when she reported the accident to ICBC, she said that she thought Mr. Singh and Mr. Sekhon had been sleeping in front of her car. She said, "[i]f I didn't see them, I couldn't possibly know whether they were sleeping or not". However, she acknowledged that she prepared a typed statement of events for ICBC in which she wondered, as a possible explanation for Mr. Singh and Mr. Sekhon not having jumped up as they realized she had started her vehicle, whether Mr. Singh and Mr. Sekhon had been, "asleep, having a post-lunch nap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There are several pieces of evidence which, taken together, lead me to conclude that Mr. Singh and Mr. Sekhon were not sitting up against Ms. Lepitre's bumper or lying on the roadway.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First, Mr. Khakh testified that Mr. Singh and Mr. Sekhon were not seated up against Ms. Lepitre's vehicle. Consistent with Mr. Singh's evidence, Mr. Khakh estimated the distance between where Mr. Singh and Mr. Sekhon sat and Ms. Lepitre's vehicle was parked was five to six feet. He also testified that they were sitting, not lying in the roadway.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Mr. Khakh acknowledged that in a statement he gave to an ICBC insurance adjuster, he estimated that Mr. Singh and Mr. Sekhon were sitting about four to five feet in front of Ms. Lepitre's vehicle. However, at trial, when describing where he sat to eat his lunch, he estimated it to be between five and six feet in front of her vehicle. He also said that Mr. Singh and Mr. Sekhon sat in the same place as he had done. I accept that they were about five feet in front of Ms. Lepitre's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Second, in total, five men ate their lunches sitting in approximately the same location on Aurora Rd. Mr. Singh, Mr. Sekhon, and Mr. Khakh all testified that they sat where it was safe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Third, Mr. Sekhon did not see Ms. Lepitre's vehicle. It accords with common sense that if he was sitting right next to Ms. Lepitre's bumper, or within two or three feet of it, he would have known that her vehicle was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 conclude, based on all of the available evidence, that Mr. Singh and Mr. Sekhon sat on Aurora Rd. at a distance of between five and six feet in front of Ms. Lepitre's vehicle.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Were Mr. Singh and Mr. Sekhon there to be seen by Ms. Lepitre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In cross-examination, Ms. Lepitre was asked to agree that she would see something if it was at least four feet in front of her vehicle. She would not agree. Her failure to agree with this proposition, despite her earlier evidence about the blind spot, which she had first estimated to be two to three feet, was concerning.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Ms. Lepitre submitted that expert evidence was required to reach a conclusion about whether Mr. Singh and Mr. Sekhon were there to be seen. I do not agree that expert evidence was necessary. I am able to make the factual determinations required in this case without the need for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Based on Ms. Lepitre's guess that the blind spot in front of her vehicle was about three or four feet, and my conclusion that Mr. Singh and Mr. Sekhon were sitting five to six feet from Ms. Lepitre's vehicle, Mr. Singh and Mr. Sekhon were there to be seen by Ms. Lepitre. This is particularly so because they were both men of average height, who were sitting cross-legged on the roadway, wearing orange and yellow reflective safety vests, and who had large picnic coolers in front of them. As a result, Mr. Singh and Mr. Sekhon's bodies and coolers would have occupied at least a further one or two feet of additional space. They could not have been within Ms. Lepitre's blind spot.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In cross-examination, Ms. Lepitre agreed that if Mr. Singh and Mr. Sekhon were seated, she would have seen the tops of their heads.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Consistently, from the date of the accident until trial, Ms. Lepitre has not acknowledged the possibility that she did not see Mr. Singh and Mr. Sekhon because she did not look.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Because of Ms. Lepitre's conviction that she was not at fault for the accident, she demonstrated a tendency of refusing to acknowledge reasonable propositions in cross-examination, and of being defensive with respect to her actions. A few examples will suffice.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Ms. Lepitre acknowledged that she was aware there was a job site on Aurora Rd. and that construction was ongoing, but said it did not require heightened awareness because it was happening on the residential property and not on the road. This was inconsistent with her evidence that when Mr. Khakh waved at her to stop, she thought he wished to move the dump truck she observed across the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Ms. Lepitre acknowledged that because there were no sidewalks, there could be hazards on Aurora Rd., such as pedestrians, children, pets, and construction workers. She also agreed that it was not uncommon to see people walking on Aurora Rd. However, she would not agree that there was any need for heightened care and attention. Common sense suggests that on a narrow, curved street on which there are no sidewalks and on which pedestrians must walk on the road, additional care and attention is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Despite being pressed, she would only reluctantly acknowledge that if she had approached her vehicle by walking on the west side of Aurora Rd., she would have had a better view of things in front of her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 am satisfied, on a balance of probabilities, that Ms. Lepitre did not act as a reasonably prudent motorist would have done in light of all the circumstances. I find that there was a heightened need for care on Aurora Rd. because it was a narrow, curved road, without sidewalks, and was a road on which pedestrians could be expected to walk. There was also construction ongoing at the job site, which should have led Ms. Lepitre to have a heightened awareness of her surroundings.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 am also satisfied, based on all the evidence, that Mr. Singh and Mr. Sekhon were there to be seen had Ms. Lepitre looked in front of her vehicle, either when she opened the door to her vehicle and got in or when she drove ahead. As a result, I conclude that, on a balance of probabilities, she cannot have looked ahead.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only reasonable explanation for Ms. Lepitre's evidence that she:</w:t>
      </w:r>
      <w:r>
        <w:rPr>
          <w:rFonts w:ascii="arial" w:eastAsia="arial" w:hAnsi="arial" w:cs="arial"/>
          <w:sz w:val="20"/>
          <w:lang w:val="en-US" w:eastAsia="en-US" w:bidi="ar-SA"/>
        </w:rPr>
        <w:cr/>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heard no noise coming from the job site;</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not see Mr. Khakh walking towards her vehicle, wearing an orange and yellow safety vest and a pink turban;</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not see Mr. Singh and Mr. Sekhon seated in the roadway, wearing safety vests, with their coolers in front of them, despite them being five or six feet away from the front of her vehicle; and</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not know that she had struck Mr. Singh and Mr. Sekhon, and at least one cooler, until after she got out of her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 that she did not pay sufficient care and attention to her surroundings as she approached her vehicle and started to drive to complete her errand.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Relative Blameworthiness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Having found that Ms. Lepitre was responsible for the accident, I must also consider whether Mr. Singh and Mr. Sekhon were also responsible and, if so, the extent of that responsibility.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Where there is more than one proximate cause of a loss,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hyperlink r:id="rId732" w:history="1">
        <w:r>
          <w:rPr>
            <w:rFonts w:ascii="arial" w:eastAsia="arial" w:hAnsi="arial" w:cs="arial"/>
            <w:i/>
            <w:color w:val="0077CC"/>
            <w:sz w:val="20"/>
            <w:u w:val="single"/>
            <w:shd w:val="clear" w:color="auto" w:fill="FFFFFF"/>
            <w:lang w:val="en-US" w:eastAsia="en-US" w:bidi="ar-SA"/>
          </w:rPr>
          <w:t>R.S.B.C. 1996, c. 333, s. 1</w:t>
        </w:r>
      </w:hyperlink>
      <w:r>
        <w:rPr>
          <w:rFonts w:ascii="arial" w:eastAsia="arial" w:hAnsi="arial" w:cs="arial"/>
          <w:color w:val="000000"/>
          <w:sz w:val="20"/>
          <w:lang w:val="en-US" w:eastAsia="en-US" w:bidi="ar-SA"/>
        </w:rPr>
        <w:t xml:space="preserve">(1) requires an apportionment of liability on the basis of "the degree to which each person was at fault". As the Court of Appeal said at para. 19 of </w:t>
      </w:r>
      <w:r>
        <w:rPr>
          <w:rFonts w:ascii="arial" w:eastAsia="arial" w:hAnsi="arial" w:cs="arial"/>
          <w:i/>
          <w:color w:val="000000"/>
          <w:sz w:val="20"/>
          <w:lang w:val="en-US" w:eastAsia="en-US" w:bidi="ar-SA"/>
        </w:rPr>
        <w:t>Cempel v. Harrison Hot Springs Hotel Ltd.</w:t>
      </w:r>
      <w:r>
        <w:rPr>
          <w:rFonts w:ascii="arial" w:eastAsia="arial" w:hAnsi="arial" w:cs="arial"/>
          <w:color w:val="000000"/>
          <w:sz w:val="20"/>
          <w:lang w:val="en-US" w:eastAsia="en-US" w:bidi="ar-SA"/>
        </w:rPr>
        <w:t xml:space="preserve">, </w:t>
      </w:r>
      <w:hyperlink r:id="rId733" w:history="1">
        <w:r>
          <w:rPr>
            <w:rFonts w:ascii="arial" w:eastAsia="arial" w:hAnsi="arial" w:cs="arial"/>
            <w:i/>
            <w:color w:val="0077CC"/>
            <w:sz w:val="20"/>
            <w:u w:val="single"/>
            <w:shd w:val="clear" w:color="auto" w:fill="FFFFFF"/>
            <w:lang w:val="en-US" w:eastAsia="en-US" w:bidi="ar-SA"/>
          </w:rPr>
          <w:t>[1997] B.C.J. No. 2853</w:t>
        </w:r>
      </w:hyperlink>
      <w:r>
        <w:rPr>
          <w:rFonts w:ascii="arial" w:eastAsia="arial" w:hAnsi="arial" w:cs="arial"/>
          <w:color w:val="000000"/>
          <w:sz w:val="20"/>
          <w:lang w:val="en-US" w:eastAsia="en-US" w:bidi="ar-SA"/>
        </w:rPr>
        <w:t xml:space="preserve"> (C.A.), apportionment of liability must be made on the basis of degrees of fault, not degrees of causation, with "fault" meaning blameworthiness.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Aberdeen v. Langley (Township), Zanatta, Cassels</w:t>
      </w:r>
      <w:r>
        <w:rPr>
          <w:rFonts w:ascii="arial" w:eastAsia="arial" w:hAnsi="arial" w:cs="arial"/>
          <w:color w:val="000000"/>
          <w:sz w:val="20"/>
          <w:lang w:val="en-US" w:eastAsia="en-US" w:bidi="ar-SA"/>
        </w:rPr>
        <w:t xml:space="preserve">, </w:t>
      </w:r>
      <w:hyperlink r:id="rId734" w:history="1">
        <w:r>
          <w:rPr>
            <w:rFonts w:ascii="arial" w:eastAsia="arial" w:hAnsi="arial" w:cs="arial"/>
            <w:i/>
            <w:color w:val="0077CC"/>
            <w:sz w:val="20"/>
            <w:u w:val="single"/>
            <w:shd w:val="clear" w:color="auto" w:fill="FFFFFF"/>
            <w:lang w:val="en-US" w:eastAsia="en-US" w:bidi="ar-SA"/>
          </w:rPr>
          <w:t>2007 BCSC 993</w:t>
        </w:r>
      </w:hyperlink>
      <w:r>
        <w:rPr>
          <w:rFonts w:ascii="arial" w:eastAsia="arial" w:hAnsi="arial" w:cs="arial"/>
          <w:color w:val="000000"/>
          <w:sz w:val="20"/>
          <w:lang w:val="en-US" w:eastAsia="en-US" w:bidi="ar-SA"/>
        </w:rPr>
        <w:t xml:space="preserve"> at paras. 62-63, varied on other grounds </w:t>
      </w:r>
      <w:hyperlink r:id="rId735" w:history="1">
        <w:r>
          <w:rPr>
            <w:rFonts w:ascii="arial" w:eastAsia="arial" w:hAnsi="arial" w:cs="arial"/>
            <w:i/>
            <w:color w:val="0077CC"/>
            <w:sz w:val="20"/>
            <w:u w:val="single"/>
            <w:shd w:val="clear" w:color="auto" w:fill="FFFFFF"/>
            <w:lang w:val="en-US" w:eastAsia="en-US" w:bidi="ar-SA"/>
          </w:rPr>
          <w:t>2008 BCCA 420</w:t>
        </w:r>
      </w:hyperlink>
      <w:r>
        <w:rPr>
          <w:rFonts w:ascii="arial" w:eastAsia="arial" w:hAnsi="arial" w:cs="arial"/>
          <w:color w:val="000000"/>
          <w:sz w:val="20"/>
          <w:lang w:val="en-US" w:eastAsia="en-US" w:bidi="ar-SA"/>
        </w:rPr>
        <w:t>, Justice Groves identified a non-exhaustive list of factors that may be of assistance in assessing the nature and degree of departure from the standard of care in order to determine the appropriate apportionment of liability between the parties. The factors are:</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duty owed by the tortfeasor to the injured person;</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number of acts of fault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committed by a person at fault;</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timing of the various negligent acts (for example, the party who first commits a negligent act will usually be more at fault than the party whose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comes as result of the initial fault);</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conduct held to amount to fault (for example, indifference to the results of the conduct may be more blameworthy; similarly, a deliberate departure from safety rules may be more blameworthy than an imperfect reaction to a crisis);</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to which the conduct breaches statutory requirements (for example, in a motor vehicle collision, the driver of the vehicle with the right of way may be less blameworthy);</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gravity of the risk created;</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the opportunity to avoid or prevent the accident or the damage;</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conduct in question was deliberate, or unusual or unexpected; and</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knowledge one person had or should have had of the conduct of another person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Many of those factors are not applicable in the unusual circumstances of this case. However, I conclude that there were additional steps that Mr. Singh and Mr. Sekhon could have taken to ensure their own safety when sitting on the roadway.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In particular, they could have sat facing Ms. Lepitre's vehicle or side-by-side along the curb at a side angle to her vehicle. In either case, they might have seen Ms. Lepitre's vehicle move before it struck them and might have avoided being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 assess Mr. Singh's and Mr. Sekhon's relative blameworthiness at ten percent and thus conclude that Ms. Lepitre was 90% liable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 MacNAUGHTON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0" style="position:absolute;z-index:2517975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36"/>
          <w:headerReference w:type="default" r:id="rId737"/>
          <w:footerReference w:type="even" r:id="rId738"/>
          <w:footerReference w:type="default" r:id="rId739"/>
          <w:headerReference w:type="first" r:id="rId740"/>
          <w:footerReference w:type="first" r:id="rId74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42" w:history="1">
        <w:r>
          <w:rPr>
            <w:rFonts w:ascii="arial" w:eastAsia="arial" w:hAnsi="arial" w:cs="arial"/>
            <w:b/>
            <w:bCs/>
            <w:i/>
            <w:color w:val="0077CC"/>
            <w:kern w:val="32"/>
            <w:sz w:val="28"/>
            <w:szCs w:val="32"/>
            <w:u w:val="single"/>
            <w:shd w:val="clear" w:color="auto" w:fill="FFFFFF"/>
            <w:lang w:val="en-US" w:eastAsia="en-US" w:bidi="ar-SA"/>
          </w:rPr>
          <w:t>Singh v. Reddy, [2020] B.C.J. No. 484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L.A. Warren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8-12, 15-19,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27, 2020.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S123543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[2020] B.C.J. No. 484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2020 BCSC 448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Priscilla Singh, Plaintiff, And Dorothy Reddy also known as Sashi Reddy, Then India Sanmarga Ikya Sangam Educational and Cultural Society and Irmandade Portuguesa Do D.E. Santo Cultural Society of B.C.,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(176 paras.)</w:t>
      </w:r>
    </w:p>
    <w:p>
      <w:pPr>
        <w:jc w:val="both"/>
        <w:rPr>
          <w:rFonts w:ascii="arial" w:eastAsia="arial" w:hAnsi="arial" w:cs="arial"/>
          <w:sz w:val="20"/>
          <w:lang w:val="en-US" w:eastAsia="en-US" w:bidi="ar-SA"/>
        </w:rPr>
      </w:pPr>
      <w:bookmarkStart w:id="124" w:name="Counsel_36"/>
      <w:bookmarkEnd w:id="12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1" style="position:absolute;z-index:2516971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P.M.C. Formby.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C. Cairns, J.T. Hamel.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5" w:name="Judgment_36"/>
      <w:bookmarkEnd w:id="125"/>
      <w:r>
        <w:pict>
          <v:line id="_x0000_s1152" style="position:absolute;z-index:25174835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ASSESSMENT OF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Past Loss of Income Earning Capacity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Future Loss of Income Earning Capacity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Loss of Housekeeping Capacity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Aggravated and Punitive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Health Care Costs Recovery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 - Damages Assessment</w: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r>
              <w:rPr>
                <w:rFonts w:ascii="arial" w:eastAsia="arial" w:hAnsi="arial" w:cs="arial"/>
                <w:b/>
                <w:color w:val="000000"/>
                <w:sz w:val="30"/>
                <w:lang w:val="en-US" w:eastAsia="en-US" w:bidi="ar-SA"/>
              </w:rPr>
              <w:t>L.A. WARREN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These reasons for judgment pertain to a damages assessment for personal injuries suffered by the plaintiff, Priscilla Singh, in an assault committed by the defendant, Dr. Dorothy Reddy.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Ms. Singh sustained the injuries on November 17, 2007, at a dinner dance at a hall in Surrey owned by the Irmandade Portuguesa Do D.E. Santo Cultural Society of B.C. The dinner dance was a fundraiser hosted by the Then India Sanmarga Ikya Sangam Educational and Cultural Society (the "Sangam Society").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Ms. Singh's claim against the two societies was resolved. The question of Dr. Reddy's liability was severed from the assessment of Ms. Singh's damages. I presided over the trial of Dr. Reddy's liability. On February 22, 2018, I found that Dr. Reddy intentionally pushed Ms. Singh to the ground causing Ms. Singh to be injured, and that Dr. Reddy was liable for the damages suffered by Ms. Singh as a result. In reasons for judgment indexed as </w:t>
      </w:r>
      <w:r>
        <w:rPr>
          <w:rFonts w:ascii="arial" w:eastAsia="arial" w:hAnsi="arial" w:cs="arial"/>
          <w:i/>
          <w:color w:val="000000"/>
          <w:sz w:val="20"/>
          <w:lang w:val="en-US" w:eastAsia="en-US" w:bidi="ar-SA"/>
        </w:rPr>
        <w:t>Singh v. Reddy</w:t>
      </w:r>
      <w:r>
        <w:rPr>
          <w:rFonts w:ascii="arial" w:eastAsia="arial" w:hAnsi="arial" w:cs="arial"/>
          <w:color w:val="000000"/>
          <w:sz w:val="20"/>
          <w:lang w:val="en-US" w:eastAsia="en-US" w:bidi="ar-SA"/>
        </w:rPr>
        <w:t xml:space="preserve">, </w:t>
      </w:r>
      <w:hyperlink r:id="rId743" w:history="1">
        <w:r>
          <w:rPr>
            <w:rFonts w:ascii="arial" w:eastAsia="arial" w:hAnsi="arial" w:cs="arial"/>
            <w:i/>
            <w:color w:val="0077CC"/>
            <w:sz w:val="20"/>
            <w:u w:val="single"/>
            <w:shd w:val="clear" w:color="auto" w:fill="FFFFFF"/>
            <w:lang w:val="en-US" w:eastAsia="en-US" w:bidi="ar-SA"/>
          </w:rPr>
          <w:t>2019 BCCA 79</w:t>
        </w:r>
      </w:hyperlink>
      <w:r>
        <w:rPr>
          <w:rFonts w:ascii="arial" w:eastAsia="arial" w:hAnsi="arial" w:cs="arial"/>
          <w:color w:val="000000"/>
          <w:sz w:val="20"/>
          <w:lang w:val="en-US" w:eastAsia="en-US" w:bidi="ar-SA"/>
        </w:rPr>
        <w:t>, the Court of Appeal dismissed Dr. Reddy's appeal of that order. The task, now, is to quantify Ms. Singh's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Ms. Singh seeks an award of in excess of $1 million. Specifically, she seeks $200,000 in non-pecuniary damages; $164,961 (gross) for past loss of income; $547,184 for future loss of income earning capacity; $93,371.56 for costs of future care; $10,000 for loss of housekeeping capacity; $4,895.01 for special damages; and $35,000 in aggravated or punitive damages, plus special costs for the liability portion of the trial and costs at Scale B for the damages assessment. In addition, the provincial government asserts a claim in the amount of $8,575.23 pursuant to the </w:t>
      </w:r>
      <w:r>
        <w:rPr>
          <w:rFonts w:ascii="arial" w:eastAsia="arial" w:hAnsi="arial" w:cs="arial"/>
          <w:i/>
          <w:color w:val="000000"/>
          <w:sz w:val="20"/>
          <w:lang w:val="en-US" w:eastAsia="en-US" w:bidi="ar-SA"/>
        </w:rPr>
        <w:t>Health Care Costs Recovery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2008, c. 27</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defence submits that Ms. Singh has established a claim to damages of about $140,000. Specifically, the defence says an award of non-pecuniary damages of $70,000 is appropriate, but reduced by 15%, to $59,500, to reflect Ms. Singh's failure to mitigate. The defence submits that Ms. Singh has established a claim for past loss of income of $62,152.30. The defence concedes that Ms. Singh has established a claim for loss of past housekeeping capacity and submits that $5,000 would be an appropriate award under that head. The defence concedes that Ms. Singh has established a claim for costs of future care, specifically, for the cost of ongoing medication, and submits that $5,000 would be an appropriate award under that head. The defence submits that Ms. Singh has not established a claim for damages for loss of future earning capacity. The defence says Ms. Singh has established special damages of $2,255.01. The defence concedes Dr. Reddy's liability for the provincial government's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Singh is 46 years old. She lives with her husband, Jaykumar Sharma, and their teenaged son in Surrey.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At the time of the assault, in November 2007, Ms. Singh was 33 years old. She was married to Mr. Sharma. Their son was three years old. Ms. Singh was employed in an administrative position with the Department of Fisheries and Oceans ("DFO"). Mr. Sharma owned a retail store called Sari-Wali Creations, which specialized in Indian-style clothing and jewelry.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Sangam Society is a cultural, educational and religious society. Its members, or most of them, are immigrants from Fiji who are of Indian descent, adhere to the Hindu religion, and attend a temple operated by the Society.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Many of Mr. Sharma's customers at Sari-Wali were members of the Sangam Society. Neither Ms. Singh nor Mr. Sharma were members of the Sangam Society but, through his business, they had become acquainted with several of the members and had developed friendships with some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Prior to the dinner dance in question, Mr. Sharma and Ms. Singh had attended several celebrations and dances hosted by the Sangam Society. They did so, in part, to promote Mr. Sharma's business. Mr. Sharma had also donated saris and jewelry to the Sangam Society for fundraising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Dr. Reddy and her husband were members of the Sangam Society. Ms. Singh and Mr. Sharma did not know Dr. Reddy or Mr. Reddy, but the two couples had mutual friends who were members of the Sangam Society.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At the dance on November 17, 2017, Ms. Singh and Mr. Sharma sat at a table with another couple, Jenny and Balraj Jagroop. Dr. Reddy and her husband sat at the table next to them, with two other couples. One of those couples, Ranjana and Bala Rangaiya, were friends of Ms. Singh and Mr. Sharma. Ms. Singh and Mr. Sharma were acquainted with the other couple, the Murtis.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the evening in question, about 40 minutes after the dancing began, Dr. Reddy inexplicably walked up to Ms. Singh, on the dance floor, and pushed her to the ground. Ms. Singh landed on her left elbow. It was obvious that her arm was injured. She was in intense pain and was assisted off the dance floor by her husband and other on-lookers. Dr. Reddy denied having anything to do with Ms. Singh's fall, but I found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There is no dispute that Ms. Singh broke her left elbow when she was pushed to the ground by Dr. Reddy and that she underwent surgery a couple of days later, during which a portion of her elbow was replaced with a steel prosthesis. The nature and seriousness of any associated injuries, and the extent of any ongoing symptoms and disability is in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An orthopedic surgeon, Dr. Robert Froh, performed Ms. Singh's surgery a few days after the assault. She spent about five days in the hospital. She testified that her recovery from the acute phase of her injury took about 18 months. She was unable to work during that time. She spent the first few weeks after the surgery with her parents because she could not care for herself, and her husband and son had gone to India to tend to her mother-in-law who had suffered a stroke. She took pain medication, both prescription and over-the-counter, which included Vimovo, Tramadol and Cymbalta. She attended physiotherapy for about six months and did exercises to strengthen her 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Sari-Wali had been in business for about two years prior to the assault. Ms. Singh had assisted Mr. Sharma in the business. Among other things, she helped with business development by participating in community events, and she worked in the store on weekends providing customer assistance. She testified that she was unable to do any of that after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Sharma closed Sari-Wali in October 2018. Ms. Singh alleges that the assault destroyed the goodwill between her family and a large portion of the Fijiian immigrant community, and the ill will ultimately ruined her husband's business. Ms. Singh's friendship with Mrs. Rangaiya ended three to four weeks after the dance, when Mrs. Rangaiya said she would not be a witness because she did not want to do anything inconsistent with the interests of the Sangam Society. Mr. Sharma's relationship with Mr. Rangaiya also came to an end, as did their friendship and association with other members of the Sangam Society. Since the incident, few if any members of the Sangam Society shopped in Mr. Sharma's store. Ms. Singh did not produce any business records for Sari-Wali and she does not seek a pecuniary award to compensate for this alleged loss. Nevertheless, she submits the loss of the business is a factor that is relevant to the assessment of her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Singh returned to work at the DFO in September of 2009, about 22 months after the assault. She participated in a month-long graduated return program. The DFO provided her with an ergonomic assessment and adapted her workstation and equipment accordingly. She continues to work at the DFO, but says she has lost opportunities for promotions because of her ongoing pain and its sequelae. Specifically, she says her injuries prevent her from working downtown, where there are far more opportunities for advancement.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Singh has a long history of epilepsy for which she has taken valproic acid for years. She suffered a whiplash type injury in a 2005 motor vehicle accident. Nevertheless, she was in good health before the assault and had no relevant pre-existing medical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Singh was in another motor vehicle accident in July 2015. Her vehicle was rear-ended. She testified that she sustained whiplash type injuries that resulted in pain in her neck and tightness in her shoulders and low back. She said she fully recovered from these injuries by about August 2015, and did not miss any work because of them, as she was on vacation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Singh was in a third motor vehicle accident in May 2018. She testified that this caused a flare-up of her 2015 whiplash injury. She was off work for about a week after this accident, with back pain. She aggravated her back pain at work in March or April of 2019, and again in May or June 2019 when playing badminton. She was off work for a week following each of those aggravations. She testified that she continues to suffer from mild back pain that is aggravated by swinging and twisting motions.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Ms. Singh testified that since the assault she has suffered constant elbow pain that radiates from her elbow down her arm to her hand and, occasionally, up to her shoulder. Initially, she said the nature and severity of this pain has not changed since before the 2015 motor vehicle accident. Later, she said that the 2018 motor vehicle accident aggravated the pain in her left arm and the aggravation was so severe that she went to the hospital in June 2018 and had an x-ray. She said her left arm symptoms have returned to their pre-2018 motor vehicle accident level. She said the intensity of the pain varies and is exacerbated by movement, such as by filing, typing and cooking. She said that by the Friday of a work week, the pain approaches 6 out of 10 on a 10-point pain scale. She cannot fully extend her left elbow. When she extends both arms, her left hand is about 1 or 1 1/2 hand lengths closer to her body than her right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Singh continues to take over-the-counter pain medication to manage her symptoms. She also takes Cymbalta, which her doctor prescribed in 2009 or 2010 in response to her complaint that the pain was affecting her concentration and focus at work. She testified that she occasionally takes cyclobenzaprine on a Friday or Saturday night, which helps her sleep. She said that medication "knocks her out" and makes her groggy, so she does not take it during the week, when she has to get up early for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Before the assault, Ms. Singh was an active and social person. She said she was energetic and spontaneous. She slept well. She swam two to three times a month; played badminton; enjoyed cooking; hosted weekly dinners at her home; attended social functions, such as dances, with friends and family; and went to movies. She and Mr. Sharma went out together every Saturday night. As mentioned, she worked in her husband's store on weekends.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Singh testified that the pain and associated fatigue limits what she can do, and she is depressed and angry about the assault. She is exhausted by the pain, which affects her sleep, and has a decreased ability to concentrate. Although she is right-handed, the injury to her left arm has reduced her ability to lift and carry. She can no longer lift above her head. She cannot type as fast as she used to and computer work causes soreness in her left hand. She has more recently noticed tingling in her left arm and hand when typing. She must take frequent breaks 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Singh testified that she still goes swimming, but she can no longer perform proper strokes. She can no longer play badminton. She said she rarely goes out after work due to fatigue. She goes to movies less often than before the assault. She still hosts dinners with friends but only about once every two to three months, and she finds doing so to be a chore. Her ability to cook has been affected. For example, she enjoyed making roti, but now finds that after rolling out five or six pieces, her arm is too sore to continue. She stopped helping out in her husband's store on weekends. Her pain resulted in a cessation of her sexual relationship with her husband for several months after the assault, and although they have resumed sexual relations, the frequency is significantly reduced due to her fatigue.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Ms. Singh testified that her homemaking capacity has been affected by the injury to her left arm. She said she can still perform some homemaking tasks but everything takes her longer to complete and she leaves the heavier items for her husband, who now performs between 60% and 70% of the housework. She testified she can do the laundry but she needs help changing bedsheets. She said she can do light vacuuming with an upright vacuum, but her husband does the heavier vacuuming. She can no longer wash pots and pans. She does light dishwashing but leaves the heavy items for her husband. Her husband does the major cleaning of the bathrooms.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Ms. Singh relied on evidence from her family doctor, Dr. Jose Benitez-Lazo; Dr. Spencer Lui, an orthopedic surgeon who conducted medical/legal assessments of Ms. Singh on August 28, 2012 and February 26, 2019; Dr. Rhonda Shuckett, a rheumatologist who conducted a medical/legal assessment of Ms. Singh on March 22, 2019; and Mr. Dominic Shew, an occupational therapist who conducted functional capacity evaluations of Ms. Singh on August 29, 2012 and April 2, 2019.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defence did not tender any expert medical evidence, but relied on the evidence of Deanna Bicego, Shanu Jadhwani, and Navjot Sarao, each of whom is a physiotherapist who has treated Ms. Singh.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There is no dispute about the nature and cause of Ms. Singh's injuries, although the severity of her ongoing symptoms is contested. As a result of the assault, Ms. Singh sustained a left radial head elbow fracture that required radial head excision and replacement with a steel prosthesis. In addition, the medical evidence as a whole establishes, on a balance of probabilities, that as a result of the assault she sustained:</w:t>
      </w:r>
      <w:r>
        <w:rPr>
          <w:rFonts w:ascii="arial" w:eastAsia="arial" w:hAnsi="arial" w:cs="arial"/>
          <w:sz w:val="20"/>
          <w:lang w:val="en-US" w:eastAsia="en-US" w:bidi="ar-SA"/>
        </w:rPr>
        <w:cr/>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ongoing pain in the left elbow;</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nerve injury in the left elbow that is likely the cause of pain and tingling in the left forearm and hand;</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deformity of the left elbow and abnormal functional range of motion, described by Dr. Shuckett in cross-examination as "very impaired range of motion" in the left elbow;</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left shoulder injury with rotator cuff tendinosis and potential rotator cuff tendon tear causing pain, decreased range of motion and dysfunction in the shoulder; and</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myofascial pain in the left neck with mild decreased range of motion in the neck, likely due to continuous left-arm guarding, which may have been exacerbated to some degree by the 2018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terms of prognosis, Dr. Shuckett expressed the opinion that improvement in Ms. Singh's left elbow and the symptoms in her left arm and shoulder is unlikely. In her view, Ms. Singh faces the possibility of future surgery to replace the left elbow. This surgery could attenuate the elbow pain but it would be a major undertaking with significant risks including risks of ongoing deformity, loss of function, infection and even loss of the arm. Dr. Shuckett's opinion is that Ms. Singh is at high risk of osteoarthritis in the left elbow, and that the pain and loss of function will probably get worse. In her view, because of the structural changes in the elbow, muscle-strengthening exercise is not likely to reduce the risk of future osteoarthritis. She expressed the view that it is "highly tenable" that Ms. Singh may leave work prematurely as a result of the pain and decreased function in her left upper extremity.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Dr. Lui's prognosis is that there is little chance of any further improvement in Ms. Singh symptoms and she has been left with a permanent disability. In his first report dated September 13, 2012, following his assessment of Ms. Singh on August 28, 2012, Dr. Lui recommended anti-inflammatory and pain medication, physiotherapy to maintain range of motion and strength, and massage therapy. At trial, nearly seven years later, his view was that additional physiotherapy is unlikely to result in improvement, although ongoing stretching exercises could be beneficial. He also expressed the view that there is a possibility of future surgery to replace the left elbow but said that it is "difficult to predict at this point exactly what time in the future that further surgery would be necessary". He shared Dr. Shuckett's opinion that Ms. Singh is a high risk of osteoarthritis in the left elbow. In his view, Ms. Singh sustained damage to the cartilage in the elbow at the time of the assault, and this has contributed to the risk of future osteoarthritis.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Dr. Benitez-Lazo expressed the opinion that full recovery is unlikely and future osteoarthritis of the elbow is possible. In a report dated September 17, 2012, he recommended consultation with a kinesiologist for at least three months, stretching, heat, swimming and the use of Cymbalta. He said cortisone injections into the elbow could be tried to see if they provided symptomatic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It is Dr. Shuckett's opinion that the 2018 motor vehicle accident did not affect the natural progression of Ms. Singh's elbow injury but may have temporarily aggravated her left shoulder pain. In her view, the 2018 motor vehicle accident resulted in a low back injury causing Ms. Singh to suffer low back pain and decreased range of motion in the lower back, which affects her sitting tolerance and general quality of life. Dr. Lui's opinion is that the 2015 and 2018 motor vehicle accidents resulted in injuries to Ms. Singh's neck and back that are unrelated to her current left elbow and shoulder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Shew conducted two thorough functional capacity evaluations of Ms. Singh, which involved interviews, range of motion testing, and functional testing, including work simulation activities tailored to her work as an administrative assistant. He concluded that Ms. Singh completed both evaluations with high levels of physical effort such that the testing results accurately represent her physical and functional abilities and 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his first report following an assessment on August 29, 2012, Mr. Shew concluded,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Singh] consistently demonstrated restrictions tolerating tasks requiring vertical and horizontal reaching with her left upper extremity. In addition, she demonstrated restrictions tolerating tasks requiring static positioning of her head and neck while working overhead or in a seated position. There were measured restrictions in left upper extremity strength as well as one handed lifting with her left upper extremity. Overall there were restrictions in her mobility (cervical, left shoulder and left elbow/forearm).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respect to avocational or unpaid tasks, test results and clinical observations indicate that she is capable of safely performing light homemaking chores such as cleaning countertops, dusting, et cetera, as long as she paces herself appropriately throughout the day and week.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Regarding her capacity to complete more physically demanding household activities such as manoeuvring furniture, cleaning the washrooms, seasonal cleaning, et cetera, test results and clinical observations suggest that she is capable of safely performing some of these tasks in a safe manner. However, she is likely to experience more difficulty with tasks requiring heavier demands and those that require vertical and horizontal reaching with her left upper extremity and awkward positioning of her head and neck for prolonged and repetitive periods. As such, in order to remain safe and functional she will require assistance with the manoeuvring of loads above her safe, measured capacity and those requiring awkward positioning of her left upper extremity and upper body.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Clinical observations indicate that she met the functional mobility and coordination to perform the short periods of the basic body positional demands typically required of [her] line of work. However, Ms. Singh demonstrated difficulties tolerating tasks requiring prolonged and repetitive positioning of her neck, head, upper body and left upper extremity while reaching in front and to the sides of her body in a seated position (e.g., static positioning of the spine while writing, using a computer, et cetera).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Overall, ... Ms. Singh is likely safe and gainfully employable at this occupation since she demonstrated the ability to safely perform the basic demands. However, her difficulties as described above indicate that she will require accommodations such as the ability to change positions and take breaks throughout her shift in order to manage her symptoms while attempting to remain productive. In addition, she will require ongoing ergonomic equipment and an appropriately set up workstation.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Shew reassessed Ms. Singh on April 2, 2019. He found that the range of motion in her left arm and shoulder had decreased since his initial assessment nearly seven years earlier. In his second report following the reassessment, Mr. Shew concluded,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Singh] demonstrated functional restrictions with tasks that applied stress to her neck/upper back when completing activities requiring sustained head/neck positions and vertical reaching.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also demonstrated functional restrictions with tasks that applied stress to her lower back when completing activities requiring prolonged stooping, repetitive bending, prolonged crouching, repetitive squatting, and prolonged "work-intensive" sitting.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Additionally, she demonstrated the most significant functional restrictions with tasks that applied stress to her left upper extremity when completing activities requiring horizontal reaching, and vertical reaching.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Given her restrictions involving her neck/upper back, lower back, and more so her left upper extremity, and the need for work modifications in order for her to remain employed in some capacity, Ms. Singh is likely at a competitive disadvantage compared to individuals that do not possess her same physical and functional limitations.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terms of strength, Ms. Singh demonstrated sufficient strength to safely manage the demands of [her] line of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Specific to the demands of her occupation, she did not demonstrate any significant functional limitations with tasks involving hand dexterity, grasping, horizontal reaching with her right upper extremity, and "casual" sitting. She, however, demonstrated neck and lower back restrictions with extended periods of "work-intensive" sitting (i.e., static positioning of the neck and spine while sitting to complete paper or computer tasks). She demonstrated more significant restrictions with tasks involving the use of her left upper extremity when reaching forward such as that required when completing "work-intensive", seated activity (i.e., reaching when typing, completing paperwork, et cetera). Thus, she requires breaks to accommodate for her neck and lower back restrictions, but more so for her left upper extremity limitations. Additionally, she requires appropriate ergonomic equipment and an appropriately set-up workstation to best manage her symptoms to remain functional.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Overall, Ms. Singh is likely safe and employable to continue in [her] line of work on a part and full time basis. However, due to her restrictions involving her neck, lower back, and left upper extremity, she will need the opportunity to take breaks to rest, stretch, and/or change positions, as well as suitable ergonomics when completing desk-type (paper and computer) activities.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terms of her capacity to manage avocational tasks, although there were measured and observed restrictions related to tasks that stressed her neck/upper back and lower back, but more so involving her left upper extremity, her residual capacity is likely functional for most general, day-to-day demands...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Test results imply that if she is to participate in unpaid activities that require moderate to higher level physical demands and particularly those that apply substantial stress to her neck/upper back, lower back, and more so to her left upper extremity, there will likely be a severe aggravation of her symptoms resulting in a gradual reduction in her abilities over time. Examples would include, but not be limited to, extended periods of overhead activity when cleaning walls, handling moderate loads such as when grocery shopping, handling furniture, et cetera. During the completion of tasks, she will need to break up her activities to manage her symptoms, and receive assistance with activities that exceed her safe and durable capacity, adversely affect her ability to remain functional, and/or that significantly aggravates her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After his first assessment in August 2012, Mr. Shew recommended that Ms. Singh remain as active as possible, within her tolerance; that she participate in a "short bout of update sessions" with a kinesiologist to assist her in creating an individualized, active exercise program; and that she thereafter continue to exercise at a gym or in her home. He also recommended some particular ergonomic equipment for her workstation. After his reassessment in April 2019, Mr. Shew continued to recommend update sessions with a kinesiologist to assist Ms. Singh in creating an individualized exercise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As mentioned, the defence relied on the evidence of three physiotherapists who treated Ms. Singh. Deanna Bicego treated Ms. Singh from late 2007 to May 2008. Her focus was Ms. Singh's elbow injury. She noted improvement in Ms. Singh's range of motion, grip strength and function over the course of treatment. Shanu Jadhwani treated Ms. Singh at Optimal Physiotherapy, in July and August 2018, for injuries she sustained in the May 2018 motor vehicle accident. Ms. Jadhwani stopped working at Optimal in September 2018, and Navjot Sarao took over Ms. Singh's treatment. She continues to treat Ms. Singh for the injuries Ms. Singh sustained in the 2018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defence urged me to find that Ms. Singh was not credible in her account of the nature and severity of the symptoms associated with the elbow injury, and the impact those symptoms have had on her life. Defence counsel submitted that there were inconsistencies in Ms. Singh's evidence with respect to the existence and progression of particular symptoms and that she downplayed the impact of the 2015 and 2018 motor vehicle accidents. Defence counsel emphasized that there were significant periods during which Ms. Singh saw her family doctor but did not complain about elbow pain, and submitted this calls into question the credibility of her current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There were some inconsistencies in Ms. Singh's evidence with respect to the existence and progression of particular symptoms. For example, she testified that her elbow pain has been constant since the assault; whereas, an entry in a physiotherapy clinical record for April 2008 noted that her left elbow pain was "intermittent" and a September 30, 2008 clinical record indicated she said her elbow pain was "precipitated and exacerbated with physical activity". There were also some inconsistencies in her evidence with respect to whether and to what extent the 2015 and 2018 motor vehicle accidents aggravated the symptoms in her left arm and shoulder. However, none of this affected my assessment of Ms. Singh's credibility or the reliability of her general account of her symptoms. Such inconsistences are to be expected when a witness is trying to recount details of symptoms over more than a decade: </w:t>
      </w:r>
      <w:r>
        <w:rPr>
          <w:rFonts w:ascii="arial" w:eastAsia="arial" w:hAnsi="arial" w:cs="arial"/>
          <w:i/>
          <w:color w:val="000000"/>
          <w:sz w:val="20"/>
          <w:lang w:val="en-US" w:eastAsia="en-US" w:bidi="ar-SA"/>
        </w:rPr>
        <w:t>Edmondson v. Payer</w:t>
      </w:r>
      <w:r>
        <w:rPr>
          <w:rFonts w:ascii="arial" w:eastAsia="arial" w:hAnsi="arial" w:cs="arial"/>
          <w:color w:val="000000"/>
          <w:sz w:val="20"/>
          <w:lang w:val="en-US" w:eastAsia="en-US" w:bidi="ar-SA"/>
        </w:rPr>
        <w:t xml:space="preserve">, </w:t>
      </w:r>
      <w:hyperlink r:id="rId157" w:history="1">
        <w:r>
          <w:rPr>
            <w:rFonts w:ascii="arial" w:eastAsia="arial" w:hAnsi="arial" w:cs="arial"/>
            <w:i/>
            <w:color w:val="0077CC"/>
            <w:sz w:val="20"/>
            <w:u w:val="single"/>
            <w:shd w:val="clear" w:color="auto" w:fill="FFFFFF"/>
            <w:lang w:val="en-US" w:eastAsia="en-US" w:bidi="ar-SA"/>
          </w:rPr>
          <w:t>2011 BCSC 118</w:t>
        </w:r>
      </w:hyperlink>
      <w:r>
        <w:rPr>
          <w:rFonts w:ascii="arial" w:eastAsia="arial" w:hAnsi="arial" w:cs="arial"/>
          <w:color w:val="000000"/>
          <w:sz w:val="20"/>
          <w:lang w:val="en-US" w:eastAsia="en-US" w:bidi="ar-SA"/>
        </w:rPr>
        <w:t xml:space="preserve"> at para.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Similarly, the defence emphasized that, at trial, Ms. Singh complained of symptoms, such as headaches and problems with her memory and concentration, which she did not mention during her examination for discovery in 2012. At trial, Ms. Singh testified that she did not suffer from those symptoms prior to 2012. There is nothing in that explanation that gives rise to any credibility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Further, the fact that there were periods during which Ms. Singh saw her family doctor but did not complain about elbow pain is not, in itself, evidence of anything. There may be cases where a plaintiff's description of her symptoms is clearly inconsistent with the failure to seek medical attention, permitting the drawing of an adverse conclusion about the plaintiff's credibility. However, in other circumstances, a plaintiff's failure to continue to complain to her general practitioner may be entirely reasonable. For example, as observed by Justice Smith in </w:t>
      </w:r>
      <w:r>
        <w:rPr>
          <w:rFonts w:ascii="arial" w:eastAsia="arial" w:hAnsi="arial" w:cs="arial"/>
          <w:i/>
          <w:color w:val="000000"/>
          <w:sz w:val="20"/>
          <w:lang w:val="en-US" w:eastAsia="en-US" w:bidi="ar-SA"/>
        </w:rPr>
        <w:t>Edmondson</w:t>
      </w:r>
      <w:r>
        <w:rPr>
          <w:rFonts w:ascii="arial" w:eastAsia="arial" w:hAnsi="arial" w:cs="arial"/>
          <w:color w:val="000000"/>
          <w:sz w:val="20"/>
          <w:lang w:val="en-US" w:eastAsia="en-US" w:bidi="ar-SA"/>
        </w:rPr>
        <w:t xml:space="preserve"> at para. 37, "a plaintiff whose condition neither deteriorates nor improves is not obliged to constantly bother busy doctors with reports that nothing has changed, particularly if the plaintiff has no reason to expect the doctors will be able to offer any new or different treatment" and "a plaintiff who seeks medical attention for unrelated conditions is not obliged to recount the history of the accident and resulting injury to a doctor who is not being asked to treat that injury and has no reason to be interested in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this case, after about March 2010, Ms. Singh rarely complained of elbow symptoms to Dr. Benitez-Lazo, although she saw him for unrelated matters. Dr. Benitez-Lazo explained that during at least some of this period, Ms. Singh was taking Cymbalta for depression and pain relief. There is nothing to suggest that she had any reason to expect that anything further could be done for her elbow pain, and nothing to suggest that she had reason to continue to mention what had become a chronic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generally found Ms. Singh to be a credible witness and I accept her general account of the nature and severity of her symptoms, and their progression. In other words, I accept that since the assault, she has suffered from constant or nearly constant elbow pain, of varying intensity, and that over time the pain has interfered with her sleep and contributed to symptoms of low mood. However, she displayed a tendency to exaggerate the impact of the assault-related injuries on her life. I will give three examples.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Ms. Singh insisted that the loss of clientele after the assault caused the failure of her husband's business. However, she did not adequately explain the foundation for that conclusion given that Sari-Wali did not close until ten years after the assault. She did not reference any business records that would permit an analysis of the cause of the failure. In the circumstances, her claim that the assault was the primary, if not only, cause of the business failure was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Ms. Singh also overstated the impact her pain medication had on her decision to terminate a pregnancy in 2009, suggesting she would not have terminated the pregnancy but for the assault. She admitted that she has taken valproic acid for epilepsy, for years, and this is associated with an increased risk of a foetus developing spina bifida. Her son has mild spina bifida. She claimed that her obstetrician was more concerned about her ongoing use of Tramadol for pain than he was about the risk of her having another child with spina bifida, but her testimony about her obstetrician's concern is hearsay and not admissible for the truth. No expert evidence was lead about the risks of using either valproic acid or Tramadol during pregnancy. However, it was apparent from Dr. Benitez-Lazo's evidence that Ms. Singh was resistant to discontinuing valproic acid when she learned she was pregnant, and this was at least a significant factor in the decision to abort the pregnancy. Again, in the circumstances, her claim that the use of pain medication for the injury she sustained in the assault was the primary, if not only, factor that resulted in her decision to undergo an abortion was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Finally, when describing the affect of her symptoms on her lifestyle, Ms. Singh did not try to isolate the effects of the elbow injury from those that resulted from the motor vehicle accidents in 2015 and 2018, and she minimized the affect of the motor vehicle accidents. It is apparent that she complained of and sought treatment for soft tissue injuries to her neck and back following each of those accidents. In his April 12, 2019 report, after his reassessment of Ms. Singh, Mr. Shew noted functional restrictions with tasks that applied stress to her neck, upper back and lower back. Ms. Singh attended physiotherapy for at least a year following the 2018 accident. In the circumstances, it was not reasonable for her to essentially ignore the impact of the motor vehicle accidents on her quality of life when giving her testimony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did not form the view that Ms. Singh was deliberately dishonest. However, in some respects her testimony displayed an inability to resist being influenced by her interest. This may be due to the significant anger she still feels about having been assaulted. As justified as that anger is it has, in my view, clouded the reliability of her account of the impact of the elbow injury on her life. This in turn has affected my assessment of her claim and, in particular, her insistence that the injuries she sustained in the assault continue to negatively affect her earning capacity in a substantial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general test for causation, established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30"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paras. 13-17, is the "but for" test: "but for" the accident, would the plaintiff have suffered the injury in question?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the Court also stated that a plaintiff need not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the injury. If there are other potential causes, the defendants will still be found liable if the plaintiff can prove the accident was a cause of any ongoing harm. In other words, the plaintiff must show, on a balance of probabilities, that the injury or harm would not have occurred without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99"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From Ms. Singh's testimony and the medical evidence I have summarized above, I have no difficulty concluding that the assault caused a left radial head elbow fracture that required radial head excision and replacement with a steel prosthesis. I accept Ms. Singh's account of her pre-accident health as well as the initial severity and gradual progression of her symptoms. On the basis of her evidence and that of the medical experts, I make the following findings:</w:t>
      </w:r>
      <w:r>
        <w:rPr>
          <w:rFonts w:ascii="arial" w:eastAsia="arial" w:hAnsi="arial" w:cs="arial"/>
          <w:sz w:val="20"/>
          <w:lang w:val="en-US" w:eastAsia="en-US" w:bidi="ar-SA"/>
        </w:rPr>
        <w:cr/>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Singh was in good health prior to the assault and had no significant pre-existing pain or physical limitations.</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addition to the elbow fracture, Ms. Singh sustained an injury to the nerve in her elbow and a left shoulder injury when she was pushed to the ground.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of the assault and in the immediate aftermath, Ms. Singh suffered from severe pain in her elbow that significantly interfered with her daily activities and prevented her from working.</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Singh's recovery from the acute phase of her injury took about 18 months, but she has been left with ongoing, chronic elbow pain of varying intensity; pain and tingling in her left forearm and hand as a result of the nerve injury; deformity of the left elbow and significantly impaired range of motion in the left elbow; chronic pain of varying intensity in the left shoulder; decreased range of motion and dysfunction in the left shoulder; and myofascial pain in the left neck with mild decreased range of motion in the neck, likely due to continuous left-arm guarding, which may have been exacerbated to some degree by the 2018 motor vehicle accident.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addition to the physical symptoms, Ms. Singh's sleep was interrupted, she became fatigued, and she ultimately suffered symptoms of depression.</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the time Ms. Singh returned to work in September of 2009, her symptoms were chronic but she was able to perform her job.</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more likely than not that Ms. Singh's symptoms have plateaued and are permanent. She has been left with reduced strength and significantly reduced function in her left arm and shoulder.</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more likely than not that Ms. Singh will develop osteoarthritis in her left elbow, which will result in an exacerbation of pain.</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real and substantial possibility that Ms. Singh will have to undergo a complete elbow replacement in the future, which will result in a significant period of convalescence and rehabilitation.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As mentioned, there were some inconsistencies in Ms. Singh's evidence with respect to whether and to what extent the 2015 and 2018 motor vehicle accidents aggravated the symptoms in her left arm and shoulder. Dr. Benitez-Lazo reported that Ms. Singh claimed to have suffered an exacerbation of pain affecting her left arm after each of the two motor vehicle accidents. An entry in a physiotherapy clinical record for July 21, 2015 indicated that Ms. Singh reported increased elbow pain after the 2015 accident. Ms. Singh acknowledged at trial that her elbow pain was exacerbated by the 2018 motor vehicle accident. In the circumstances, I find, on a balance of probabilities, that Ms. Singh did experience an exacerbation of the pain in her left arm following each motor vehicle accident. However, on the whole of the evidence, I am satisfied that on each occasion, the exacerbation was temporary. Neither of those temporary exacerbations has factored into my assessment of her damages from the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defence submitted that an adverse inference should be drawn from Ms. Singh's failure to call Dr. Froh as a witness. Again, he was the surgeon who performed the surgery on her elbow a few days after the assault. The nature of the inference that the defence urged me to draw from Ms. Singh's failure to call Dr. Froh was not clear. I emphasize that there is no dispute that Ms. Singh sustained a serious elbow injury as a result of the assault, which required surgical repair including the application of a steel prosthesis. There was evidence in the clinical records to the effect that, in late 2008, Dr. Froh expressed the view to Dr. Benitez-Lazo that Ms. Singh's shoulder symptoms were unrelated to the elbow injury. Leaving aside the hearsay nature of the statement, it could not be reasonably inferred that Dr. Froh would express the same opinion today.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An adverse inference may be drawn against a party if, without sufficient explanation, that party fails to call a witness who might be expected to provide important supporting evidence. However, it may be inappropriate to draw an adverse inference if the witness is equally available to both parties. I have no evidence that the defence was unable to or even tried to speak to Dr. Froh. In any event, there is other expert medical evidence from Dr. Shuckett and Dr. Lui, which I accept, that establishes, on a balance of probabilities, that the shoulder symptoms Ms. Singh complains of are causally related to the assault. In the circumstances, I decline to draw any inference from Ms. Singh's failure to call Dr. Froh.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defence submits that Ms. Singh acted unreasonably in failing to attend physiotherapy and massage therapy, as recommended by Dr. Lui in his September 13, 2012 report, and by failing to consult a kinesiologist for assistance with the development of an active rehabilitation program, as recommended by Mr. Shew in his September 11, 2012 report, and that her losses would have been reduced had she done so. The defence advances the position that Ms. Singh's damages under all heads should be reduced to reflect her 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Forghani-Esfahani v. Lester</w:t>
      </w:r>
      <w:r>
        <w:rPr>
          <w:rFonts w:ascii="arial" w:eastAsia="arial" w:hAnsi="arial" w:cs="arial"/>
          <w:color w:val="000000"/>
          <w:sz w:val="20"/>
          <w:lang w:val="en-US" w:eastAsia="en-US" w:bidi="ar-SA"/>
        </w:rPr>
        <w:t xml:space="preserve">, </w:t>
      </w:r>
      <w:hyperlink r:id="rId744" w:history="1">
        <w:r>
          <w:rPr>
            <w:rFonts w:ascii="arial" w:eastAsia="arial" w:hAnsi="arial" w:cs="arial"/>
            <w:i/>
            <w:color w:val="0077CC"/>
            <w:sz w:val="20"/>
            <w:u w:val="single"/>
            <w:shd w:val="clear" w:color="auto" w:fill="FFFFFF"/>
            <w:lang w:val="en-US" w:eastAsia="en-US" w:bidi="ar-SA"/>
          </w:rPr>
          <w:t>2019 BCSC 332</w:t>
        </w:r>
      </w:hyperlink>
      <w:r>
        <w:rPr>
          <w:rFonts w:ascii="arial" w:eastAsia="arial" w:hAnsi="arial" w:cs="arial"/>
          <w:color w:val="000000"/>
          <w:sz w:val="20"/>
          <w:lang w:val="en-US" w:eastAsia="en-US" w:bidi="ar-SA"/>
        </w:rPr>
        <w:t xml:space="preserve"> at paras. 57-69, Justice Verhoeven analyzed the legal framework for assessing an alleged failure to mitigate. I agree with and adopt that analysis. To establish a failure to mitigate, the onus is on the defendant to prove the plaintiff could have avoided all or a portion of her loss. In a personal injury case in which the plaintiff has not pursued a medical recommendation, the defendant must prove, on a balance of probabilities, that the plaintiff acted unreasonably in eschewing the recommended treatment. Having done that, the defendant must establish a real and substantial possibility that some part of the losses could have been avoided had the treatment been undertaken. If that is established, the court will assess the degree of probability that the loss or some part thereof would have been avoided, and assess damages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As mentioned, in his September 13, 2012 report, Dr. Lui recommended physiotherapy to maintain range of motion and strength as well as massage therapy to relieve some of the muscle tension.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Again, in his September 11, 2012 report, Mr. Shew recommended that Ms. Singh consult a kinesiologist for assistance with the development of an active rehabilitation program. In cross-examination at trial, he testified that an active rehabilitation program could help by improving or even just maintaining function, but that the response depends on the patient and nature of the injury. He agreed that, in his experience, a majority of patients who are diligent in following an active rehabilitation program improve to some degree. However, he emphasized that he is not a physician and could not say whether Ms. Singh would have improved had she followed his recommendation in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Ms. Singh acknowledged Dr. Lui's recommendations and conceded that she did not consult a kinesiologist as he recommended. She said the treatment was too expensive, but she acknowledged that she has a substantial benefits package available to her through her work. In the circumstances, it was unreasonable for Ms. Singh not to follow Dr. Lui's and Mr. Shew's 2012 recommendations.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next question is whether the defence has established a real and substantial possibility that some part of Ms. Singh's losses would have been avoided had she done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my view, the fact that both Dr. Lui and Mr. Shew recommended active rehabilitation in 2012 is sufficient to establish a real and substantial possibility that Ms. Singh's condition would have improved, to some extent, with active rehabilitation. It is reasonable to infer that they made the recommendations because they believed there was a reasonable prospect of active rehabilitation benefitting Ms. Singh.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more difficult task is determining the degree of probability that the loss or some part thereof would have been avoided. The evidence as to the likelihood of benefit from active rehabilitation several years after the injury is weak. The medical evidence is not directed to this question. While I am satisfied that active rehabilitation and ongoing exercise would likely have improved the range of motion in Ms. Singh's elbow and therefore her functionality, given the dearth of medical evidence on the point, and balancing all relevant possibilities, only a small deduction against Ms. Singh's non-pecuniary losses is appropriate. I assess this at 10%. The defence has not established a real and substantial possibility that Ms. Singh's losses under any of the other heads of damage could have been avoided had Ms. Singh participated in active rehabilitation and ongoing exercise as recommended.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Assessment of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An award of non-pecuniary damages is intended to compensate for pain, suffering and loss of enjoyment of life prior to the trial and into the future.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102"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 leave to appeal ref'd </w:t>
      </w:r>
      <w:hyperlink r:id="rId345" w:history="1">
        <w:r>
          <w:rPr>
            <w:rFonts w:ascii="arial" w:eastAsia="arial" w:hAnsi="arial" w:cs="arial"/>
            <w:i/>
            <w:color w:val="0077CC"/>
            <w:sz w:val="20"/>
            <w:u w:val="single"/>
            <w:shd w:val="clear" w:color="auto" w:fill="FFFFFF"/>
            <w:lang w:val="en-US" w:eastAsia="en-US" w:bidi="ar-SA"/>
          </w:rPr>
          <w:t>[2006] S.C.C.A. No. 100</w:t>
        </w:r>
      </w:hyperlink>
      <w:r>
        <w:rPr>
          <w:rFonts w:ascii="arial" w:eastAsia="arial" w:hAnsi="arial" w:cs="arial"/>
          <w:color w:val="000000"/>
          <w:sz w:val="20"/>
          <w:lang w:val="en-US" w:eastAsia="en-US" w:bidi="ar-SA"/>
        </w:rPr>
        <w:t>, the Court of Appeal set out a non-exhaustive list of factors to be considered in determining the amount of non-pecuniary damages to award. That list includes the age of the plaintiff, the nature of the injury, the severity and duration of the pain, the extent of disability, the existence of emotional suffering, the loss or impairment of life, the impairment of relationships, the impairment of physical and mental abilities, and the loss of lifestyle.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 conclude that as a result of the injuries she sustained in the assault, Ms. Singh suffered pain and a loss of enjoyment of life, which will likely continue into the foreseeable future, and from which she is unlikely to ever fully recover.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Ms. Singh endured about a year and a half of severe suffering from pain and fatigue. During that initial acute phase, she was unable to work and unable to enjoy many normal daily activities. She had to undergo surgery and spend five days in hospital. She had to stay with her parents and rely on them for help after being discharged from hospital. Even after she went home, she found it difficult to care for her son and had to continue to rely on her mother to help with childcare. Her sexual relationship with her husband was affected by her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pain in Ms. Singh's arm did improve over time but it has now plateaued and is permanent. The pain in Ms. Singh's arm interfered with her sleep, causing her to become fatigued and depressed. These symptoms wax and wane but they are ongoing some 13 years after the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pain in Ms. Singh's left arm and shoulder is aggravated with any repetitive activity using her left arm. Because of the nature of her work, which includes typing and reaching, she experiences such aggravation on a regular, ongoing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Ms. Singh has had to make adjustments in her lifestyle to try to minimize her symptoms. She is not as active as she used to be. She refrains from certain physical activities, such as playing badminton. She has adjusted the way she swims, no longer performing proper strokes. She does not go out as often as she used to go out. She had to stop helping her husband in his store. She does not entertain as much as she used to entertain. She is even limited in her ability to cook certain types of food. She is limited in her ability to perform heavy housework.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Ms. Singh has been left with a permanent partial disability, which will last for the duration of her life and likely worsened as she ages with the onset of osteoarthritis. She faces the risk of a further significant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For reasons I have already expressed, I am not persuaded that the assault contributed, in a material way, to the failure of Mr. Sharma's business, Sari-Wali. Accordingly, the failure of the business has not factored into my assessment of Ms. Singh's non-pecuniary damages. Having said that, I do accept that the injuries Ms. Singh sustained in the assault prevented her from helping out in the store and that had a negative impact on her enjoyment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Similarly, for the reasons expressed later, I am not persuaded that the assault prevented Ms. Singh from working downtown, where there are far more opportunities for career advancement. Nevertheless, I do accept that the injuries she sustained in the assault made her commute downtown less pleasant and that had a negative impact on her enjoyment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As mentioned, Ms. Singh seeks an award of $200,000 for non-pecuniary damages. I considered the following cases cited by her counsel: </w:t>
      </w:r>
      <w:r>
        <w:rPr>
          <w:rFonts w:ascii="arial" w:eastAsia="arial" w:hAnsi="arial" w:cs="arial"/>
          <w:i/>
          <w:color w:val="000000"/>
          <w:sz w:val="20"/>
          <w:lang w:val="en-US" w:eastAsia="en-US" w:bidi="ar-SA"/>
        </w:rPr>
        <w:t>Bhatti v. Ethier</w:t>
      </w:r>
      <w:r>
        <w:rPr>
          <w:rFonts w:ascii="arial" w:eastAsia="arial" w:hAnsi="arial" w:cs="arial"/>
          <w:color w:val="000000"/>
          <w:sz w:val="20"/>
          <w:lang w:val="en-US" w:eastAsia="en-US" w:bidi="ar-SA"/>
        </w:rPr>
        <w:t xml:space="preserve">, </w:t>
      </w:r>
      <w:hyperlink r:id="rId745" w:history="1">
        <w:r>
          <w:rPr>
            <w:rFonts w:ascii="arial" w:eastAsia="arial" w:hAnsi="arial" w:cs="arial"/>
            <w:i/>
            <w:color w:val="0077CC"/>
            <w:sz w:val="20"/>
            <w:u w:val="single"/>
            <w:shd w:val="clear" w:color="auto" w:fill="FFFFFF"/>
            <w:lang w:val="en-US" w:eastAsia="en-US" w:bidi="ar-SA"/>
          </w:rPr>
          <w:t>2018 BCSC 1779</w:t>
        </w:r>
      </w:hyperlink>
      <w:r>
        <w:rPr>
          <w:rFonts w:ascii="arial" w:eastAsia="arial" w:hAnsi="arial" w:cs="arial"/>
          <w:color w:val="000000"/>
          <w:sz w:val="20"/>
          <w:lang w:val="en-US" w:eastAsia="en-US" w:bidi="ar-SA"/>
        </w:rPr>
        <w:t xml:space="preserve"> ($200,000 assessed as non-pecuniary damages, but reduced by 10% for failure to mitigate); </w:t>
      </w:r>
      <w:r>
        <w:rPr>
          <w:rFonts w:ascii="arial" w:eastAsia="arial" w:hAnsi="arial" w:cs="arial"/>
          <w:i/>
          <w:color w:val="000000"/>
          <w:sz w:val="20"/>
          <w:lang w:val="en-US" w:eastAsia="en-US" w:bidi="ar-SA"/>
        </w:rPr>
        <w:t>Zawadzki v. Calimoso</w:t>
      </w:r>
      <w:r>
        <w:rPr>
          <w:rFonts w:ascii="arial" w:eastAsia="arial" w:hAnsi="arial" w:cs="arial"/>
          <w:color w:val="000000"/>
          <w:sz w:val="20"/>
          <w:lang w:val="en-US" w:eastAsia="en-US" w:bidi="ar-SA"/>
        </w:rPr>
        <w:t xml:space="preserve">, </w:t>
      </w:r>
      <w:hyperlink r:id="rId746" w:history="1">
        <w:r>
          <w:rPr>
            <w:rFonts w:ascii="arial" w:eastAsia="arial" w:hAnsi="arial" w:cs="arial"/>
            <w:i/>
            <w:color w:val="0077CC"/>
            <w:sz w:val="20"/>
            <w:u w:val="single"/>
            <w:shd w:val="clear" w:color="auto" w:fill="FFFFFF"/>
            <w:lang w:val="en-US" w:eastAsia="en-US" w:bidi="ar-SA"/>
          </w:rPr>
          <w:t>2011 BCSC 45</w:t>
        </w:r>
      </w:hyperlink>
      <w:r>
        <w:rPr>
          <w:rFonts w:ascii="arial" w:eastAsia="arial" w:hAnsi="arial" w:cs="arial"/>
          <w:color w:val="000000"/>
          <w:sz w:val="20"/>
          <w:lang w:val="en-US" w:eastAsia="en-US" w:bidi="ar-SA"/>
        </w:rPr>
        <w:t xml:space="preserve"> ($180,000 assessed as non-pecuniary damages, but reduced by 20% for failure to mitigate); </w:t>
      </w:r>
      <w:r>
        <w:rPr>
          <w:rFonts w:ascii="arial" w:eastAsia="arial" w:hAnsi="arial" w:cs="arial"/>
          <w:i/>
          <w:color w:val="000000"/>
          <w:sz w:val="20"/>
          <w:lang w:val="en-US" w:eastAsia="en-US" w:bidi="ar-SA"/>
        </w:rPr>
        <w:t>Kalstrom v. Yip</w:t>
      </w:r>
      <w:r>
        <w:rPr>
          <w:rFonts w:ascii="arial" w:eastAsia="arial" w:hAnsi="arial" w:cs="arial"/>
          <w:color w:val="000000"/>
          <w:sz w:val="20"/>
          <w:lang w:val="en-US" w:eastAsia="en-US" w:bidi="ar-SA"/>
        </w:rPr>
        <w:t xml:space="preserve">, </w:t>
      </w:r>
      <w:hyperlink r:id="rId697" w:history="1">
        <w:r>
          <w:rPr>
            <w:rFonts w:ascii="arial" w:eastAsia="arial" w:hAnsi="arial" w:cs="arial"/>
            <w:i/>
            <w:color w:val="0077CC"/>
            <w:sz w:val="20"/>
            <w:u w:val="single"/>
            <w:shd w:val="clear" w:color="auto" w:fill="FFFFFF"/>
            <w:lang w:val="en-US" w:eastAsia="en-US" w:bidi="ar-SA"/>
          </w:rPr>
          <w:t>2016 BCSC 829</w:t>
        </w:r>
      </w:hyperlink>
      <w:r>
        <w:rPr>
          <w:rFonts w:ascii="arial" w:eastAsia="arial" w:hAnsi="arial" w:cs="arial"/>
          <w:color w:val="000000"/>
          <w:sz w:val="20"/>
          <w:lang w:val="en-US" w:eastAsia="en-US" w:bidi="ar-SA"/>
        </w:rPr>
        <w:t xml:space="preserve"> ($180,000 awarded in non-pecuniary damages); and </w:t>
      </w:r>
      <w:r>
        <w:rPr>
          <w:rFonts w:ascii="arial" w:eastAsia="arial" w:hAnsi="arial" w:cs="arial"/>
          <w:i/>
          <w:color w:val="000000"/>
          <w:sz w:val="20"/>
          <w:lang w:val="en-US" w:eastAsia="en-US" w:bidi="ar-SA"/>
        </w:rPr>
        <w:t>Jafferi v. Hardcastle</w:t>
      </w:r>
      <w:r>
        <w:rPr>
          <w:rFonts w:ascii="arial" w:eastAsia="arial" w:hAnsi="arial" w:cs="arial"/>
          <w:color w:val="000000"/>
          <w:sz w:val="20"/>
          <w:lang w:val="en-US" w:eastAsia="en-US" w:bidi="ar-SA"/>
        </w:rPr>
        <w:t xml:space="preserve">, </w:t>
      </w:r>
      <w:hyperlink r:id="rId747" w:history="1">
        <w:r>
          <w:rPr>
            <w:rFonts w:ascii="arial" w:eastAsia="arial" w:hAnsi="arial" w:cs="arial"/>
            <w:i/>
            <w:color w:val="0077CC"/>
            <w:sz w:val="20"/>
            <w:u w:val="single"/>
            <w:shd w:val="clear" w:color="auto" w:fill="FFFFFF"/>
            <w:lang w:val="en-US" w:eastAsia="en-US" w:bidi="ar-SA"/>
          </w:rPr>
          <w:t>2018 BCSC 486</w:t>
        </w:r>
      </w:hyperlink>
      <w:r>
        <w:rPr>
          <w:rFonts w:ascii="arial" w:eastAsia="arial" w:hAnsi="arial" w:cs="arial"/>
          <w:color w:val="000000"/>
          <w:sz w:val="20"/>
          <w:lang w:val="en-US" w:eastAsia="en-US" w:bidi="ar-SA"/>
        </w:rPr>
        <w:t xml:space="preserve"> ($150,000 awarded in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The defence submits that the cases Ms. Singh's counsel relied on are not comparable and concern plaintiffs with more serious injuries. The defence argues that it would be appropriate to award Ms. Singh non-pecuniary damages on the low end of the range for cases with left elbow fractures. The defence relies on the following cases: </w:t>
      </w:r>
      <w:r>
        <w:rPr>
          <w:rFonts w:ascii="arial" w:eastAsia="arial" w:hAnsi="arial" w:cs="arial"/>
          <w:i/>
          <w:color w:val="000000"/>
          <w:sz w:val="20"/>
          <w:lang w:val="en-US" w:eastAsia="en-US" w:bidi="ar-SA"/>
        </w:rPr>
        <w:t>Rycroft v. Rego</w:t>
      </w:r>
      <w:r>
        <w:rPr>
          <w:rFonts w:ascii="arial" w:eastAsia="arial" w:hAnsi="arial" w:cs="arial"/>
          <w:color w:val="000000"/>
          <w:sz w:val="20"/>
          <w:lang w:val="en-US" w:eastAsia="en-US" w:bidi="ar-SA"/>
        </w:rPr>
        <w:t xml:space="preserve">, </w:t>
      </w:r>
      <w:hyperlink r:id="rId748" w:history="1">
        <w:r>
          <w:rPr>
            <w:rFonts w:ascii="arial" w:eastAsia="arial" w:hAnsi="arial" w:cs="arial"/>
            <w:i/>
            <w:color w:val="0077CC"/>
            <w:sz w:val="20"/>
            <w:u w:val="single"/>
            <w:shd w:val="clear" w:color="auto" w:fill="FFFFFF"/>
            <w:lang w:val="en-US" w:eastAsia="en-US" w:bidi="ar-SA"/>
          </w:rPr>
          <w:t>2017 BCSC 373</w:t>
        </w:r>
      </w:hyperlink>
      <w:r>
        <w:rPr>
          <w:rFonts w:ascii="arial" w:eastAsia="arial" w:hAnsi="arial" w:cs="arial"/>
          <w:color w:val="000000"/>
          <w:sz w:val="20"/>
          <w:lang w:val="en-US" w:eastAsia="en-US" w:bidi="ar-SA"/>
        </w:rPr>
        <w:t xml:space="preserve"> ($70,000 awarded in non-pecuniary damages); </w:t>
      </w:r>
      <w:r>
        <w:rPr>
          <w:rFonts w:ascii="arial" w:eastAsia="arial" w:hAnsi="arial" w:cs="arial"/>
          <w:i/>
          <w:color w:val="000000"/>
          <w:sz w:val="20"/>
          <w:lang w:val="en-US" w:eastAsia="en-US" w:bidi="ar-SA"/>
        </w:rPr>
        <w:t>Besic v. Kerenyi</w:t>
      </w:r>
      <w:r>
        <w:rPr>
          <w:rFonts w:ascii="arial" w:eastAsia="arial" w:hAnsi="arial" w:cs="arial"/>
          <w:color w:val="000000"/>
          <w:sz w:val="20"/>
          <w:lang w:val="en-US" w:eastAsia="en-US" w:bidi="ar-SA"/>
        </w:rPr>
        <w:t xml:space="preserve">, </w:t>
      </w:r>
      <w:hyperlink r:id="rId749" w:history="1">
        <w:r>
          <w:rPr>
            <w:rFonts w:ascii="arial" w:eastAsia="arial" w:hAnsi="arial" w:cs="arial"/>
            <w:i/>
            <w:color w:val="0077CC"/>
            <w:sz w:val="20"/>
            <w:u w:val="single"/>
            <w:shd w:val="clear" w:color="auto" w:fill="FFFFFF"/>
            <w:lang w:val="en-US" w:eastAsia="en-US" w:bidi="ar-SA"/>
          </w:rPr>
          <w:t>2011 BCSC 1277</w:t>
        </w:r>
      </w:hyperlink>
      <w:r>
        <w:rPr>
          <w:rFonts w:ascii="arial" w:eastAsia="arial" w:hAnsi="arial" w:cs="arial"/>
          <w:color w:val="000000"/>
          <w:sz w:val="20"/>
          <w:lang w:val="en-US" w:eastAsia="en-US" w:bidi="ar-SA"/>
        </w:rPr>
        <w:t xml:space="preserve"> ($70,000 assessed as non-pecuniary damages, but reduced by 10% for failure to mitigate); </w:t>
      </w:r>
      <w:r>
        <w:rPr>
          <w:rFonts w:ascii="arial" w:eastAsia="arial" w:hAnsi="arial" w:cs="arial"/>
          <w:i/>
          <w:color w:val="000000"/>
          <w:sz w:val="20"/>
          <w:lang w:val="en-US" w:eastAsia="en-US" w:bidi="ar-SA"/>
        </w:rPr>
        <w:t>Culver v. 624671 B.C. Ltd.</w:t>
      </w:r>
      <w:r>
        <w:rPr>
          <w:rFonts w:ascii="arial" w:eastAsia="arial" w:hAnsi="arial" w:cs="arial"/>
          <w:color w:val="000000"/>
          <w:sz w:val="20"/>
          <w:lang w:val="en-US" w:eastAsia="en-US" w:bidi="ar-SA"/>
        </w:rPr>
        <w:t xml:space="preserve">, </w:t>
      </w:r>
      <w:hyperlink r:id="rId750" w:history="1">
        <w:r>
          <w:rPr>
            <w:rFonts w:ascii="arial" w:eastAsia="arial" w:hAnsi="arial" w:cs="arial"/>
            <w:i/>
            <w:color w:val="0077CC"/>
            <w:sz w:val="20"/>
            <w:u w:val="single"/>
            <w:shd w:val="clear" w:color="auto" w:fill="FFFFFF"/>
            <w:lang w:val="en-US" w:eastAsia="en-US" w:bidi="ar-SA"/>
          </w:rPr>
          <w:t>2006 BCSC 1241</w:t>
        </w:r>
      </w:hyperlink>
      <w:r>
        <w:rPr>
          <w:rFonts w:ascii="arial" w:eastAsia="arial" w:hAnsi="arial" w:cs="arial"/>
          <w:color w:val="000000"/>
          <w:sz w:val="20"/>
          <w:lang w:val="en-US" w:eastAsia="en-US" w:bidi="ar-SA"/>
        </w:rPr>
        <w:t xml:space="preserve"> ($40,000 awarded in non-pecuniary damages); </w:t>
      </w:r>
      <w:r>
        <w:rPr>
          <w:rFonts w:ascii="arial" w:eastAsia="arial" w:hAnsi="arial" w:cs="arial"/>
          <w:i/>
          <w:color w:val="000000"/>
          <w:sz w:val="20"/>
          <w:lang w:val="en-US" w:eastAsia="en-US" w:bidi="ar-SA"/>
        </w:rPr>
        <w:t>Mathroo v. Edge-Partington</w:t>
      </w:r>
      <w:r>
        <w:rPr>
          <w:rFonts w:ascii="arial" w:eastAsia="arial" w:hAnsi="arial" w:cs="arial"/>
          <w:color w:val="000000"/>
          <w:sz w:val="20"/>
          <w:lang w:val="en-US" w:eastAsia="en-US" w:bidi="ar-SA"/>
        </w:rPr>
        <w:t xml:space="preserve">, </w:t>
      </w:r>
      <w:hyperlink r:id="rId751" w:history="1">
        <w:r>
          <w:rPr>
            <w:rFonts w:ascii="arial" w:eastAsia="arial" w:hAnsi="arial" w:cs="arial"/>
            <w:i/>
            <w:color w:val="0077CC"/>
            <w:sz w:val="20"/>
            <w:u w:val="single"/>
            <w:shd w:val="clear" w:color="auto" w:fill="FFFFFF"/>
            <w:lang w:val="en-US" w:eastAsia="en-US" w:bidi="ar-SA"/>
          </w:rPr>
          <w:t>2015 BCSC 122</w:t>
        </w:r>
      </w:hyperlink>
      <w:r>
        <w:rPr>
          <w:rFonts w:ascii="arial" w:eastAsia="arial" w:hAnsi="arial" w:cs="arial"/>
          <w:color w:val="000000"/>
          <w:sz w:val="20"/>
          <w:lang w:val="en-US" w:eastAsia="en-US" w:bidi="ar-SA"/>
        </w:rPr>
        <w:t xml:space="preserve"> ($60,000 awarded in non-pecuniary damages); and </w:t>
      </w:r>
      <w:r>
        <w:rPr>
          <w:rFonts w:ascii="arial" w:eastAsia="arial" w:hAnsi="arial" w:cs="arial"/>
          <w:i/>
          <w:color w:val="000000"/>
          <w:sz w:val="20"/>
          <w:lang w:val="en-US" w:eastAsia="en-US" w:bidi="ar-SA"/>
        </w:rPr>
        <w:t>Schipilow v. Minch</w:t>
      </w:r>
      <w:r>
        <w:rPr>
          <w:rFonts w:ascii="arial" w:eastAsia="arial" w:hAnsi="arial" w:cs="arial"/>
          <w:color w:val="000000"/>
          <w:sz w:val="20"/>
          <w:lang w:val="en-US" w:eastAsia="en-US" w:bidi="ar-SA"/>
        </w:rPr>
        <w:t xml:space="preserve">, </w:t>
      </w:r>
      <w:hyperlink r:id="rId752" w:history="1">
        <w:r>
          <w:rPr>
            <w:rFonts w:ascii="arial" w:eastAsia="arial" w:hAnsi="arial" w:cs="arial"/>
            <w:i/>
            <w:color w:val="0077CC"/>
            <w:sz w:val="20"/>
            <w:u w:val="single"/>
            <w:shd w:val="clear" w:color="auto" w:fill="FFFFFF"/>
            <w:lang w:val="en-US" w:eastAsia="en-US" w:bidi="ar-SA"/>
          </w:rPr>
          <w:t>2006 BCSC 1786</w:t>
        </w:r>
      </w:hyperlink>
      <w:r>
        <w:rPr>
          <w:rFonts w:ascii="arial" w:eastAsia="arial" w:hAnsi="arial" w:cs="arial"/>
          <w:color w:val="000000"/>
          <w:sz w:val="20"/>
          <w:lang w:val="en-US" w:eastAsia="en-US" w:bidi="ar-SA"/>
        </w:rPr>
        <w:t xml:space="preserve"> ($75,000 assessed as non-pecuniary damages, but reduced by 40% for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Some of the authorities to which I was referred were generally instructive. However, the assessment of non-pecuniary damages involves not simply a comparison of cases and injuries but also an appreciation of the impact of the injury on the particular plaintiff given his or her particular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Some of the cases relied on by Ms. Singh concern plaintiffs who suffered more profound life impacts because of their injuries. This is particularly so of the plaintiffs in </w:t>
      </w:r>
      <w:r>
        <w:rPr>
          <w:rFonts w:ascii="arial" w:eastAsia="arial" w:hAnsi="arial" w:cs="arial"/>
          <w:i/>
          <w:color w:val="000000"/>
          <w:sz w:val="20"/>
          <w:lang w:val="en-US" w:eastAsia="en-US" w:bidi="ar-SA"/>
        </w:rPr>
        <w:t>Bhatti</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Kalstrom</w:t>
      </w:r>
      <w:r>
        <w:rPr>
          <w:rFonts w:ascii="arial" w:eastAsia="arial" w:hAnsi="arial" w:cs="arial"/>
          <w:color w:val="000000"/>
          <w:sz w:val="20"/>
          <w:lang w:val="en-US" w:eastAsia="en-US" w:bidi="ar-SA"/>
        </w:rPr>
        <w:t>. Most of the cases relied on by the defence concerned plaintiffs who sustained injuries that were very different from those sustained by Ms. Singh, and whose lives were not as significantly impacted by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The two cases I found most helpful are </w:t>
      </w:r>
      <w:r>
        <w:rPr>
          <w:rFonts w:ascii="arial" w:eastAsia="arial" w:hAnsi="arial" w:cs="arial"/>
          <w:i/>
          <w:color w:val="000000"/>
          <w:sz w:val="20"/>
          <w:lang w:val="en-US" w:eastAsia="en-US" w:bidi="ar-SA"/>
        </w:rPr>
        <w:t>Zawadzki</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Mathroo</w:t>
      </w:r>
      <w:r>
        <w:rPr>
          <w:rFonts w:ascii="arial" w:eastAsia="arial" w:hAnsi="arial" w:cs="arial"/>
          <w:color w:val="000000"/>
          <w:sz w:val="20"/>
          <w:lang w:val="en-US" w:eastAsia="en-US" w:bidi="ar-SA"/>
        </w:rPr>
        <w:t>, which appear to represent the high and low water marks for an injury of this type.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Zawadzki</w:t>
      </w:r>
      <w:r>
        <w:rPr>
          <w:rFonts w:ascii="arial" w:eastAsia="arial" w:hAnsi="arial" w:cs="arial"/>
          <w:color w:val="000000"/>
          <w:sz w:val="20"/>
          <w:lang w:val="en-US" w:eastAsia="en-US" w:bidi="ar-SA"/>
        </w:rPr>
        <w:t>, the plaintiff suffered injuries that were similar to those sustained by Ms. Singh. In particular, he sustained a similar elbow injury. However, the impact of the injury on his life was significantly more severe. He underwent three elbow surgeries and suffered from significantly debilitating mood disorders and alcoholism, which were attributed to the accident. In addition, he lost the ability to work in his pre-accident occupation, which had been personally rewarding to him. As mentioned, his non-pecuniary damages were assessed at $180,000 before a 20% reduction for his 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Mathroo</w:t>
      </w:r>
      <w:r>
        <w:rPr>
          <w:rFonts w:ascii="arial" w:eastAsia="arial" w:hAnsi="arial" w:cs="arial"/>
          <w:color w:val="000000"/>
          <w:sz w:val="20"/>
          <w:lang w:val="en-US" w:eastAsia="en-US" w:bidi="ar-SA"/>
        </w:rPr>
        <w:t>, the plaintiff sustained an elbow injury similar to that sustained by Ms. Singh. While he continued to experience pain, the range of motion in his elbow was not as severely limited as is Ms. Singh's range of motion, it appears that he did not suffer from associated injuries similar to the shoulder injury sustained by Ms. Singh, and the impact on his pre-accident activities was minimal. As mentioned, he was awarded non-pecuniary damages of $60,000.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The most significant of the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xml:space="preserve"> factors in this case are the severity and duration of Ms. Singh's pain, the extent of her permanent disability, and the changes to her lifestyle. She suffered from severe pain for about one and one-half years. She has lived with chronic pain, of varying intensity, since then. Her condition is almost certainly permanent. The pain has not prevented her from working in her previous occupation as an administrative assistant. However, she has suffered a significant loss of function in her elbow, and the ongoing pain and loss of function have had a considerable impact on her social life and her relationship with her husband. In addition, the injuries Ms. Singh sustained in the assault prevented her from helping out in her husband's store, which she previously enjoyed. She faces the prospect of further surgery followed by a period of convalescence and rehabilitation.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Having considered all the authorities and the factors discussed in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I assess Ms. Singh's non-pecuniary damages at $120,000 before a reduction of 10% for her failure to mitigate. I award Ms. Singh non-pecuniary damages of $108,000.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Past Loss of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A claim for past loss of income earning capacity is based on the value of the work the injured plaintiff would have performed but was unable to perform because of the injury: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111"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at para.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A common method of assessing this value is to project the income the plaintiff would have earned in the period between the injury and the trial had the injury not occurred, taking into account all realistic contingencies, and to award the difference between the projected income and the actual income the plaintiff did earn or was capable of earning during that period. In doing so, it is necessary to weigh possibilities and probabilities of hypothetical events, which are given weight according to their relative likelihood: </w:t>
      </w:r>
      <w:r>
        <w:rPr>
          <w:rFonts w:ascii="arial" w:eastAsia="arial" w:hAnsi="arial" w:cs="arial"/>
          <w:i/>
          <w:color w:val="000000"/>
          <w:sz w:val="20"/>
          <w:lang w:val="en-US" w:eastAsia="en-US" w:bidi="ar-SA"/>
        </w:rPr>
        <w:t>Reilly v. Lynn</w:t>
      </w:r>
      <w:r>
        <w:rPr>
          <w:rFonts w:ascii="arial" w:eastAsia="arial" w:hAnsi="arial" w:cs="arial"/>
          <w:color w:val="000000"/>
          <w:sz w:val="20"/>
          <w:lang w:val="en-US" w:eastAsia="en-US" w:bidi="ar-SA"/>
        </w:rPr>
        <w:t xml:space="preserve">, </w:t>
      </w:r>
      <w:hyperlink r:id="rId121" w:history="1">
        <w:r>
          <w:rPr>
            <w:rFonts w:ascii="arial" w:eastAsia="arial" w:hAnsi="arial" w:cs="arial"/>
            <w:i/>
            <w:color w:val="0077CC"/>
            <w:sz w:val="20"/>
            <w:u w:val="single"/>
            <w:shd w:val="clear" w:color="auto" w:fill="FFFFFF"/>
            <w:lang w:val="en-US" w:eastAsia="en-US" w:bidi="ar-SA"/>
          </w:rPr>
          <w:t>2003 BCCA 49</w:t>
        </w:r>
      </w:hyperlink>
      <w:r>
        <w:rPr>
          <w:rFonts w:ascii="arial" w:eastAsia="arial" w:hAnsi="arial" w:cs="arial"/>
          <w:color w:val="000000"/>
          <w:sz w:val="20"/>
          <w:lang w:val="en-US" w:eastAsia="en-US" w:bidi="ar-SA"/>
        </w:rPr>
        <w:t xml:space="preserve"> at para. 101.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Projecting what a plaintiff would have earned in the past had she not been injured is a hypothetical exercise. While the standard of proof relating to actual past events is a balance of probabilities, a hypothetical possibility will be taken into consideration as long as it is a real and substantial possibility and not mere speculation: </w:t>
      </w:r>
      <w:r>
        <w:rPr>
          <w:rFonts w:ascii="arial" w:eastAsia="arial" w:hAnsi="arial" w:cs="arial"/>
          <w:i/>
          <w:color w:val="000000"/>
          <w:sz w:val="20"/>
          <w:lang w:val="en-US" w:eastAsia="en-US" w:bidi="ar-SA"/>
        </w:rPr>
        <w:t>Grewal v. Naumann</w:t>
      </w:r>
      <w:r>
        <w:rPr>
          <w:rFonts w:ascii="arial" w:eastAsia="arial" w:hAnsi="arial" w:cs="arial"/>
          <w:color w:val="000000"/>
          <w:sz w:val="20"/>
          <w:lang w:val="en-US" w:eastAsia="en-US" w:bidi="ar-SA"/>
        </w:rPr>
        <w:t xml:space="preserve">, </w:t>
      </w:r>
      <w:hyperlink r:id="rId115" w:history="1">
        <w:r>
          <w:rPr>
            <w:rFonts w:ascii="arial" w:eastAsia="arial" w:hAnsi="arial" w:cs="arial"/>
            <w:i/>
            <w:color w:val="0077CC"/>
            <w:sz w:val="20"/>
            <w:u w:val="single"/>
            <w:shd w:val="clear" w:color="auto" w:fill="FFFFFF"/>
            <w:lang w:val="en-US" w:eastAsia="en-US" w:bidi="ar-SA"/>
          </w:rPr>
          <w:t>2017 BCCA 158</w:t>
        </w:r>
      </w:hyperlink>
      <w:r>
        <w:rPr>
          <w:rFonts w:ascii="arial" w:eastAsia="arial" w:hAnsi="arial" w:cs="arial"/>
          <w:color w:val="000000"/>
          <w:sz w:val="20"/>
          <w:lang w:val="en-US" w:eastAsia="en-US" w:bidi="ar-SA"/>
        </w:rPr>
        <w:t xml:space="preserve"> at para. 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There is no dispute that Ms. Singh was off work from November 17, 2007 to September 14, 2009, because of the injuries she sustained in the assault. She returned to work gradually, commencing full-time hours on October 12, 2009. She received long-term disability benefits of $59,067.05 from Sun Life to compensate her for her lost income. Sun Life has a subrogated claim to that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There is a hierarchy of administrative positions in the DFO, which is reflected in an alpha-numeric classification system. Clerical positions are classified with the designation "CR", while administrative positions (generally speaking, these are senior to clerical positions) are classified with the designation "AS". Each of the CR and AS classifications has several levels, and each level has its own pay scale. The top CR classification (CR-05) is roughly the equivalent of the bottom AS classification (AS-01), and CR-05 and AS-01 positions have the same pay scale.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DFO employees are classified to reflect their permanent positions but are occasionally given the opportunity to "act" in a position with a higher classification (for example, to cover a superior's position during vacation or other leave). When acting in a position with a higher classification, the employee receives the higher pay associated with the higher classification.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Ms. Singh started working with the DFO in 1998, at an office on Annacis Island. A couple years later, she moved to a DFO office in downtown Vancouver, on West Hastings Street. She worked there until the assault in November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At the time of the assault, Ms. Singh's position was classified as AS-01, but she had been acting in an AS-02 position for about six years. She was earning about $52,000 per year. She testified that her aspiration was to progress to an AS-05 position by 2012. She said her co-worker, Christina Barausse, was working in an AS-02 position in 2007 and she eventually progressed to an AS-05 position. Ms. Singh suggested she would have had the same opportunities as Ms. Barausse, but for the injuries she sustained in the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By the time Ms. Singh returned to work, in September 2009, her AS-02 acting position had been filled by someone else. She was placed at the DFO's regional headquarters office on Burrard Street in downtown Vancouver. That office was referred to at the trial as "RHQ". She returned to a CR-05 position, at a pay rate equivalent to an AS-01 position. In other words, she returned at a pay rate below that applicable to the position she was "acting" in prior to the assault. Her new position was subsequently reclassified as AS-01 but this did not affect the rate of pay.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In late 2010 or early 2011, Ms. Singh requested and obtained a transfer from RHQ to the DFO's Annacis Island office. Her new position at the Annacis Island office was an AS-01 position. Ms. Singh continued to work in that position until August 2016, although during that period she had several opportunities to act in AS-02 positions. These were relatively short-term assignments, for as short as a week and as long as a few months. The first such assignment commenced on July 4, 2011 and lasted for two weeks. In addition, she spent one week, in July 2012, acting in an AS-05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In August 2016, Ms. Singh took an AS-04 role, in an acting capacity, at the RHQ office downtown. That assignment was renewed a couple of times. The last renewal covered the period from April 2017 to April 2018. However, in August 2017, Ms. Singh requested and obtained a transfer back to Annacis Island. She returned to her permanent AS-01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In December 2018, Ms. Singh secured an acting AS-02 position at Annacis Island. She was working in that position at the time of the trial, and she acknowledged that there was a significant prospect of her being confirmed, as permanent, in that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In summary, when Ms. Singh returned to work at the DFO in September 2009, she was placed in a position one level below her pre-assault position. She worked downtown for about a year, then at Annacis Island for about five and one-half years, then downtown for about a year, and then back at Annacis Island for the two years preceding the trial. While she acted in more senior roles for brief stints, she did not regain a long-term AS-02 position (i.e. a position at her pre-assault level) until December 2018, although she did secure an AS-04 position downtown, in August 2016, which she gave up, a year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defence submits that Ms. Singh has established a claim for past loss of income earning capacity in the amount of $62,152.30, comprised of the following components:</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of Sun Life's subrogated claim ($59,067.05); and</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difference in pay between an AS-01 position and an AS-02 position for the 21 months from September 2009, when Ms. Singh returned to work, to July 4, 2011, when the defence says she was promoted to an AS-02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 do not agree with the defence approach. With respect to the first component, the evidence does not establish that the disability benefits Ms. Singh received while she was off work fully replaced the income she lost during that period. With respect to the second component, as discussed, Ms. Singh was not "promoted" to an AS-02 position on July 4, 2011. Rather, she took an opportunity to act in an AS-02 role for a two-week period commencing July 4, 2011. She did not regain a long-term AS-02 position until December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Ms. Singh's approach to her loss of income earning capacity claim has three aspects. First, she has a straightforward claim in relation to the 22 months she did not work after the assault, during which she says she would have worked in an AS-02 position. Second, she says that, as a result of being off work for nearly two years, she lost her pre-assault AS-02 position and had to take the lower paying CR-05/AS-01 position when she returned. For the period from her return to work to the end of 2012, she seeks the difference between her actual earnings and the amount she would have earned had she worked consistently in an AS-02 position. Third, she says, but for the assault, she was on track for promotions and would have secured an AS-04 position by the end of 2012. For the period from the beginning of 2013 to trial, she seeks the difference between her actual earnings and the amount she would have earned in an AS-04 position. As mentioned, adopting this approach she quantifies her claim at $164,961 (gross).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Ms. Singh relied on an analysis of her lost income earning capacity prepared by Mr. Robert Carson, who is an economist. Mr. Carson performed calculations pertaining to Ms. Singh's claims for past and future loss of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In relation to Ms. Singh's claim for past loss of income earning capacity, Mr. Carson analyzed Ms. Singh's income tax records to isolate the pay she received from the DFO from the time of the assault to the trial (after accounting for periods of unpaid leave she took in 2015 and 2016 that were unrelated to the assault). From published pay rates applicable to the DFO's AS-02, AS-04 and AS-05 positions, Mr. Carson also projected the income Ms. Singh would have earned each year during that period under three scenarios: first, assuming she worked in an AS-02 position to the trial; second, assuming she worked in an AS-02 position to November 2010 and then in an AS-04 position to the trial; and third, assuming she worked in an AS-02 position to November 2010, then in an AS-04 position to the end of 2016, and then in an AS-05 position to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Mr. Carson's tabulations and projections can also be used to quantify Ms. Singh's view of her past loss of income earning capacity claim; that is, the difference between her actual earnings and what she would have earned had she remained in an AS-02 position to the end of 2012 and then worked in an AS-04 position to the trial. The outcome of that approach is as follows:</w:t>
      </w:r>
      <w:r>
        <w:rPr>
          <w:rFonts w:ascii="arial" w:eastAsia="arial" w:hAnsi="arial" w:cs="arial"/>
          <w:sz w:val="20"/>
          <w:lang w:val="en-US" w:eastAsia="en-US" w:bidi="ar-SA"/>
        </w:rPr>
        <w:cr/>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Projected AS-02 earnings less actual earnings from the DFO during the period from the assault to December 31, 2012 = $100,884</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Projected AS-04 earnings less actual earnings from the DFO during the period from January 1, 2013 to trial = $79,592.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sum of the two is $180,476. It was not made clear to me why Ms. Singh quantified her past loss of earning capacity claim at $164,961; that is, in an amount less than that based on Mr. Carson's projections.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Although my quantification of Ms. Singh's past loss of earning capacity claim approaches the amount she sought under this head of damages, I do not agree with the analysis urged upon me by her counsel. As explained below, to adopt that approach, I would have to accept that, but for the assault, Ms. Singh would have continued to work downtown. I do not accept that proposition. Rather, in my view, Ms. Singh would have relocated to Annacis Island in any event. I accept that but for the injuries Ms. Singh sustained in the assault, she would likely have continued to work in an AS-02 position, but I am not persuaded that, after she returned to work in September 2009, her injuries prevented her from accepting opportunities to work in more senior positions as they became available. She tendered no evidence of any particular promotion that she would have had a reasonable prospect of securing but for the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As I have already discussed, when Ms. Singh returned to work in September 2009, her pre-assault AS-02 position had been filled by someone else and she had to take what was, effectively, an AS-01 position. After she returned to work, she was offered opportunities to act in more senior roles from time to time; she took those opportunities, and she succeeded. Almost without exception, her performance reviews have been very good, including during the year between August 2016 and August 2017 when she worked in an AS-04 role. Ms. Barausse, who was Ms. Singh's co-worker and, for a time, her supervisor, testified that Ms. Singh was a very competent employee and that, with one temporary exception, her performance reviews were all very good.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evidence, especially that of Mr. Shew, establishes that Ms. Singh has some functional limitations due to her elbow injury, particularly in relation to tasks that require her to reach forward with her left arm when typing and completing paperwork. As a result, she requires accommodations such as frequent breaks and ergonomically appropriate equipment. However, Ms. Singh admitted that the DFO is an accommodating employer and she has been accommodated at work. Mr. Shew concluded that, notwithstanding her functional limitations, Ms. Singh is likely able to continue in her work. Again, there is no evidence that Ms. Singh was denied any promotion due to any functional limitation.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Accordingly, I have no difficulty concluding that, since September 2009, the injuries Ms. Singh sustained in the assault have not prevented or hindered her from fulfilling her duties at the DFO in all positions she has sought out, including the AS-04 position she filled for nearly a year between August 2016 and August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It is clear that the advancement opportunities available to Ms. Singh are largely limited to positions located at the DFO's downtown offices. The DFO office at Annacis Island is one of five or six regional DFO offices. According to Ms. Singh, there are about 500 employees at RHQ and only about 35 to 40 employees at the Annacis Island office, with far more opportunities for promotions at RHQ. For example, she estimated that there are about 20 AS-05 positions at RHQ.</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According to Ms. Barausse, prior to July 2016, there was one AS-05 position at each of the DFO's regional offices. She said there are no AS-04 positions in the regional offices. Between 2014 and July 2016, Ms. Barausse filled the AS-05 position at Annacis Island, which covered the Lower Fraser Region. In July 2016, a reorganization resulted in a reduction in the AS-05 positions in the regional offices to three: one in Kamloops, one in Prince Rupert, and one on Vancouver Island. The AS-05 position at Annacis Island was combined with the AS-05 position in Kamloops, and the person who previously filled the position in Kamloops secured the new position. In the result, Ms. Barausse was demoted, and she subsequently resigned from the DFO.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Given the dearth of advancement opportunities at the DFO's Annacis Island office, the crux of this aspect of Ms. Singh's claim is her assertion that her injuries prevent her from working downtown where such opportunities exist.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As noted, Ms. Singh worked downtown for years prior to the assault and for more than a year after the assault. In late 2010 or early 2011, she requested a transfer from RHQ to the Annacis Island office. She testified that she found the lengthy Skytrain commute from her home in Surrey to RHQ downtown too difficult. She said she was exhausted by her chronic pain and the commute added one and one-half hours to her workday, which she found intolerable. In addition, she said the jostling and vibrations of the Skytrain exacerbated her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In August 2016, Ms. Singh resumed working downtown in order to take the acting AS-04 position. That position was available to her until at least April 30, 2018, but she voluntarily gave it up in August 2017 and returned to her permanent position at Annacis Island. She acknowledged that her performance reviews were very good but she claimed to have been too exhausted by her chronic pain to tolerate the increase in the length of her workday associated with the longer commute and the exacerbation of her pain caused by the jostling on the Skytrain.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 am not persuaded that the injuries Ms. Singh sustained in the assault prevent her from working downtown. In my view, this was another example of Ms. Singh's tendency to exaggerate the impact of the injuries on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It is undisputed that even after the assault, Ms. Singh performed well at work during the relatively long periods during which she was posted downtown. No medical witness expressed the view that Ms. Singh's commute downtown was harmful or exacerbated her condition. Although the longer commute may have made working downtown more difficult, the evidence falls far short of establishing that it effectively prevented her from doing so. Ms. Singh acknowledged that the difficulties associated with the commute could have been mitigated by driving instead of relying on public transit but she claimed that driving downtown was not an option because, after a full day of work, she is exhausted and unable to focus sufficiently to drive safely. However, she drives to work at Annacis Island and she did not claim to have any difficulty driving home after working a full day there. In my view, it is far more likely that Ms. Singh simply prefers the shorter commute to Annacis Island over the longer commute downtown. That may be a reasonable preference, but any resulting limitation on her opportunity to advance in her career cannot be laid at the feet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assessment of Ms. Singh's claim for past loss of income earning capacity must start with a projection of the income she would have earned in the period between the assault and the trial had the assault not occurred. That projection must take into account all real and substantial possibilities and contingencies, in accordance with their relative likelihood. In my view, there is a substantial likelihood that, had the assault not occurred, Ms. Singh would have continued to work in her pre-assault, AS-02 position, she would have taken the opportunities to act in more senior roles, and at some point she would have requested a transfer to Annacis Island, where the opportunities to advance were far more limited. Her career trajectory would have essentially been the same, except that she would have worked consistently in an AS-02 position or higher until about August 2017, by which time she would have chosen a transfer to Annacis Island due to personal preference. In other words, from August 2016, when she took the AS-04 position, her without injury income likely would have been the same as her with injury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 recognize that Ms. Singh's pre-assault AS-02 position was not a permanent one and there is a real and substantial possibility that, even in the absence of the assault, she might have been demoted to an AS-01. However, given she had been working on the AS-02 position for several years prior to the assault, the likelihood of that is small and more than offset by the much more likely possibility that she would have had opportunities to serve in AS-04 and AS-05 positions in the period between the assault and her return to work in September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Accordingly, in projecting the income Ms. Singh would have earned in the period between the assault and the trial had the assault not occurred, I start with Mr. Carson's calculations of what she would have earned at an AS-02 salary from the assault to the end of July 2016, when she took the AS-04 position. This is $476,882 (from column 3 of table 2 of Mr. Carson's report, with the amount for 2016 prorated for the seven months to July 31). I would gross that up by 5%, to $500,726, to account for the real and substantial possibility that during the time Ms. Singh was off work after the assault she would have had some opportunities to act, temporarily, in positions senior to AS-02. To that amount, I would add the income Ms. Singh did earn in the period from the beginning of August 2016, when she assumed the AS-04 position, to the trial. According to Mr. Carson's calculations that is $168,642 (from column 2 of table 2 of his report, with the amount for 2016 prorated for the five months from August 1). This approach results in a projected without injury pre-trial income, after accounting for all realistic contingencies, of $669,368.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next step is to deduct Ms. Singh's actual income from her employment over the same period. According to Mr. Carson's calculations, that is $539,196 (from column 2 of table 2 of his report). The difference between the projected income and the actual income is $130,172.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On the foregoing basis, I assess Ms. Singh damages for past loss of income earning capacity in the amount of $130,172.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Future Loss of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To establish a claim for future loss of income earning capacity, a plaintiff must first prove a real and substantial possibility of a future event leading to a loss of income, as opposed to a speculative loss: </w:t>
      </w:r>
      <w:r>
        <w:rPr>
          <w:rFonts w:ascii="arial" w:eastAsia="arial" w:hAnsi="arial" w:cs="arial"/>
          <w:i/>
          <w:color w:val="000000"/>
          <w:sz w:val="20"/>
          <w:lang w:val="en-US" w:eastAsia="en-US" w:bidi="ar-SA"/>
        </w:rPr>
        <w:t>Tisalona v. Easton</w:t>
      </w:r>
      <w:r>
        <w:rPr>
          <w:rFonts w:ascii="arial" w:eastAsia="arial" w:hAnsi="arial" w:cs="arial"/>
          <w:color w:val="000000"/>
          <w:sz w:val="20"/>
          <w:lang w:val="en-US" w:eastAsia="en-US" w:bidi="ar-SA"/>
        </w:rPr>
        <w:t xml:space="preserve">, </w:t>
      </w:r>
      <w:hyperlink r:id="rId694" w:history="1">
        <w:r>
          <w:rPr>
            <w:rFonts w:ascii="arial" w:eastAsia="arial" w:hAnsi="arial" w:cs="arial"/>
            <w:i/>
            <w:color w:val="0077CC"/>
            <w:sz w:val="20"/>
            <w:u w:val="single"/>
            <w:shd w:val="clear" w:color="auto" w:fill="FFFFFF"/>
            <w:lang w:val="en-US" w:eastAsia="en-US" w:bidi="ar-SA"/>
          </w:rPr>
          <w:t>2017 BCCA 272</w:t>
        </w:r>
      </w:hyperlink>
      <w:r>
        <w:rPr>
          <w:rFonts w:ascii="arial" w:eastAsia="arial" w:hAnsi="arial" w:cs="arial"/>
          <w:color w:val="000000"/>
          <w:sz w:val="20"/>
          <w:lang w:val="en-US" w:eastAsia="en-US" w:bidi="ar-SA"/>
        </w:rPr>
        <w:t xml:space="preserve"> at para. 47;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116"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 As stated in </w:t>
      </w:r>
      <w:r>
        <w:rPr>
          <w:rFonts w:ascii="arial" w:eastAsia="arial" w:hAnsi="arial" w:cs="arial"/>
          <w:i/>
          <w:color w:val="000000"/>
          <w:sz w:val="20"/>
          <w:lang w:val="en-US" w:eastAsia="en-US" w:bidi="ar-SA"/>
        </w:rPr>
        <w:t>Tisalona</w:t>
      </w:r>
      <w:r>
        <w:rPr>
          <w:rFonts w:ascii="arial" w:eastAsia="arial" w:hAnsi="arial" w:cs="arial"/>
          <w:color w:val="000000"/>
          <w:sz w:val="20"/>
          <w:lang w:val="en-US" w:eastAsia="en-US" w:bidi="ar-SA"/>
        </w:rPr>
        <w:t xml:space="preserve"> at para. 51, "[t]his is the threshold finding necessary to establish </w:t>
      </w:r>
      <w:r>
        <w:rPr>
          <w:rFonts w:ascii="arial" w:eastAsia="arial" w:hAnsi="arial" w:cs="arial"/>
          <w:i/>
          <w:color w:val="000000"/>
          <w:sz w:val="20"/>
          <w:lang w:val="en-US" w:eastAsia="en-US" w:bidi="ar-SA"/>
        </w:rPr>
        <w:t>entitlement</w:t>
      </w:r>
      <w:r>
        <w:rPr>
          <w:rFonts w:ascii="arial" w:eastAsia="arial" w:hAnsi="arial" w:cs="arial"/>
          <w:color w:val="000000"/>
          <w:sz w:val="20"/>
          <w:lang w:val="en-US" w:eastAsia="en-US" w:bidi="ar-SA"/>
        </w:rPr>
        <w:t xml:space="preserve"> to damages for loss of earnings capacity -- a real and substantial possibility that future employment will be foreclosed to the plaintiff by reason of the injuries". If the plaintiff discharges that burden, then the loss must be assessed, taking into account all realistic positive and negative contingencies.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There is more than one way to assess a loss of future income earning capacity: see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paras. 11-12. The "earnings approach", which is generally appropriate where the court can more easily measure the loss mathematically, typically involves a determination of the plaintiff's estimated annual income loss, multiplied by the remaining years of work, and then discounted to reflect current value. The "capital asset approach", which is typically used when the loss is not as easily measurable, involves the consideration of a number of factors such as whether the plaintiff has been rendered less capable overall of earning income from all types of employment, is less marketable or attractive as a potential employee, has lost the ability to take advantage of all job opportunities that might otherwise have been open, and is less valuable to herself as a person capable of earning income in a competitive labour market: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36"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Irrespective of the approach used, the Court is required to quantify a pecuniary loss, and the quantification must be grounded in the evidence and the particular facts of the case. There must be a "reasoned analysis to explain and justify the award": </w:t>
      </w:r>
      <w:r>
        <w:rPr>
          <w:rFonts w:ascii="arial" w:eastAsia="arial" w:hAnsi="arial" w:cs="arial"/>
          <w:i/>
          <w:color w:val="000000"/>
          <w:sz w:val="20"/>
          <w:lang w:val="en-US" w:eastAsia="en-US" w:bidi="ar-SA"/>
        </w:rPr>
        <w:t>Schenker v. Scott</w:t>
      </w:r>
      <w:r>
        <w:rPr>
          <w:rFonts w:ascii="arial" w:eastAsia="arial" w:hAnsi="arial" w:cs="arial"/>
          <w:color w:val="000000"/>
          <w:sz w:val="20"/>
          <w:lang w:val="en-US" w:eastAsia="en-US" w:bidi="ar-SA"/>
        </w:rPr>
        <w:t xml:space="preserve">, </w:t>
      </w:r>
      <w:hyperlink r:id="rId753" w:history="1">
        <w:r>
          <w:rPr>
            <w:rFonts w:ascii="arial" w:eastAsia="arial" w:hAnsi="arial" w:cs="arial"/>
            <w:i/>
            <w:color w:val="0077CC"/>
            <w:sz w:val="20"/>
            <w:u w:val="single"/>
            <w:shd w:val="clear" w:color="auto" w:fill="FFFFFF"/>
            <w:lang w:val="en-US" w:eastAsia="en-US" w:bidi="ar-SA"/>
          </w:rPr>
          <w:t>2014 BCCA 203</w:t>
        </w:r>
      </w:hyperlink>
      <w:r>
        <w:rPr>
          <w:rFonts w:ascii="arial" w:eastAsia="arial" w:hAnsi="arial" w:cs="arial"/>
          <w:color w:val="000000"/>
          <w:sz w:val="20"/>
          <w:lang w:val="en-US" w:eastAsia="en-US" w:bidi="ar-SA"/>
        </w:rPr>
        <w:t xml:space="preserve"> at para. 56. The loss need not be calculated with mathematical precision but mathematical, statistical, and/or economic evidence will inform the assessment. This reflects the fact that an award for loss of earning capacity, irrespective of the quantification approach adopted, is "not simply at large": </w:t>
      </w:r>
      <w:r>
        <w:rPr>
          <w:rFonts w:ascii="arial" w:eastAsia="arial" w:hAnsi="arial" w:cs="arial"/>
          <w:i/>
          <w:color w:val="000000"/>
          <w:sz w:val="20"/>
          <w:lang w:val="en-US" w:eastAsia="en-US" w:bidi="ar-SA"/>
        </w:rPr>
        <w:t>Dunbar v. Mendez</w:t>
      </w:r>
      <w:r>
        <w:rPr>
          <w:rFonts w:ascii="arial" w:eastAsia="arial" w:hAnsi="arial" w:cs="arial"/>
          <w:color w:val="000000"/>
          <w:sz w:val="20"/>
          <w:lang w:val="en-US" w:eastAsia="en-US" w:bidi="ar-SA"/>
        </w:rPr>
        <w:t xml:space="preserve">, </w:t>
      </w:r>
      <w:hyperlink r:id="rId706" w:history="1">
        <w:r>
          <w:rPr>
            <w:rFonts w:ascii="arial" w:eastAsia="arial" w:hAnsi="arial" w:cs="arial"/>
            <w:i/>
            <w:color w:val="0077CC"/>
            <w:sz w:val="20"/>
            <w:u w:val="single"/>
            <w:shd w:val="clear" w:color="auto" w:fill="FFFFFF"/>
            <w:lang w:val="en-US" w:eastAsia="en-US" w:bidi="ar-SA"/>
          </w:rPr>
          <w:t>2016 BCCA 211</w:t>
        </w:r>
      </w:hyperlink>
      <w:r>
        <w:rPr>
          <w:rFonts w:ascii="arial" w:eastAsia="arial" w:hAnsi="arial" w:cs="arial"/>
          <w:color w:val="000000"/>
          <w:sz w:val="20"/>
          <w:lang w:val="en-US" w:eastAsia="en-US" w:bidi="ar-SA"/>
        </w:rPr>
        <w:t xml:space="preserve"> at para.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As already noted, the standard of proof relating to hypothetical events, which, of course, includes future events, is simple probability. Such events are to be given weight according to their relative likelihood.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Ms. Singh testified that she currently plans to work at the DFO until August 1, 2033, which is when she is entitled to her maximum pension (having attained 35 years of service). She will be 59 years old at that time. She will receive a bridge benefit between ages 60 and 65, and thereafter a smaller pension. The quantum of her pension benefits will be based on her earnings in her top five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Ms. Singh submits that but for her assault-related injuries, she likely would have continued to work in the AS-04 position at RHQ and from there she would likely have graduated to an acting AS-05 position by 2019. According to Mr. Carson's calculations, the present value of the difference between what Ms. Singh will make assuming she remains in an AS-02 position to retirement and what she would have made had she secured an AS-05 position by 2019 is $312,184. In addition, Ms. Singh submits that, but for her assault-related injuries, her pension benefits would likely have been based on five years of earnings at an AS-05 level and now they will likely be based on five years of earnings at an AS-02 level. According to Mr. Carson's calculations, the present value of the difference between Ms. Singh's future pension benefits if she retires as an AS-05 and her future pension benefits if she retires as an AS-02 is $212,500. Ms. Singh seeks $175,000 to compensate her for this possibility. Finally, she submits that, but for the assault, she likely would have engaged in gainful employment after retirement and she seeks an additional $30,000 a year for two years to compensate her for this loss. On this basis, she claims a total of $547,184 for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defence submits Ms. Singh has not established any claim for damages for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 do not agree with either Ms. Singh's position or the position advanced by the defence. Ms. Singh's position is based on the loss of opportunity to advance at the DFO. For the reasons I have already expressed, I am not persuaded that any real and substantial possibility of a promotion was lost because of Ms. Singh's assault-related injuries. Nevertheless, Ms. Singh has met the threshold of establishing a real and substantial possibility of a future event leading to a loss of income. Specifically, the evidence of Dr. Shuckett and Dr. Lui establishes a real and substantial possibility that Ms. Singh will develop osteoarthritis in her elbow, which will increase her pain and decrease her function, and a real and substantial possibility that Ms. Singh will have to undergo a full elbow replacement, which will result in a period of convalescence. As a result, there is a real and substantial possibility that Ms. Singh will have to be absent from work due to increased pain and/or following a future surgery, and a real and substantial possibility that she will have to retire earlier than currently planned due to increased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Having found that there is a real and substantial possibility of a future event leading to an income loss, it is necessary to quantify that loss. In </w:t>
      </w:r>
      <w:r>
        <w:rPr>
          <w:rFonts w:ascii="arial" w:eastAsia="arial" w:hAnsi="arial" w:cs="arial"/>
          <w:i/>
          <w:color w:val="000000"/>
          <w:sz w:val="20"/>
          <w:lang w:val="en-US" w:eastAsia="en-US" w:bidi="ar-SA"/>
        </w:rPr>
        <w:t>Dunbar</w:t>
      </w:r>
      <w:r>
        <w:rPr>
          <w:rFonts w:ascii="arial" w:eastAsia="arial" w:hAnsi="arial" w:cs="arial"/>
          <w:color w:val="000000"/>
          <w:sz w:val="20"/>
          <w:lang w:val="en-US" w:eastAsia="en-US" w:bidi="ar-SA"/>
        </w:rPr>
        <w:t>, at para. 21, the Court of Appeal described this task in these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assessment of future loss requires a court to estimate a pecuniary loss by weighing (even if not assigning specific numeric values to) possibilities and probabilities of future events and relating evidence and findings of fact to the quantification of the loss: Schenker at paras. 53, 69; Ostrikoff v. Oliveira, </w:t>
      </w:r>
      <w:hyperlink r:id="rId754" w:history="1">
        <w:r>
          <w:rPr>
            <w:rFonts w:ascii="arial" w:eastAsia="arial" w:hAnsi="arial" w:cs="arial"/>
            <w:i/>
            <w:color w:val="0077CC"/>
            <w:sz w:val="20"/>
            <w:u w:val="single"/>
            <w:shd w:val="clear" w:color="auto" w:fill="FFFFFF"/>
            <w:lang w:val="en-US" w:eastAsia="en-US" w:bidi="ar-SA"/>
          </w:rPr>
          <w:t>2015 BCCA 351</w:t>
        </w:r>
      </w:hyperlink>
      <w:r>
        <w:rPr>
          <w:rFonts w:ascii="arial" w:eastAsia="arial" w:hAnsi="arial" w:cs="arial"/>
          <w:color w:val="000000"/>
          <w:sz w:val="20"/>
          <w:lang w:val="en-US" w:eastAsia="en-US" w:bidi="ar-SA"/>
        </w:rPr>
        <w:t xml:space="preserve"> at para. 29; Tsalamandris v. McLeod, </w:t>
      </w:r>
      <w:hyperlink r:id="rId130" w:history="1">
        <w:r>
          <w:rPr>
            <w:rFonts w:ascii="arial" w:eastAsia="arial" w:hAnsi="arial" w:cs="arial"/>
            <w:i/>
            <w:color w:val="0077CC"/>
            <w:sz w:val="20"/>
            <w:u w:val="single"/>
            <w:shd w:val="clear" w:color="auto" w:fill="FFFFFF"/>
            <w:lang w:val="en-US" w:eastAsia="en-US" w:bidi="ar-SA"/>
          </w:rPr>
          <w:t>2012 BCCA 239</w:t>
        </w:r>
      </w:hyperlink>
      <w:r>
        <w:rPr>
          <w:rFonts w:ascii="arial" w:eastAsia="arial" w:hAnsi="arial" w:cs="arial"/>
          <w:color w:val="000000"/>
          <w:sz w:val="20"/>
          <w:lang w:val="en-US" w:eastAsia="en-US" w:bidi="ar-SA"/>
        </w:rPr>
        <w:t xml:space="preserve"> at paras. 53 55. The usefulness of economic and statistical evidence does not turn an assessment into a calculation. It does, however provide a useful tool to assist in determining what is fair and reasonable in the circumstances: Parypa v. Wickware, </w:t>
      </w:r>
      <w:hyperlink r:id="rId33" w:history="1">
        <w:r>
          <w:rPr>
            <w:rFonts w:ascii="arial" w:eastAsia="arial" w:hAnsi="arial" w:cs="arial"/>
            <w:i/>
            <w:color w:val="0077CC"/>
            <w:sz w:val="20"/>
            <w:u w:val="single"/>
            <w:shd w:val="clear" w:color="auto" w:fill="FFFFFF"/>
            <w:lang w:val="en-US" w:eastAsia="en-US" w:bidi="ar-SA"/>
          </w:rPr>
          <w:t>1999 BCCA 88</w:t>
        </w:r>
      </w:hyperlink>
      <w:r>
        <w:rPr>
          <w:rFonts w:ascii="arial" w:eastAsia="arial" w:hAnsi="arial" w:cs="arial"/>
          <w:color w:val="000000"/>
          <w:sz w:val="20"/>
          <w:lang w:val="en-US" w:eastAsia="en-US" w:bidi="ar-SA"/>
        </w:rPr>
        <w:t xml:space="preserve"> at para. 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task of weighing hypothetical possibilities is always difficult. It is particularly challenging here because I was not provided with very specific evidence concerning the likely implications of osteoarthritis (such as the extent to which Ms. Singh's pain would likely increase and her function likely decrease) or the specific likelihood of a future surgery and the duration of the resulting period of convalescence. There is substantial uncertainty about when and how severely her earning capacity would be reduced as a result of these real possibilities.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Nevertheless, the evidence is sufficient, even if not as complete as it might have been, for me to find that Ms. Singh faces a real chance of her pain increasing, her function decreasing, and a future elbow replacement surgery. Since retuning to work in September 2009, Ms. Singh has not missed work due to her assault-related injuries, but given her high risk of developing osteoarthritis, there is a real risk that she will miss periods of work in future and a real risk she will retire early. There is also a real albeit unquantified risk of future surgery that will require a period of convalescence.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In my view, if Ms. Singh develops osteoarthritis, it is reasonable to project that she will retire one year earlier than she otherwise would. She is 46 years old and will be 59 years old at her normal retirement date. In other words, she has 13 years left to work, assuming she makes it to her normal retirement date. She has worked steadily for about ten years since the initial 22-month period of convalescence following the assault. This bodes well for the future, and suggests that one-year's early retirement accurately estimates the probabilities, after accounting for any offsetting contingencies. According to Mr. Carson, if Ms. Singh retires one year early, on August 1, 2032, the present value of the associated loss of future earnings at the AS-02 pay rate is about $48,000.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If Ms. Singh develops osteoarthritis, it is reasonable to project a loss of two weeks work per year due to periods of increased pain. The risk of osteoarthritis is high, but its effects are likely to worsen over time. Accordingly, two weeks per year might overstate her loss in the near term but that is offset by the prospect of two weeks understating her loss in the far term. Given Ms. Singh's preference for working at the DFO's Annacis Island office, and given the absence of opportunities for promotion at that location, she is likely to continue to work there in an AS-02 position. The most current AS-02 pay rate translates into a salary of $61,887 per year (Mr. Carson's report, section 3.2). A loss of two weeks of work per year equates to an annual loss of $2,380. According to Mr. Carson, the present value (adjusted for survival) of an annual income loss of $2,380 per year to retirement on August 1, 2032 (i.e., one year early) is about $28,000.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Lastly, the risk of future surgery is real but unquantified. Ms. Singh was off work for 22 months following the initial surgery. In the absence of any other relevant evidence, this is the best predictor of the duration of a future period of convalescence if she does undergo another surgery. A loss of 22 months of work, at the most current AS-02 pay rate of $61,887 per year, equates to a one-time loss of about $113,500. The present value multipliers in column 7 of table 4 in Mr. Carson's report can be used to calculate the present value of future sums in single years. However, it is not all certain when Ms. Singh would have any future surgery, and the period of convalescence would span more than one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 present value multipliers in column 7 range from a low of $801 for a $1,000 loss in 2032 (the year of Ms. Singh's likely retirement) to a high of $984 for a $1,000 loss in the current year, 2020. The average of the two is $892.50. In my view, this is a reasonable multiplier to use given the state of the record. Using that multiplier, a future loss of $113,500 has a present value of about $101,300. However, I have not yet accounted for the real possibility that future surgery will not be indicated or, even if indicated, Ms. Singh will not proceed with it. According to Dr. Shuckett, the risks associated with a full elbow replacement are significant, including even a risk of losing the arm. In my view, Ms. Singh's symptoms would have to worsen very significantly to render a full elbow replacement reasonable. In the circumstances, I assess the likelihood of future surgery at 20%. With a 20% probability of the loss occurring, I quantify this aspect of Ms. Singh's claim at $20,260 (20% of $101,300).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For the foregoing reasons I award Ms. Singh damages of $96,260 for her future loss of earning capacity. That amount comprises $48,000 as the present value of the loss from early retirement; $28,000 as the present value of the loss from periods off work due to increased pain associated with the onset of osteoarthritis; and $20,260 as the present value of the loss from a period off work following a future surgery.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Ms. Singh seeks $10,000 for loss of housekeeping capacity as a segregated pecuniary award. The defence position is that $5,000 is an appropriate award under this head of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Ms. Singh testified that her homemaking capacity has been affected by the assault-related injuries. Before the assault, she performed most of the housekeeping tasks for her family. In the first few months after the assault, Mr. Sharma did almost everything, including cooking, cleaning and shopping. Overtime, Ms. Singh has resumed responsibility for some homemaking tasks but everything takes her longer to complete and she leaves the heavier items for her husband, who now performs between 60% and 70% of the housework. She testified she can do the laundry but she needs help changing bedsheets. She said she can do light vacuuming with an upright vacuum, but her husband does the heavier vacuuming. She can no longer wash pots and pans. She does light dishwashing but leaves the heavy items for her husband. Her husband does the major cleaning of the bathrooms.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I have discretion whether to address a claim for lost housekeeping capacity as part of the non-pecuniary loss or as a segregated pecuniary head of damage: </w:t>
      </w:r>
      <w:r>
        <w:rPr>
          <w:rFonts w:ascii="arial" w:eastAsia="arial" w:hAnsi="arial" w:cs="arial"/>
          <w:i/>
          <w:color w:val="000000"/>
          <w:sz w:val="20"/>
          <w:lang w:val="en-US" w:eastAsia="en-US" w:bidi="ar-SA"/>
        </w:rPr>
        <w:t>Kim v. Lin</w:t>
      </w:r>
      <w:r>
        <w:rPr>
          <w:rFonts w:ascii="arial" w:eastAsia="arial" w:hAnsi="arial" w:cs="arial"/>
          <w:color w:val="000000"/>
          <w:sz w:val="20"/>
          <w:lang w:val="en-US" w:eastAsia="en-US" w:bidi="ar-SA"/>
        </w:rPr>
        <w:t xml:space="preserve">, </w:t>
      </w:r>
      <w:hyperlink r:id="rId136" w:history="1">
        <w:r>
          <w:rPr>
            <w:rFonts w:ascii="arial" w:eastAsia="arial" w:hAnsi="arial" w:cs="arial"/>
            <w:i/>
            <w:color w:val="0077CC"/>
            <w:sz w:val="20"/>
            <w:u w:val="single"/>
            <w:shd w:val="clear" w:color="auto" w:fill="FFFFFF"/>
            <w:lang w:val="en-US" w:eastAsia="en-US" w:bidi="ar-SA"/>
          </w:rPr>
          <w:t>2018 BCCA 77</w:t>
        </w:r>
      </w:hyperlink>
      <w:r>
        <w:rPr>
          <w:rFonts w:ascii="arial" w:eastAsia="arial" w:hAnsi="arial" w:cs="arial"/>
          <w:color w:val="000000"/>
          <w:sz w:val="20"/>
          <w:lang w:val="en-US" w:eastAsia="en-US" w:bidi="ar-SA"/>
        </w:rPr>
        <w:t xml:space="preserve">, at para. 33; </w:t>
      </w:r>
      <w:r>
        <w:rPr>
          <w:rFonts w:ascii="arial" w:eastAsia="arial" w:hAnsi="arial" w:cs="arial"/>
          <w:i/>
          <w:color w:val="000000"/>
          <w:sz w:val="20"/>
          <w:lang w:val="en-US" w:eastAsia="en-US" w:bidi="ar-SA"/>
        </w:rPr>
        <w:t>Riley v. Ritsco</w:t>
      </w:r>
      <w:r>
        <w:rPr>
          <w:rFonts w:ascii="arial" w:eastAsia="arial" w:hAnsi="arial" w:cs="arial"/>
          <w:color w:val="000000"/>
          <w:sz w:val="20"/>
          <w:lang w:val="en-US" w:eastAsia="en-US" w:bidi="ar-SA"/>
        </w:rPr>
        <w:t xml:space="preserve">, </w:t>
      </w:r>
      <w:hyperlink r:id="rId755" w:history="1">
        <w:r>
          <w:rPr>
            <w:rFonts w:ascii="arial" w:eastAsia="arial" w:hAnsi="arial" w:cs="arial"/>
            <w:i/>
            <w:color w:val="0077CC"/>
            <w:sz w:val="20"/>
            <w:u w:val="single"/>
            <w:shd w:val="clear" w:color="auto" w:fill="FFFFFF"/>
            <w:lang w:val="en-US" w:eastAsia="en-US" w:bidi="ar-SA"/>
          </w:rPr>
          <w:t>2018 BCCA 366</w:t>
        </w:r>
      </w:hyperlink>
      <w:r>
        <w:rPr>
          <w:rFonts w:ascii="arial" w:eastAsia="arial" w:hAnsi="arial" w:cs="arial"/>
          <w:color w:val="000000"/>
          <w:sz w:val="20"/>
          <w:lang w:val="en-US" w:eastAsia="en-US" w:bidi="ar-SA"/>
        </w:rPr>
        <w:t xml:space="preserve"> at para. 100.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Riley</w:t>
      </w:r>
      <w:r>
        <w:rPr>
          <w:rFonts w:ascii="arial" w:eastAsia="arial" w:hAnsi="arial" w:cs="arial"/>
          <w:color w:val="000000"/>
          <w:sz w:val="20"/>
          <w:lang w:val="en-US" w:eastAsia="en-US" w:bidi="ar-SA"/>
        </w:rPr>
        <w:t xml:space="preserve">, Groberman J.A. observed that evidence that family members or friends routinely undertake functions that would otherwise have to be paid for could support a segregated award of pecuniary damages on the basis of </w:t>
      </w:r>
      <w:r>
        <w:rPr>
          <w:rFonts w:ascii="arial" w:eastAsia="arial" w:hAnsi="arial" w:cs="arial"/>
          <w:i/>
          <w:color w:val="000000"/>
          <w:sz w:val="20"/>
          <w:lang w:val="en-US" w:eastAsia="en-US" w:bidi="ar-SA"/>
        </w:rPr>
        <w:t>Kroeker v. Jansen</w:t>
      </w:r>
      <w:r>
        <w:rPr>
          <w:rFonts w:ascii="arial" w:eastAsia="arial" w:hAnsi="arial" w:cs="arial"/>
          <w:color w:val="000000"/>
          <w:sz w:val="20"/>
          <w:lang w:val="en-US" w:eastAsia="en-US" w:bidi="ar-SA"/>
        </w:rPr>
        <w:t xml:space="preserve"> </w:t>
      </w:r>
      <w:hyperlink r:id="rId756" w:history="1">
        <w:r>
          <w:rPr>
            <w:rFonts w:ascii="arial" w:eastAsia="arial" w:hAnsi="arial" w:cs="arial"/>
            <w:i/>
            <w:color w:val="0077CC"/>
            <w:sz w:val="20"/>
            <w:u w:val="single"/>
            <w:shd w:val="clear" w:color="auto" w:fill="FFFFFF"/>
            <w:lang w:val="en-US" w:eastAsia="en-US" w:bidi="ar-SA"/>
          </w:rPr>
          <w:t>(1995), 123 D.L.R. (4th) 652</w:t>
        </w:r>
      </w:hyperlink>
      <w:r>
        <w:rPr>
          <w:rFonts w:ascii="arial" w:eastAsia="arial" w:hAnsi="arial" w:cs="arial"/>
          <w:color w:val="000000"/>
          <w:sz w:val="20"/>
          <w:lang w:val="en-US" w:eastAsia="en-US" w:bidi="ar-SA"/>
        </w:rPr>
        <w:t xml:space="preserve">; </w:t>
      </w:r>
      <w:hyperlink r:id="rId756" w:history="1">
        <w:r>
          <w:rPr>
            <w:rFonts w:ascii="arial" w:eastAsia="arial" w:hAnsi="arial" w:cs="arial"/>
            <w:i/>
            <w:color w:val="0077CC"/>
            <w:sz w:val="20"/>
            <w:u w:val="single"/>
            <w:shd w:val="clear" w:color="auto" w:fill="FFFFFF"/>
            <w:lang w:val="en-US" w:eastAsia="en-US" w:bidi="ar-SA"/>
          </w:rPr>
          <w:t>(1995) 4 B.C.L.R. (3d) 178</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Similarly, in </w:t>
      </w:r>
      <w:r>
        <w:rPr>
          <w:rFonts w:ascii="arial" w:eastAsia="arial" w:hAnsi="arial" w:cs="arial"/>
          <w:i/>
          <w:color w:val="000000"/>
          <w:sz w:val="20"/>
          <w:lang w:val="en-US" w:eastAsia="en-US" w:bidi="ar-SA"/>
        </w:rPr>
        <w:t>Liu v. Bains</w:t>
      </w:r>
      <w:r>
        <w:rPr>
          <w:rFonts w:ascii="arial" w:eastAsia="arial" w:hAnsi="arial" w:cs="arial"/>
          <w:color w:val="000000"/>
          <w:sz w:val="20"/>
          <w:lang w:val="en-US" w:eastAsia="en-US" w:bidi="ar-SA"/>
        </w:rPr>
        <w:t xml:space="preserve">, </w:t>
      </w:r>
      <w:hyperlink r:id="rId757" w:history="1">
        <w:r>
          <w:rPr>
            <w:rFonts w:ascii="arial" w:eastAsia="arial" w:hAnsi="arial" w:cs="arial"/>
            <w:i/>
            <w:color w:val="0077CC"/>
            <w:sz w:val="20"/>
            <w:u w:val="single"/>
            <w:shd w:val="clear" w:color="auto" w:fill="FFFFFF"/>
            <w:lang w:val="en-US" w:eastAsia="en-US" w:bidi="ar-SA"/>
          </w:rPr>
          <w:t>2016 BCCA 374</w:t>
        </w:r>
      </w:hyperlink>
      <w:r>
        <w:rPr>
          <w:rFonts w:ascii="arial" w:eastAsia="arial" w:hAnsi="arial" w:cs="arial"/>
          <w:color w:val="000000"/>
          <w:sz w:val="20"/>
          <w:lang w:val="en-US" w:eastAsia="en-US" w:bidi="ar-SA"/>
        </w:rPr>
        <w:t>, the Court upheld a claim for pecuniary damages for loss of housekeeping capacity. It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 Since the decision in </w:t>
      </w:r>
      <w:r>
        <w:rPr>
          <w:rFonts w:ascii="arial" w:eastAsia="arial" w:hAnsi="arial" w:cs="arial"/>
          <w:i/>
          <w:color w:val="000000"/>
          <w:sz w:val="20"/>
          <w:lang w:val="en-US" w:eastAsia="en-US" w:bidi="ar-SA"/>
        </w:rPr>
        <w:t>Kroeker</w:t>
      </w:r>
      <w:r>
        <w:rPr>
          <w:rFonts w:ascii="arial" w:eastAsia="arial" w:hAnsi="arial" w:cs="arial"/>
          <w:color w:val="000000"/>
          <w:sz w:val="20"/>
          <w:lang w:val="en-US" w:eastAsia="en-US" w:bidi="ar-SA"/>
        </w:rPr>
        <w:t xml:space="preserve">, it has been well-established in this province that domestic services have value and an injured party may justifiably claim for loss of housekeeping capacity, even if these services are provided gratuitously by family members: </w:t>
      </w:r>
      <w:r>
        <w:rPr>
          <w:rFonts w:ascii="arial" w:eastAsia="arial" w:hAnsi="arial" w:cs="arial"/>
          <w:i/>
          <w:color w:val="000000"/>
          <w:sz w:val="20"/>
          <w:lang w:val="en-US" w:eastAsia="en-US" w:bidi="ar-SA"/>
        </w:rPr>
        <w:t>McTavish v. MacGillivray</w:t>
      </w:r>
      <w:r>
        <w:rPr>
          <w:rFonts w:ascii="arial" w:eastAsia="arial" w:hAnsi="arial" w:cs="arial"/>
          <w:color w:val="000000"/>
          <w:sz w:val="20"/>
          <w:lang w:val="en-US" w:eastAsia="en-US" w:bidi="ar-SA"/>
        </w:rPr>
        <w:t xml:space="preserve">, </w:t>
      </w:r>
      <w:hyperlink r:id="rId758" w:history="1">
        <w:r>
          <w:rPr>
            <w:rFonts w:ascii="arial" w:eastAsia="arial" w:hAnsi="arial" w:cs="arial"/>
            <w:i/>
            <w:color w:val="0077CC"/>
            <w:sz w:val="20"/>
            <w:u w:val="single"/>
            <w:shd w:val="clear" w:color="auto" w:fill="FFFFFF"/>
            <w:lang w:val="en-US" w:eastAsia="en-US" w:bidi="ar-SA"/>
          </w:rPr>
          <w:t>2000 BCCA 164</w:t>
        </w:r>
      </w:hyperlink>
      <w:r>
        <w:rPr>
          <w:rFonts w:ascii="arial" w:eastAsia="arial" w:hAnsi="arial" w:cs="arial"/>
          <w:color w:val="000000"/>
          <w:sz w:val="20"/>
          <w:lang w:val="en-US" w:eastAsia="en-US" w:bidi="ar-SA"/>
        </w:rPr>
        <w:t xml:space="preserve"> at para. 63.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[26] It lies in the trial judge's discretion whether to address such a claim as part of the non-pecuniary loss or as a segregated pecuniary head of damage. In </w:t>
      </w:r>
      <w:r>
        <w:rPr>
          <w:rFonts w:ascii="arial" w:eastAsia="arial" w:hAnsi="arial" w:cs="arial"/>
          <w:i/>
          <w:color w:val="000000"/>
          <w:sz w:val="20"/>
          <w:lang w:val="en-US" w:eastAsia="en-US" w:bidi="ar-SA"/>
        </w:rPr>
        <w:t>McTavish</w:t>
      </w:r>
      <w:r>
        <w:rPr>
          <w:rFonts w:ascii="arial" w:eastAsia="arial" w:hAnsi="arial" w:cs="arial"/>
          <w:color w:val="000000"/>
          <w:sz w:val="20"/>
          <w:lang w:val="en-US" w:eastAsia="en-US" w:bidi="ar-SA"/>
        </w:rPr>
        <w:t xml:space="preserve"> at paras. 68-69, the Court suggested that treating loss of housekeeping capacity as non-pecuniary loss may be best suited to cases in which the plaintiff is still able to perform household tasks with difficulty or decides they need not be done, while remuneration in pecuniary terms is preferable where family members gratuitously perform the lost services, thereby avoiding necessary replacement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Duplication must be avoided. Where potential costs for housekeeping assistance are awarded in the context of costs of future care, then the case for a separate pecuniary award for loss of housekeeping capacity is lessened and perhaps eliminated, depending on the specific facts of the case: </w:t>
      </w:r>
      <w:r>
        <w:rPr>
          <w:rFonts w:ascii="arial" w:eastAsia="arial" w:hAnsi="arial" w:cs="arial"/>
          <w:i/>
          <w:color w:val="000000"/>
          <w:sz w:val="20"/>
          <w:lang w:val="en-US" w:eastAsia="en-US" w:bidi="ar-SA"/>
        </w:rPr>
        <w:t>Firman v. Asadi</w:t>
      </w:r>
      <w:r>
        <w:rPr>
          <w:rFonts w:ascii="arial" w:eastAsia="arial" w:hAnsi="arial" w:cs="arial"/>
          <w:color w:val="000000"/>
          <w:sz w:val="20"/>
          <w:lang w:val="en-US" w:eastAsia="en-US" w:bidi="ar-SA"/>
        </w:rPr>
        <w:t xml:space="preserve">, </w:t>
      </w:r>
      <w:hyperlink r:id="rId759" w:history="1">
        <w:r>
          <w:rPr>
            <w:rFonts w:ascii="arial" w:eastAsia="arial" w:hAnsi="arial" w:cs="arial"/>
            <w:i/>
            <w:color w:val="0077CC"/>
            <w:sz w:val="20"/>
            <w:u w:val="single"/>
            <w:shd w:val="clear" w:color="auto" w:fill="FFFFFF"/>
            <w:lang w:val="en-US" w:eastAsia="en-US" w:bidi="ar-SA"/>
          </w:rPr>
          <w:t>2019 BCSC 270</w:t>
        </w:r>
      </w:hyperlink>
      <w:r>
        <w:rPr>
          <w:rFonts w:ascii="arial" w:eastAsia="arial" w:hAnsi="arial" w:cs="arial"/>
          <w:color w:val="000000"/>
          <w:sz w:val="20"/>
          <w:lang w:val="en-US" w:eastAsia="en-US" w:bidi="ar-SA"/>
        </w:rPr>
        <w:t xml:space="preserve"> at para. 236.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There is no evidence that Ms. Singh has had to pay someone else to perform housekeeping tasks or that she expects to do so in the future. However, there is evidence that there are tasks she can no longer do, that the tasks she can do are performed with more difficulty, and, most importantly, that Mr. Sharma now routinely performs tasks that she used to perform. His willingness to do so has allowed Ms. Singh to avoid paying someone else to perform housekeeping for her. For the reasons I have already expressed, Ms. Singh's functionality is unlikely to improve and likely to worsen. In the circumstances, I am satisfied that a segregated pecuniary award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Ms. Singh's counsel submits that $40 per week would be modest compensation under this head of damage. At $40 per week, Ms. Singh's counsel estimates the value of her past and future loss of housekeeping capacity at in excess of $70,000, but she seeks only $10,000. Viewed in this context, her claim of $10,000 under this head of damages is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I award Ms. Singh damages of $10,000 for past and future loss of housekeeping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xml:space="preserve">  The Court of Appeal summarized the principles applicable to a claim for the costs of future care in </w:t>
      </w:r>
      <w:r>
        <w:rPr>
          <w:rFonts w:ascii="arial" w:eastAsia="arial" w:hAnsi="arial" w:cs="arial"/>
          <w:i/>
          <w:color w:val="000000"/>
          <w:sz w:val="20"/>
          <w:lang w:val="en-US" w:eastAsia="en-US" w:bidi="ar-SA"/>
        </w:rPr>
        <w:t>Gao v. Dietrich</w:t>
      </w:r>
      <w:r>
        <w:rPr>
          <w:rFonts w:ascii="arial" w:eastAsia="arial" w:hAnsi="arial" w:cs="arial"/>
          <w:color w:val="000000"/>
          <w:sz w:val="20"/>
          <w:lang w:val="en-US" w:eastAsia="en-US" w:bidi="ar-SA"/>
        </w:rPr>
        <w:t xml:space="preserve">, </w:t>
      </w:r>
      <w:hyperlink r:id="rId760" w:history="1">
        <w:r>
          <w:rPr>
            <w:rFonts w:ascii="arial" w:eastAsia="arial" w:hAnsi="arial" w:cs="arial"/>
            <w:i/>
            <w:color w:val="0077CC"/>
            <w:sz w:val="20"/>
            <w:u w:val="single"/>
            <w:shd w:val="clear" w:color="auto" w:fill="FFFFFF"/>
            <w:lang w:val="en-US" w:eastAsia="en-US" w:bidi="ar-SA"/>
          </w:rPr>
          <w:t>2018 BCCA 372</w:t>
        </w:r>
      </w:hyperlink>
      <w:r>
        <w:rPr>
          <w:rFonts w:ascii="arial" w:eastAsia="arial" w:hAnsi="arial" w:cs="arial"/>
          <w:color w:val="000000"/>
          <w:sz w:val="20"/>
          <w:lang w:val="en-US" w:eastAsia="en-US" w:bidi="ar-SA"/>
        </w:rPr>
        <w:t>, at paras. 68-70: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68 An award for damages for cost of future care is based on the principle of restitution. In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34"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at 241-242, Dickson J., as he then was, explained the purpose of an award for cost of future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theory a claim for the cost of future care is a pecuniary claim for the amount which may reasonably be expected to be expended in putting the injured party in a position where he would have been in had he not sustained the injury. Obviously a plaintiff who has been gravely and permanently impaired can never be put in the position he would have been in if the tort had not been committed. To this extent, "</w:t>
      </w:r>
      <w:r>
        <w:rPr>
          <w:rFonts w:ascii="arial" w:eastAsia="arial" w:hAnsi="arial" w:cs="arial"/>
          <w:i/>
          <w:color w:val="000000"/>
          <w:sz w:val="20"/>
          <w:lang w:val="en-US" w:eastAsia="en-US" w:bidi="ar-SA"/>
        </w:rPr>
        <w:t>restitutio in integrum</w:t>
      </w:r>
      <w:r>
        <w:rPr>
          <w:rFonts w:ascii="arial" w:eastAsia="arial" w:hAnsi="arial" w:cs="arial"/>
          <w:color w:val="000000"/>
          <w:sz w:val="20"/>
          <w:lang w:val="en-US" w:eastAsia="en-US" w:bidi="ar-SA"/>
        </w:rPr>
        <w:t>" is not possible. Money is a barren substitute for health and personal happiness but to the extent, within reason, that money can be used to sustain or improve the mental or physical health of the injured person it may properly form part of the 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69 An award for cost of future care is based on what is reasonably necessary, on medical evidence, to promote the mental and physical health of the claimant: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123"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at 78, aff'd </w:t>
      </w:r>
      <w:hyperlink r:id="rId344"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Aberdeen v. Zanatta</w:t>
      </w:r>
      <w:r>
        <w:rPr>
          <w:rFonts w:ascii="arial" w:eastAsia="arial" w:hAnsi="arial" w:cs="arial"/>
          <w:color w:val="000000"/>
          <w:sz w:val="20"/>
          <w:lang w:val="en-US" w:eastAsia="en-US" w:bidi="ar-SA"/>
        </w:rPr>
        <w:t xml:space="preserve">, </w:t>
      </w:r>
      <w:hyperlink r:id="rId735" w:history="1">
        <w:r>
          <w:rPr>
            <w:rFonts w:ascii="arial" w:eastAsia="arial" w:hAnsi="arial" w:cs="arial"/>
            <w:i/>
            <w:color w:val="0077CC"/>
            <w:sz w:val="20"/>
            <w:u w:val="single"/>
            <w:shd w:val="clear" w:color="auto" w:fill="FFFFFF"/>
            <w:lang w:val="en-US" w:eastAsia="en-US" w:bidi="ar-SA"/>
          </w:rPr>
          <w:t>2008 BCCA 420</w:t>
        </w:r>
      </w:hyperlink>
      <w:r>
        <w:rPr>
          <w:rFonts w:ascii="arial" w:eastAsia="arial" w:hAnsi="arial" w:cs="arial"/>
          <w:color w:val="000000"/>
          <w:sz w:val="20"/>
          <w:lang w:val="en-US" w:eastAsia="en-US" w:bidi="ar-SA"/>
        </w:rPr>
        <w:t xml:space="preserve"> at para. 41; </w:t>
      </w:r>
      <w:r>
        <w:rPr>
          <w:rFonts w:ascii="arial" w:eastAsia="arial" w:hAnsi="arial" w:cs="arial"/>
          <w:i/>
          <w:color w:val="000000"/>
          <w:sz w:val="20"/>
          <w:lang w:val="en-US" w:eastAsia="en-US" w:bidi="ar-SA"/>
        </w:rPr>
        <w:t>Gignac v. Insurance Corporation of British Columbia</w:t>
      </w:r>
      <w:r>
        <w:rPr>
          <w:rFonts w:ascii="arial" w:eastAsia="arial" w:hAnsi="arial" w:cs="arial"/>
          <w:color w:val="000000"/>
          <w:sz w:val="20"/>
          <w:lang w:val="en-US" w:eastAsia="en-US" w:bidi="ar-SA"/>
        </w:rPr>
        <w:t xml:space="preserve">, </w:t>
      </w:r>
      <w:hyperlink r:id="rId129" w:history="1">
        <w:r>
          <w:rPr>
            <w:rFonts w:ascii="arial" w:eastAsia="arial" w:hAnsi="arial" w:cs="arial"/>
            <w:i/>
            <w:color w:val="0077CC"/>
            <w:sz w:val="20"/>
            <w:u w:val="single"/>
            <w:shd w:val="clear" w:color="auto" w:fill="FFFFFF"/>
            <w:lang w:val="en-US" w:eastAsia="en-US" w:bidi="ar-SA"/>
          </w:rPr>
          <w:t>2012 BCCA 351</w:t>
        </w:r>
      </w:hyperlink>
      <w:r>
        <w:rPr>
          <w:rFonts w:ascii="arial" w:eastAsia="arial" w:hAnsi="arial" w:cs="arial"/>
          <w:color w:val="000000"/>
          <w:sz w:val="20"/>
          <w:lang w:val="en-US" w:eastAsia="en-US" w:bidi="ar-SA"/>
        </w:rPr>
        <w:t xml:space="preserve"> at para. 30. An award for future care must (1) have medical justification, and (2) be reasonable: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at 84; Aberdeen at para. 42.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70 In </w:t>
      </w:r>
      <w:r>
        <w:rPr>
          <w:rFonts w:ascii="arial" w:eastAsia="arial" w:hAnsi="arial" w:cs="arial"/>
          <w:i/>
          <w:color w:val="000000"/>
          <w:sz w:val="20"/>
          <w:lang w:val="en-US" w:eastAsia="en-US" w:bidi="ar-SA"/>
        </w:rPr>
        <w:t>Gregory v. Insurance Corporation of British Columbia</w:t>
      </w:r>
      <w:r>
        <w:rPr>
          <w:rFonts w:ascii="arial" w:eastAsia="arial" w:hAnsi="arial" w:cs="arial"/>
          <w:color w:val="000000"/>
          <w:sz w:val="20"/>
          <w:lang w:val="en-US" w:eastAsia="en-US" w:bidi="ar-SA"/>
        </w:rPr>
        <w:t xml:space="preserve">, </w:t>
      </w:r>
      <w:hyperlink r:id="rId120"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this Court clarified that the medical necessity of future care costs may be established by a health care professional other than a physician, such as an occupational therapist, if there is a link between a physician's assessment of pain, disability, and recommended treatment, and the health care professional's recommended care item (at para. 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It is necessary to consider the likelihood that an expense will be incurred in the future: </w:t>
      </w:r>
      <w:r>
        <w:rPr>
          <w:rFonts w:ascii="arial" w:eastAsia="arial" w:hAnsi="arial" w:cs="arial"/>
          <w:i/>
          <w:color w:val="000000"/>
          <w:sz w:val="20"/>
          <w:lang w:val="en-US" w:eastAsia="en-US" w:bidi="ar-SA"/>
        </w:rPr>
        <w:t>Gilbert v. Bottle</w:t>
      </w:r>
      <w:r>
        <w:rPr>
          <w:rFonts w:ascii="arial" w:eastAsia="arial" w:hAnsi="arial" w:cs="arial"/>
          <w:color w:val="000000"/>
          <w:sz w:val="20"/>
          <w:lang w:val="en-US" w:eastAsia="en-US" w:bidi="ar-SA"/>
        </w:rPr>
        <w:t xml:space="preserve">, </w:t>
      </w:r>
      <w:hyperlink r:id="rId133" w:history="1">
        <w:r>
          <w:rPr>
            <w:rFonts w:ascii="arial" w:eastAsia="arial" w:hAnsi="arial" w:cs="arial"/>
            <w:i/>
            <w:color w:val="0077CC"/>
            <w:sz w:val="20"/>
            <w:u w:val="single"/>
            <w:shd w:val="clear" w:color="auto" w:fill="FFFFFF"/>
            <w:lang w:val="en-US" w:eastAsia="en-US" w:bidi="ar-SA"/>
          </w:rPr>
          <w:t>2011 BCSC 1389</w:t>
        </w:r>
      </w:hyperlink>
      <w:r>
        <w:rPr>
          <w:rFonts w:ascii="arial" w:eastAsia="arial" w:hAnsi="arial" w:cs="arial"/>
          <w:color w:val="000000"/>
          <w:sz w:val="20"/>
          <w:lang w:val="en-US" w:eastAsia="en-US" w:bidi="ar-SA"/>
        </w:rPr>
        <w:t xml:space="preserve"> at para. 251. No award should be made in relation to an expense that the plaintiff will not actually incur: </w:t>
      </w:r>
      <w:r>
        <w:rPr>
          <w:rFonts w:ascii="arial" w:eastAsia="arial" w:hAnsi="arial" w:cs="arial"/>
          <w:i/>
          <w:color w:val="000000"/>
          <w:sz w:val="20"/>
          <w:lang w:val="en-US" w:eastAsia="en-US" w:bidi="ar-SA"/>
        </w:rPr>
        <w:t>Izony v. Weidlich</w:t>
      </w:r>
      <w:r>
        <w:rPr>
          <w:rFonts w:ascii="arial" w:eastAsia="arial" w:hAnsi="arial" w:cs="arial"/>
          <w:color w:val="000000"/>
          <w:sz w:val="20"/>
          <w:lang w:val="en-US" w:eastAsia="en-US" w:bidi="ar-SA"/>
        </w:rPr>
        <w:t xml:space="preserve">, </w:t>
      </w:r>
      <w:hyperlink r:id="rId131" w:history="1">
        <w:r>
          <w:rPr>
            <w:rFonts w:ascii="arial" w:eastAsia="arial" w:hAnsi="arial" w:cs="arial"/>
            <w:i/>
            <w:color w:val="0077CC"/>
            <w:sz w:val="20"/>
            <w:u w:val="single"/>
            <w:shd w:val="clear" w:color="auto" w:fill="FFFFFF"/>
            <w:lang w:val="en-US" w:eastAsia="en-US" w:bidi="ar-SA"/>
          </w:rPr>
          <w:t>2006 BCSC 1315</w:t>
        </w:r>
      </w:hyperlink>
      <w:r>
        <w:rPr>
          <w:rFonts w:ascii="arial" w:eastAsia="arial" w:hAnsi="arial" w:cs="arial"/>
          <w:color w:val="000000"/>
          <w:sz w:val="20"/>
          <w:lang w:val="en-US" w:eastAsia="en-US" w:bidi="ar-SA"/>
        </w:rPr>
        <w:t xml:space="preserve"> at para. 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Ms. Singh seeks a total award of $93,371.56 under this head of damage. This breaks down as follows:</w:t>
      </w:r>
      <w:r>
        <w:rPr>
          <w:rFonts w:ascii="arial" w:eastAsia="arial" w:hAnsi="arial" w:cs="arial"/>
          <w:sz w:val="20"/>
          <w:lang w:val="en-US" w:eastAsia="en-US" w:bidi="ar-SA"/>
        </w:rPr>
        <w:cr/>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one time costs for a series of sessions with a kinesiologist at the present time ($705.50);</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one time costs for a series of sessions with a kinesiologist following a future elbow replacement surgery ($705.50);</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present value of an annual cost of $440 for a gym membership to age 75 ($9,871.26);</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present value of the annual cost of 100 Tylenol tablets per month to age 75 ($5,346);</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present value of the annual cost of one Cymbalta tablet per day to age 75 ($14,481.03);</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present value of an annual cost of $700 for "seasonal cleaning" to age 75 ($15,677.55); and</w:t>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present value of the annual cost of two hours of housecleaning services per week to age 75 ($46,584.72).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Ms. Singh bears the burden of establishing her claim. For the most part, she has failed to do so in relation to this head of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While there is evidence in the record concerning the cost of kinesiologist sessions ($50 to $60 per hour) and a recommendation from Mr. Shew that Ms. Singh have a series of eight update sessions, there is no evidence that Ms. Singh intends to incur this expense. As already discussed, she did not follow Mr. Shew's recommendation in 2012. There is no basis in the evidence for me to conclude that she will follow his recommendation now. I am satisfied that if she has to undergo a full elbow replacement in the future, she will need a series of physiotherapy sessions, but her counsel acknowledged that these would be covered by the Medical Services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Similarly, while there is evidence in the record concerning the cost of a gym membership, there is no current recommendation for a gym membership. Mr. Shew did make this recommendation in 2012, but in his 2019 report, he did not. Further, there is no evidence that Ms. Singh intends to incur the expense of a gym membership in order to treat her assault-related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The evidentiary record does not support a claim for 100 Tylenol tablets per month. Ms. Singh testified that she takes Tylenol "on and off" instead of prescription pain medication. She did not attempt to quantify her use of Tylenol with any more precision. There is no evidence in the record of the cost of Tylenol. The medical evidence does establish a justification for pain medication. However, given the lack of specificity concerning Ms. Singh's actual use of Tylenol and the absence of evidence of cost, only a modest amount is justified. I award $1,000 for the future cost of Tylenol.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There is no evidence of the cost of Cymbalta. Further, Ms. Singh's disability benefits provider, Sun Life, covers the cost of this medication. There is no evidence about whether Sun Life will continue to do so after Ms. Singh retires. While I accept that a medical justification for Cymbalta has been established, there is nothing in the record that allows me to reasonably assess the likely quantum of Ms. Singh's future cost of Cymbalta.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Finally, while Mr. Shew did express the view that Ms. Singh would need help with heavier housekeeping tasks, there is no evidence of the cost of "seasonal cleaning" or even the going rate for regular housecleaning. Further, there is no evidence that Ms. Singh has any intention of incurring expenses for housecleaning or seasonal cleaning. She and Mr. Sharma live in a condominium and there was no evidence of any need for them to perform outdoor maintenance. As already discussed, Mr. Sharma does the heavier housework, and Ms. Singh has been awarded damages for loss of housekeeping capacity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For the foregoing reasons, I award Ms. Singh $1,000 for cost of future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Ms. Singh claims $4,895.01 in special damages. However, her counsel double counted the amount of $1,320 for over-the-counter pain medication, such as Tylenol. With that corrected, her claim amounts to $3,575.01, which breaks down as follows:</w:t>
      </w:r>
      <w:r>
        <w:rPr>
          <w:rFonts w:ascii="arial" w:eastAsia="arial" w:hAnsi="arial" w:cs="arial"/>
          <w:sz w:val="20"/>
          <w:lang w:val="en-US" w:eastAsia="en-US" w:bidi="ar-SA"/>
        </w:rPr>
        <w:cr/>
      </w:r>
    </w:p>
    <w:p>
      <w:pPr>
        <w:numPr>
          <w:numId w:val="3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$600.01 for prescription drugs;</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$1,320 for over-the-counter pain medication;</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$1,530 for physiotherapy;</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$90 for a doctor's note; and</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$35 for parking.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The defence concedes that the expenses for which Ms. Singh has presented documentary evidence such receipts are properly recoverable, but contests any claim for which there is no documentary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Ms. Singh has substantiated her claims for prescription drugs, physiotherapy, the doctor's note, and for parking. I award her damages in the amounts she has claimed for those items.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Ms. Singh has not provided any documentary evidence of the cost to her of over-the-counter pain medication. The amount claimed seems to be her counsel's view of what would be appropriate. While it is not necessary, in my view, for a plaintiff to produce documentary evidence to establish a claim for special damages, a plaintiff must tender some evidence of an expense having been incurred. Ms. Singh's evidence about her use of over-the-counter pain medication was vague. She did not attempt to even estimate the amount she has spent on over-the-counter medication. While I accept that Ms. Singh has purchased Tylenol to treat the pain associated with her assault-related injuries, the evidentiary record supports only a nominal award. I award her $200 for over-the-counter pain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I award Ms. Singh special damages of $2,455.01.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Aggravated and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xml:space="preserve">  Ms. Singh seeks $35,000 in "punitive" damages. Her counsel submitted that there are parallels between this case and that of </w:t>
      </w:r>
      <w:r>
        <w:rPr>
          <w:rFonts w:ascii="arial" w:eastAsia="arial" w:hAnsi="arial" w:cs="arial"/>
          <w:i/>
          <w:color w:val="000000"/>
          <w:sz w:val="20"/>
          <w:lang w:val="en-US" w:eastAsia="en-US" w:bidi="ar-SA"/>
        </w:rPr>
        <w:t>Morrow v. Outerbridge</w:t>
      </w:r>
      <w:r>
        <w:rPr>
          <w:rFonts w:ascii="arial" w:eastAsia="arial" w:hAnsi="arial" w:cs="arial"/>
          <w:color w:val="000000"/>
          <w:sz w:val="20"/>
          <w:lang w:val="en-US" w:eastAsia="en-US" w:bidi="ar-SA"/>
        </w:rPr>
        <w:t xml:space="preserve">, </w:t>
      </w:r>
      <w:hyperlink r:id="rId761" w:history="1">
        <w:r>
          <w:rPr>
            <w:rFonts w:ascii="arial" w:eastAsia="arial" w:hAnsi="arial" w:cs="arial"/>
            <w:i/>
            <w:color w:val="0077CC"/>
            <w:sz w:val="20"/>
            <w:u w:val="single"/>
            <w:shd w:val="clear" w:color="auto" w:fill="FFFFFF"/>
            <w:lang w:val="en-US" w:eastAsia="en-US" w:bidi="ar-SA"/>
          </w:rPr>
          <w:t>2009 BCSC 433</w:t>
        </w:r>
      </w:hyperlink>
      <w:r>
        <w:rPr>
          <w:rFonts w:ascii="arial" w:eastAsia="arial" w:hAnsi="arial" w:cs="arial"/>
          <w:color w:val="000000"/>
          <w:sz w:val="20"/>
          <w:lang w:val="en-US" w:eastAsia="en-US" w:bidi="ar-SA"/>
        </w:rPr>
        <w:t xml:space="preserve">, a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 However, in </w:t>
      </w:r>
      <w:r>
        <w:rPr>
          <w:rFonts w:ascii="arial" w:eastAsia="arial" w:hAnsi="arial" w:cs="arial"/>
          <w:i/>
          <w:color w:val="000000"/>
          <w:sz w:val="20"/>
          <w:lang w:val="en-US" w:eastAsia="en-US" w:bidi="ar-SA"/>
        </w:rPr>
        <w:t>Morrow</w:t>
      </w:r>
      <w:r>
        <w:rPr>
          <w:rFonts w:ascii="arial" w:eastAsia="arial" w:hAnsi="arial" w:cs="arial"/>
          <w:color w:val="000000"/>
          <w:sz w:val="20"/>
          <w:lang w:val="en-US" w:eastAsia="en-US" w:bidi="ar-SA"/>
        </w:rPr>
        <w:t xml:space="preserve"> aggravated but not punitive damages were awarded. Ms. Singh's counsel did not distinguish between the principles applicable to a claim for aggravated damages and those applicable to a claim of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xml:space="preserve">  The distinction between these two types of damages is well known. See </w:t>
      </w:r>
      <w:r>
        <w:rPr>
          <w:rFonts w:ascii="arial" w:eastAsia="arial" w:hAnsi="arial" w:cs="arial"/>
          <w:i/>
          <w:color w:val="000000"/>
          <w:sz w:val="20"/>
          <w:lang w:val="en-US" w:eastAsia="en-US" w:bidi="ar-SA"/>
        </w:rPr>
        <w:t>Vorvis v. Insurance Corp. of British Columbia</w:t>
      </w:r>
      <w:r>
        <w:rPr>
          <w:rFonts w:ascii="arial" w:eastAsia="arial" w:hAnsi="arial" w:cs="arial"/>
          <w:color w:val="000000"/>
          <w:sz w:val="20"/>
          <w:lang w:val="en-US" w:eastAsia="en-US" w:bidi="ar-SA"/>
        </w:rPr>
        <w:t xml:space="preserve">, </w:t>
      </w:r>
      <w:hyperlink r:id="rId762" w:history="1">
        <w:r>
          <w:rPr>
            <w:rFonts w:ascii="arial" w:eastAsia="arial" w:hAnsi="arial" w:cs="arial"/>
            <w:i/>
            <w:color w:val="0077CC"/>
            <w:sz w:val="20"/>
            <w:u w:val="single"/>
            <w:shd w:val="clear" w:color="auto" w:fill="FFFFFF"/>
            <w:lang w:val="en-US" w:eastAsia="en-US" w:bidi="ar-SA"/>
          </w:rPr>
          <w:t>[1989] 1 S.C.R. 1085</w:t>
        </w:r>
      </w:hyperlink>
      <w:r>
        <w:rPr>
          <w:rFonts w:ascii="arial" w:eastAsia="arial" w:hAnsi="arial" w:cs="arial"/>
          <w:color w:val="000000"/>
          <w:sz w:val="20"/>
          <w:lang w:val="en-US" w:eastAsia="en-US" w:bidi="ar-SA"/>
        </w:rPr>
        <w:t xml:space="preserve"> at para. 16; </w:t>
      </w:r>
      <w:r>
        <w:rPr>
          <w:rFonts w:ascii="arial" w:eastAsia="arial" w:hAnsi="arial" w:cs="arial"/>
          <w:i/>
          <w:color w:val="000000"/>
          <w:sz w:val="20"/>
          <w:lang w:val="en-US" w:eastAsia="en-US" w:bidi="ar-SA"/>
        </w:rPr>
        <w:t>Huff v. Price</w:t>
      </w:r>
      <w:r>
        <w:rPr>
          <w:rFonts w:ascii="arial" w:eastAsia="arial" w:hAnsi="arial" w:cs="arial"/>
          <w:color w:val="000000"/>
          <w:sz w:val="20"/>
          <w:lang w:val="en-US" w:eastAsia="en-US" w:bidi="ar-SA"/>
        </w:rPr>
        <w:t xml:space="preserve"> </w:t>
      </w:r>
      <w:hyperlink r:id="rId763" w:history="1">
        <w:r>
          <w:rPr>
            <w:rFonts w:ascii="arial" w:eastAsia="arial" w:hAnsi="arial" w:cs="arial"/>
            <w:i/>
            <w:color w:val="0077CC"/>
            <w:sz w:val="20"/>
            <w:u w:val="single"/>
            <w:shd w:val="clear" w:color="auto" w:fill="FFFFFF"/>
            <w:lang w:val="en-US" w:eastAsia="en-US" w:bidi="ar-SA"/>
          </w:rPr>
          <w:t>(1990), 51 B.C.L.R. (2d) 282</w:t>
        </w:r>
      </w:hyperlink>
      <w:r>
        <w:rPr>
          <w:rFonts w:ascii="arial" w:eastAsia="arial" w:hAnsi="arial" w:cs="arial"/>
          <w:color w:val="000000"/>
          <w:sz w:val="20"/>
          <w:lang w:val="en-US" w:eastAsia="en-US" w:bidi="ar-SA"/>
        </w:rPr>
        <w:t xml:space="preserve"> (CA) at 299; </w:t>
      </w:r>
      <w:r>
        <w:rPr>
          <w:rFonts w:ascii="arial" w:eastAsia="arial" w:hAnsi="arial" w:cs="arial"/>
          <w:i/>
          <w:color w:val="000000"/>
          <w:sz w:val="20"/>
          <w:lang w:val="en-US" w:eastAsia="en-US" w:bidi="ar-SA"/>
        </w:rPr>
        <w:t>Norberg v. Wynrib</w:t>
      </w:r>
      <w:r>
        <w:rPr>
          <w:rFonts w:ascii="arial" w:eastAsia="arial" w:hAnsi="arial" w:cs="arial"/>
          <w:color w:val="000000"/>
          <w:sz w:val="20"/>
          <w:lang w:val="en-US" w:eastAsia="en-US" w:bidi="ar-SA"/>
        </w:rPr>
        <w:t xml:space="preserve">, </w:t>
      </w:r>
      <w:hyperlink r:id="rId764" w:history="1">
        <w:r>
          <w:rPr>
            <w:rFonts w:ascii="arial" w:eastAsia="arial" w:hAnsi="arial" w:cs="arial"/>
            <w:i/>
            <w:color w:val="0077CC"/>
            <w:sz w:val="20"/>
            <w:u w:val="single"/>
            <w:shd w:val="clear" w:color="auto" w:fill="FFFFFF"/>
            <w:lang w:val="en-US" w:eastAsia="en-US" w:bidi="ar-SA"/>
          </w:rPr>
          <w:t>[1992] 2 S.C.R. 226</w:t>
        </w:r>
      </w:hyperlink>
      <w:r>
        <w:rPr>
          <w:rFonts w:ascii="arial" w:eastAsia="arial" w:hAnsi="arial" w:cs="arial"/>
          <w:color w:val="000000"/>
          <w:sz w:val="20"/>
          <w:lang w:val="en-US" w:eastAsia="en-US" w:bidi="ar-SA"/>
        </w:rPr>
        <w:t xml:space="preserve"> at 263-4; and </w:t>
      </w:r>
      <w:r>
        <w:rPr>
          <w:rFonts w:ascii="arial" w:eastAsia="arial" w:hAnsi="arial" w:cs="arial"/>
          <w:i/>
          <w:color w:val="000000"/>
          <w:sz w:val="20"/>
          <w:lang w:val="en-US" w:eastAsia="en-US" w:bidi="ar-SA"/>
        </w:rPr>
        <w:t>Hill v. Church of Scientology of Toronto</w:t>
      </w:r>
      <w:r>
        <w:rPr>
          <w:rFonts w:ascii="arial" w:eastAsia="arial" w:hAnsi="arial" w:cs="arial"/>
          <w:color w:val="000000"/>
          <w:sz w:val="20"/>
          <w:lang w:val="en-US" w:eastAsia="en-US" w:bidi="ar-SA"/>
        </w:rPr>
        <w:t xml:space="preserve">, </w:t>
      </w:r>
      <w:hyperlink r:id="rId765" w:history="1">
        <w:r>
          <w:rPr>
            <w:rFonts w:ascii="arial" w:eastAsia="arial" w:hAnsi="arial" w:cs="arial"/>
            <w:i/>
            <w:color w:val="0077CC"/>
            <w:sz w:val="20"/>
            <w:u w:val="single"/>
            <w:shd w:val="clear" w:color="auto" w:fill="FFFFFF"/>
            <w:lang w:val="en-US" w:eastAsia="en-US" w:bidi="ar-SA"/>
          </w:rPr>
          <w:t>[1995] 2 S.C.R. 1130</w:t>
        </w:r>
      </w:hyperlink>
      <w:r>
        <w:rPr>
          <w:rFonts w:ascii="arial" w:eastAsia="arial" w:hAnsi="arial" w:cs="arial"/>
          <w:color w:val="000000"/>
          <w:sz w:val="20"/>
          <w:lang w:val="en-US" w:eastAsia="en-US" w:bidi="ar-SA"/>
        </w:rPr>
        <w:t xml:space="preserve"> at paras. 188-191. Put simply, aggravated damages are compensatory; punitive damages are not. While there may be some overlap in the facts relevant to establishing each of these heads of damage, each rests upon a different foundation and the purpose of awarding each is different.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xml:space="preserve">  Aggravated damages are awarded to compensate a plaintiff for actual damage that is aggravated by the defendant's high-handed conduct. Intangible elements such as grief, humiliation or embarrassment can provide the foundation for such an award. They are measured by the plaintiff's suffering: </w:t>
      </w:r>
      <w:r>
        <w:rPr>
          <w:rFonts w:ascii="arial" w:eastAsia="arial" w:hAnsi="arial" w:cs="arial"/>
          <w:i/>
          <w:color w:val="000000"/>
          <w:sz w:val="20"/>
          <w:lang w:val="en-US" w:eastAsia="en-US" w:bidi="ar-SA"/>
        </w:rPr>
        <w:t>Huff</w:t>
      </w:r>
      <w:r>
        <w:rPr>
          <w:rFonts w:ascii="arial" w:eastAsia="arial" w:hAnsi="arial" w:cs="arial"/>
          <w:color w:val="000000"/>
          <w:sz w:val="20"/>
          <w:lang w:val="en-US" w:eastAsia="en-US" w:bidi="ar-SA"/>
        </w:rPr>
        <w:t xml:space="preserve"> at 299.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xml:space="preserve">  In contrast, the objects of punitive damages are retribution, deterrence and denunciation as opposed to compensation. In </w:t>
      </w:r>
      <w:r>
        <w:rPr>
          <w:rFonts w:ascii="arial" w:eastAsia="arial" w:hAnsi="arial" w:cs="arial"/>
          <w:i/>
          <w:color w:val="000000"/>
          <w:sz w:val="20"/>
          <w:lang w:val="en-US" w:eastAsia="en-US" w:bidi="ar-SA"/>
        </w:rPr>
        <w:t>Bowen Contracting Ltd. v. B.C. Log Spill Recovery Co-operative Association</w:t>
      </w:r>
      <w:r>
        <w:rPr>
          <w:rFonts w:ascii="arial" w:eastAsia="arial" w:hAnsi="arial" w:cs="arial"/>
          <w:color w:val="000000"/>
          <w:sz w:val="20"/>
          <w:lang w:val="en-US" w:eastAsia="en-US" w:bidi="ar-SA"/>
        </w:rPr>
        <w:t xml:space="preserve">, </w:t>
      </w:r>
      <w:hyperlink r:id="rId766" w:history="1">
        <w:r>
          <w:rPr>
            <w:rFonts w:ascii="arial" w:eastAsia="arial" w:hAnsi="arial" w:cs="arial"/>
            <w:i/>
            <w:color w:val="0077CC"/>
            <w:sz w:val="20"/>
            <w:u w:val="single"/>
            <w:shd w:val="clear" w:color="auto" w:fill="FFFFFF"/>
            <w:lang w:val="en-US" w:eastAsia="en-US" w:bidi="ar-SA"/>
          </w:rPr>
          <w:t>2009 BCCA 457</w:t>
        </w:r>
      </w:hyperlink>
      <w:r>
        <w:rPr>
          <w:rFonts w:ascii="arial" w:eastAsia="arial" w:hAnsi="arial" w:cs="arial"/>
          <w:color w:val="000000"/>
          <w:sz w:val="20"/>
          <w:lang w:val="en-US" w:eastAsia="en-US" w:bidi="ar-SA"/>
        </w:rPr>
        <w:t xml:space="preserve"> at para. 23, the Court of Appeal summarized the following ten principles which the Supreme Court of Canada found, in </w:t>
      </w:r>
      <w:r>
        <w:rPr>
          <w:rFonts w:ascii="arial" w:eastAsia="arial" w:hAnsi="arial" w:cs="arial"/>
          <w:i/>
          <w:color w:val="000000"/>
          <w:sz w:val="20"/>
          <w:lang w:val="en-US" w:eastAsia="en-US" w:bidi="ar-SA"/>
        </w:rPr>
        <w:t>Whiten v. Pilot Insurance Co.</w:t>
      </w:r>
      <w:r>
        <w:rPr>
          <w:rFonts w:ascii="arial" w:eastAsia="arial" w:hAnsi="arial" w:cs="arial"/>
          <w:color w:val="000000"/>
          <w:sz w:val="20"/>
          <w:lang w:val="en-US" w:eastAsia="en-US" w:bidi="ar-SA"/>
        </w:rPr>
        <w:t xml:space="preserve">, </w:t>
      </w:r>
      <w:hyperlink r:id="rId767" w:history="1">
        <w:r>
          <w:rPr>
            <w:rFonts w:ascii="arial" w:eastAsia="arial" w:hAnsi="arial" w:cs="arial"/>
            <w:i/>
            <w:color w:val="0077CC"/>
            <w:sz w:val="20"/>
            <w:u w:val="single"/>
            <w:shd w:val="clear" w:color="auto" w:fill="FFFFFF"/>
            <w:lang w:val="en-US" w:eastAsia="en-US" w:bidi="ar-SA"/>
          </w:rPr>
          <w:t>2002 SCC 18</w:t>
        </w:r>
      </w:hyperlink>
      <w:r>
        <w:rPr>
          <w:rFonts w:ascii="arial" w:eastAsia="arial" w:hAnsi="arial" w:cs="arial"/>
          <w:color w:val="000000"/>
          <w:sz w:val="20"/>
          <w:lang w:val="en-US" w:eastAsia="en-US" w:bidi="ar-SA"/>
        </w:rPr>
        <w:t>, to apply when considering punitive damages:</w:t>
      </w:r>
      <w:r>
        <w:rPr>
          <w:rFonts w:ascii="arial" w:eastAsia="arial" w:hAnsi="arial" w:cs="arial"/>
          <w:sz w:val="20"/>
          <w:lang w:val="en-US" w:eastAsia="en-US" w:bidi="ar-SA"/>
        </w:rPr>
        <w:cr/>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Punitive damages are not limited to particular "categories" of wrongs, although by their nature they will "largely be restricted to intentional torts";</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general objectives of punitive damages are punishment, deterrence of the wrongdoer and others, and denunciation;</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Since the primary vehicle of punishment is criminal law, punitive damages should be resorted to only in "exceptional cases and with restraint";</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use of pejoratives such as "high-handed" or "oppressive" does not provide useful guidance (or discipline) to judges or juries and a more principled approach is desirable. (Notwithstanding this, the Court said at para. 94 that punitive damages are to be imposed only if there has been "high-handed, malicious, arbitrary or highly reprehensible misconduct that departs to a marked degree from ordinary standards of decent behaviour.");</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setting punitive damages, the court should ask itself "in particular" how an award would further one or other of the objectives of the law and what is the lowest award that would serve the purpose;</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"rational" to use punitive damages to relieve a wrongdoer of its profits where compensatory damages would amount to "nothing more than a licence fee to earn greater profits through outrageous disregard of the legal or equitable rights of others."</w:t>
      </w:r>
    </w:p>
    <w:p>
      <w:pPr>
        <w:numPr>
          <w:numId w:val="4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"formulaic" approach should be avoided. The court should focus not on the plaintiff's loss but on the defendant's misconduct;</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overall award should be rationally related to the objectives for which punitive damages are awarded;</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Juries should receive more help from judges concerning the function of punitive damages and factors governing such awards and the assessment of a proper amount;</w:t>
      </w:r>
    </w:p>
    <w:p>
      <w:pPr>
        <w:numPr>
          <w:numId w:val="4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Punitive damages are not "at large" and an appellate court may intervene if an award exceeds the outer boundaries of a rational and measured response to the facts of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xml:space="preserve">  In addition, punitive damages are considered only after the remainder of the damage award has been determined because if the other components are sufficient to meet the objectives of punitive damages, there is no need for a further award: </w:t>
      </w:r>
      <w:r>
        <w:rPr>
          <w:rFonts w:ascii="arial" w:eastAsia="arial" w:hAnsi="arial" w:cs="arial"/>
          <w:i/>
          <w:color w:val="000000"/>
          <w:sz w:val="20"/>
          <w:lang w:val="en-US" w:eastAsia="en-US" w:bidi="ar-SA"/>
        </w:rPr>
        <w:t>Morrow</w:t>
      </w:r>
      <w:r>
        <w:rPr>
          <w:rFonts w:ascii="arial" w:eastAsia="arial" w:hAnsi="arial" w:cs="arial"/>
          <w:color w:val="000000"/>
          <w:sz w:val="20"/>
          <w:lang w:val="en-US" w:eastAsia="en-US" w:bidi="ar-SA"/>
        </w:rPr>
        <w:t xml:space="preserve"> at para. 300; </w:t>
      </w:r>
      <w:r>
        <w:rPr>
          <w:rFonts w:ascii="arial" w:eastAsia="arial" w:hAnsi="arial" w:cs="arial"/>
          <w:i/>
          <w:color w:val="000000"/>
          <w:sz w:val="20"/>
          <w:lang w:val="en-US" w:eastAsia="en-US" w:bidi="ar-SA"/>
        </w:rPr>
        <w:t>Rycroft</w:t>
      </w:r>
      <w:r>
        <w:rPr>
          <w:rFonts w:ascii="arial" w:eastAsia="arial" w:hAnsi="arial" w:cs="arial"/>
          <w:color w:val="000000"/>
          <w:sz w:val="20"/>
          <w:lang w:val="en-US" w:eastAsia="en-US" w:bidi="ar-SA"/>
        </w:rPr>
        <w:t xml:space="preserve"> at para. 164.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In my view, there are intangible elements to Ms. Singh's suffering as a result of the assault that have not been adequately compensated by the non-pecuniary damages award. Ms. Singh was pushed to the floor by a virtual stranger out of the blue, in the presence of her friends and acquaintances. This was embarrassing. She was humiliated in front of her community. She lost friendships as a result. Much of her social network was destroyed. These circumstances warrant additional compensation to augment the non-pecuniary damages already awarded. I award Ms. Singh $10,000 in aggravated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Dr. Reddy's conduct was clearly wrong and it warrants sanction. There is a need to denounce and deter such self-indulgent, uncivilized, and dangerous conduct. However, I have already awarded Ms. Singh damages exceeding $350,000. In my view, an award of that magnitude, which is not likely to be covered by any insurance policy, sufficiently achieves the objectives of retribution, deterrence and denunciation. Accordingly, I decline to make a punitive damages award.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Health Care Costs Recovery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xml:space="preserve">  Pursuant to s. 16 of the </w:t>
      </w:r>
      <w:r>
        <w:rPr>
          <w:rFonts w:ascii="arial" w:eastAsia="arial" w:hAnsi="arial" w:cs="arial"/>
          <w:i/>
          <w:color w:val="000000"/>
          <w:sz w:val="20"/>
          <w:lang w:val="en-US" w:eastAsia="en-US" w:bidi="ar-SA"/>
        </w:rPr>
        <w:t>Health Care Costs Recovery Act</w:t>
      </w:r>
      <w:r>
        <w:rPr>
          <w:rFonts w:ascii="arial" w:eastAsia="arial" w:hAnsi="arial" w:cs="arial"/>
          <w:color w:val="000000"/>
          <w:sz w:val="20"/>
          <w:lang w:val="en-US" w:eastAsia="en-US" w:bidi="ar-SA"/>
        </w:rPr>
        <w:t>, the Minister of Health has provided a certificate dated July 2, 2019, claiming the return of $8,575.23 for the cost of healthcare services provided to Ms. Singh. The defence concedes liability for that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In summary, the damages awarded to Ms. Singh 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69"/>
        <w:gridCol w:w="324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w:t>
            </w:r>
          </w:p>
        </w:tc>
        <w:tc>
          <w:tcPr>
            <w:tcW w:w="317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$108,000.00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loss of income earning capacity (gross)</w:t>
            </w:r>
          </w:p>
        </w:tc>
        <w:tc>
          <w:tcPr>
            <w:tcW w:w="317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$130,172.00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Future loss of income earning capacity</w:t>
            </w:r>
          </w:p>
        </w:tc>
        <w:tc>
          <w:tcPr>
            <w:tcW w:w="317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$96,260.00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housekeeping capacity</w:t>
            </w:r>
          </w:p>
        </w:tc>
        <w:tc>
          <w:tcPr>
            <w:tcW w:w="317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 of future care</w:t>
            </w:r>
          </w:p>
        </w:tc>
        <w:tc>
          <w:tcPr>
            <w:tcW w:w="317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317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$2,455.01</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Aggravated damages</w:t>
            </w:r>
          </w:p>
        </w:tc>
        <w:tc>
          <w:tcPr>
            <w:tcW w:w="317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$10,000.00</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xml:space="preserve">  In addition, pursuant to the </w:t>
      </w:r>
      <w:r>
        <w:rPr>
          <w:rFonts w:ascii="arial" w:eastAsia="arial" w:hAnsi="arial" w:cs="arial"/>
          <w:i/>
          <w:color w:val="000000"/>
          <w:sz w:val="20"/>
          <w:lang w:val="en-US" w:eastAsia="en-US" w:bidi="ar-SA"/>
        </w:rPr>
        <w:t>Health Care Costs Recovery Act</w:t>
      </w:r>
      <w:r>
        <w:rPr>
          <w:rFonts w:ascii="arial" w:eastAsia="arial" w:hAnsi="arial" w:cs="arial"/>
          <w:color w:val="000000"/>
          <w:sz w:val="20"/>
          <w:lang w:val="en-US" w:eastAsia="en-US" w:bidi="ar-SA"/>
        </w:rPr>
        <w:t>, the province of British Columbia is entitled to $8,575.23.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I have not expressed the total of the damages awarded because the past loss of income earning capacity award has been quantified on a pre-tax basis. I leave the calculation of the tax consequences and the issue of pre-judgment interest for the parties to resolve. If counsel are unable to reach agreement on these matters, they may make arrangements, through Supreme Court Scheduling, to speak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That leaves the issue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After I granted judgment in Ms. Singh's favour following the liability portion of the trial, Ms. Singh applied for special costs of that portion. Her application was heard on July 5, 2018. I dismissed it as premature because she had not yet obtained any remedy, but granted her leave to reapply. Her written submissions on the damages assessment state that she seeks special costs for the liability portion of the trial and costs at Scale B for the damages assessment portion. No additional submissions were made on her behalf in support of her claim for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I have reconsidered the costs submissions advanced on behalf of Ms. Singh and Dr. Reddy on July 5, 2018. In summary, Ms. Singh submitted that special costs of the liability portion of the trial are warranted because she says:</w:t>
      </w:r>
      <w:r>
        <w:rPr>
          <w:rFonts w:ascii="arial" w:eastAsia="arial" w:hAnsi="arial" w:cs="arial"/>
          <w:sz w:val="20"/>
          <w:lang w:val="en-US" w:eastAsia="en-US" w:bidi="ar-SA"/>
        </w:rPr>
        <w:cr/>
      </w:r>
    </w:p>
    <w:p>
      <w:pPr>
        <w:numPr>
          <w:numId w:val="4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Reddy gave untrue, misleading and/or fabricated evidence about her involvement in the assault, which forced Ms. Singh to the difficult task of proving liability, which in turn caused her significant time and expense;</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defending the claim, Dr. Reddy made prejudicial claims about Ms. Singh's conduct, which were damaging to Ms. Singh's reputation;</w:t>
      </w:r>
    </w:p>
    <w:p>
      <w:pPr>
        <w:numPr>
          <w:numId w:val="4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Rangaiya attempted to dissuade Mr. Jagroop from testifying at the liability portion of the trial in support of Ms. Singh's case; and</w:t>
      </w:r>
    </w:p>
    <w:p>
      <w:pPr>
        <w:numPr>
          <w:numId w:val="4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Reddy unreasonably delayed in responding to Ms. Singh's demand for production of certain medical records, was not forthright in her testimony at the liability portion of the trial about her efforts to obtain those records, and swore an intentionally false or misleading affidavit concerning those efforts in opposition to Ms. Singh's efforts to obtain interlocutory relief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xml:space="preserve">  While party and party costs are intended to partially indemnify the successful litigants, deter frivolous actions and defences, encourage both parties to make reasonable offers to settle and discourage improper or unnecessary steps in the litigation, special costs, in addition to their compensatory function, also serve a punitive or deterrent purpose, and are reserved for cases involving scandalous, outrageous or reprehensible conduct: </w:t>
      </w:r>
      <w:r>
        <w:rPr>
          <w:rFonts w:ascii="arial" w:eastAsia="arial" w:hAnsi="arial" w:cs="arial"/>
          <w:i/>
          <w:color w:val="000000"/>
          <w:sz w:val="20"/>
          <w:lang w:val="en-US" w:eastAsia="en-US" w:bidi="ar-SA"/>
        </w:rPr>
        <w:t>Nazmdeh v. Spraggs</w:t>
      </w:r>
      <w:r>
        <w:rPr>
          <w:rFonts w:ascii="arial" w:eastAsia="arial" w:hAnsi="arial" w:cs="arial"/>
          <w:color w:val="000000"/>
          <w:sz w:val="20"/>
          <w:lang w:val="en-US" w:eastAsia="en-US" w:bidi="ar-SA"/>
        </w:rPr>
        <w:t xml:space="preserve">, </w:t>
      </w:r>
      <w:hyperlink r:id="rId768" w:history="1">
        <w:r>
          <w:rPr>
            <w:rFonts w:ascii="arial" w:eastAsia="arial" w:hAnsi="arial" w:cs="arial"/>
            <w:i/>
            <w:color w:val="0077CC"/>
            <w:sz w:val="20"/>
            <w:u w:val="single"/>
            <w:shd w:val="clear" w:color="auto" w:fill="FFFFFF"/>
            <w:lang w:val="en-US" w:eastAsia="en-US" w:bidi="ar-SA"/>
          </w:rPr>
          <w:t>2010 BCCA 131</w:t>
        </w:r>
      </w:hyperlink>
      <w:r>
        <w:rPr>
          <w:rFonts w:ascii="arial" w:eastAsia="arial" w:hAnsi="arial" w:cs="arial"/>
          <w:color w:val="000000"/>
          <w:sz w:val="20"/>
          <w:lang w:val="en-US" w:eastAsia="en-US" w:bidi="ar-SA"/>
        </w:rPr>
        <w:t xml:space="preserve"> at 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xml:space="preserve">  The standard of reprehensible conduct warranting an award of special costs encompasses not only scandalous or outrageous conduct, but also milder forms of misconduct deserving of the court's reproof or rebuke: </w:t>
      </w:r>
      <w:r>
        <w:rPr>
          <w:rFonts w:ascii="arial" w:eastAsia="arial" w:hAnsi="arial" w:cs="arial"/>
          <w:i/>
          <w:color w:val="000000"/>
          <w:sz w:val="20"/>
          <w:lang w:val="en-US" w:eastAsia="en-US" w:bidi="ar-SA"/>
        </w:rPr>
        <w:t>Garcia v. Crestbrook Forest Industries Ltd</w:t>
      </w:r>
      <w:r>
        <w:rPr>
          <w:rFonts w:ascii="arial" w:eastAsia="arial" w:hAnsi="arial" w:cs="arial"/>
          <w:color w:val="000000"/>
          <w:sz w:val="20"/>
          <w:lang w:val="en-US" w:eastAsia="en-US" w:bidi="ar-SA"/>
        </w:rPr>
        <w:t xml:space="preserve">. </w:t>
      </w:r>
      <w:hyperlink r:id="rId769" w:history="1">
        <w:r>
          <w:rPr>
            <w:rFonts w:ascii="arial" w:eastAsia="arial" w:hAnsi="arial" w:cs="arial"/>
            <w:i/>
            <w:color w:val="0077CC"/>
            <w:sz w:val="20"/>
            <w:u w:val="single"/>
            <w:shd w:val="clear" w:color="auto" w:fill="FFFFFF"/>
            <w:lang w:val="en-US" w:eastAsia="en-US" w:bidi="ar-SA"/>
          </w:rPr>
          <w:t>(1994), 9 B.C.L.R. (3d) 242</w:t>
        </w:r>
      </w:hyperlink>
      <w:r>
        <w:rPr>
          <w:rFonts w:ascii="arial" w:eastAsia="arial" w:hAnsi="arial" w:cs="arial"/>
          <w:color w:val="000000"/>
          <w:sz w:val="20"/>
          <w:lang w:val="en-US" w:eastAsia="en-US" w:bidi="ar-SA"/>
        </w:rPr>
        <w:t xml:space="preserve"> (CA) at para. 17. Having said that, the Court must exercise restraint in awarding special costs; the party seeking special costs must demonstrate exceptional circumstances; and, while the concept of "reprehensibility" captures different types of misconduct, not all misconduct is encompassed by that term: </w:t>
      </w:r>
      <w:r>
        <w:rPr>
          <w:rFonts w:ascii="arial" w:eastAsia="arial" w:hAnsi="arial" w:cs="arial"/>
          <w:i/>
          <w:color w:val="000000"/>
          <w:sz w:val="20"/>
          <w:lang w:val="en-US" w:eastAsia="en-US" w:bidi="ar-SA"/>
        </w:rPr>
        <w:t>Westsea Construction Ltd. v. 0759533 BC Ltd.</w:t>
      </w:r>
      <w:r>
        <w:rPr>
          <w:rFonts w:ascii="arial" w:eastAsia="arial" w:hAnsi="arial" w:cs="arial"/>
          <w:color w:val="000000"/>
          <w:sz w:val="20"/>
          <w:lang w:val="en-US" w:eastAsia="en-US" w:bidi="ar-SA"/>
        </w:rPr>
        <w:t xml:space="preserve">, </w:t>
      </w:r>
      <w:hyperlink r:id="rId277" w:history="1">
        <w:r>
          <w:rPr>
            <w:rFonts w:ascii="arial" w:eastAsia="arial" w:hAnsi="arial" w:cs="arial"/>
            <w:i/>
            <w:color w:val="0077CC"/>
            <w:sz w:val="20"/>
            <w:u w:val="single"/>
            <w:shd w:val="clear" w:color="auto" w:fill="FFFFFF"/>
            <w:lang w:val="en-US" w:eastAsia="en-US" w:bidi="ar-SA"/>
          </w:rPr>
          <w:t>2013 BCSC 1352</w:t>
        </w:r>
      </w:hyperlink>
      <w:r>
        <w:rPr>
          <w:rFonts w:ascii="arial" w:eastAsia="arial" w:hAnsi="arial" w:cs="arial"/>
          <w:color w:val="000000"/>
          <w:sz w:val="20"/>
          <w:lang w:val="en-US" w:eastAsia="en-US" w:bidi="ar-SA"/>
        </w:rPr>
        <w:t xml:space="preserve"> at para. 73.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xml:space="preserve">  In my view, Dr. Reddy's testimony denying any involvement in the assault and about Ms. Singh's conduct cannot be characterized as reprehensible in the sense required to justify an award of special costs. My conclusion on the liability portion of the trial was based on my credibility findings, and I did not find Dr. Reddy credible. However, as I emphasized in my reasons for judgment on the liability portion, the standard of proof is a balance of probabilities. My credibility findings do not amount to a finding that Dr. Reddy lied under oath about her involvement in the assault or about Ms. Singh's conduct. Rather, I merely preferred the testimony of Ms. Singh. As specifically observed by the Court of Appeal in </w:t>
      </w:r>
      <w:r>
        <w:rPr>
          <w:rFonts w:ascii="arial" w:eastAsia="arial" w:hAnsi="arial" w:cs="arial"/>
          <w:i/>
          <w:color w:val="000000"/>
          <w:sz w:val="20"/>
          <w:lang w:val="en-US" w:eastAsia="en-US" w:bidi="ar-SA"/>
        </w:rPr>
        <w:t>Garcia</w:t>
      </w:r>
      <w:r>
        <w:rPr>
          <w:rFonts w:ascii="arial" w:eastAsia="arial" w:hAnsi="arial" w:cs="arial"/>
          <w:color w:val="000000"/>
          <w:sz w:val="20"/>
          <w:lang w:val="en-US" w:eastAsia="en-US" w:bidi="ar-SA"/>
        </w:rPr>
        <w:t xml:space="preserve"> at para. 23, taking a position that is ultimately found to have little merit is not in itself a reason for awarding special costs; something more is required, such as improper conduct, before the conduct becomes sufficiently reprehensible to warrant an award of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Similarly, while I accepted Mr. Jagroop's testimony to the effect that Mr. Rangaiya attempted to dissuade Mr. Jagroop from testifying, I made no finding linking Dr. Reddy to Mr. Rangaiya's conduct. While it was apparent that Mr. Rangaiya remained close to Dr. Reddy's husband, that is an insufficient basis upon which to conclude that Dr. Reddy caused Mr. Rangaiya to act as 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However, my conclusions about Dr. Reddy's testimony and conduct in relation to the medical records demanded by Ms. Singh are sufficient to ground a finding that Dr. Reddy behaved in a manner that was reprehensible and to justify an award of special costs against Dr. Reddy for the ultimately unsuccessful steps taken by Ms. Singh to obtain the records in question. This would include correspondence concerning her demand for the records, any interlocutory applications related to the records, and any associated steps.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I found that Dr. Reddy was not forthright about her efforts to locate the medical records in question and, by clear implication, she made deliberately inaccurate statements in an affidavit about those efforts. The records were sought by Ms. Singh in an effort to prove her theory that on the evening of the dance, Dr. Reddy was suffering from depression and had combined anti-depressant medication with alcohol. I was not prepared to draw any particular negative interference against Dr. Reddy as a result of her failure to produce the records and I made no findings about her condition on the evening in question. Accordingly, the absence of the records was, ultimately, of no consequence to the outcome of the liability portion of the trial. Nevertheless, Dr. Reddy's misconduct was serious and displayed indifference to the integrity of the administration of justice. It is essential to the fairness of civil trials that parties comply with their document production obligations. Dr. Reddy had been ordered to produce the records. Her misconduct caused Ms. Singh to incur unnecessary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For these reasons, Ms. Singh shall have special costs of all steps taken in the litigation in relation to her efforts to obtain Dr. Reddy's medical records, and costs at Scale B in relation to the balance of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 WARREN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3" style="position:absolute;z-index:2517985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70"/>
          <w:headerReference w:type="default" r:id="rId771"/>
          <w:footerReference w:type="even" r:id="rId772"/>
          <w:footerReference w:type="default" r:id="rId773"/>
          <w:headerReference w:type="first" r:id="rId774"/>
          <w:footerReference w:type="first" r:id="rId77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76" w:history="1">
        <w:r>
          <w:rPr>
            <w:rFonts w:ascii="arial" w:eastAsia="arial" w:hAnsi="arial" w:cs="arial"/>
            <w:b/>
            <w:bCs/>
            <w:i/>
            <w:color w:val="0077CC"/>
            <w:kern w:val="32"/>
            <w:sz w:val="28"/>
            <w:szCs w:val="32"/>
            <w:u w:val="single"/>
            <w:shd w:val="clear" w:color="auto" w:fill="FFFFFF"/>
            <w:lang w:val="en-US" w:eastAsia="en-US" w:bidi="ar-SA"/>
          </w:rPr>
          <w:t>Strauss v. Jarvis, [2005] B.C.J. No. 2946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A.J. Wilson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June 2,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Released: February 24,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Kamloops Registry No. 34683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2946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1830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148 A.C.W.S. (3d) 707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Imre Strauss, also known as Jim Strauss, plaintiff, and Sandra Marie Jarvis, Rodney Neske, Dennis W. Shelley, Brian Mori, Ronald John Humenchuk, William Gary Baird, Patricia Evelyne Mckenzie, Tony Halisky and Attorney General of Canada,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(41 paras.)</w:t>
      </w:r>
    </w:p>
    <w:p>
      <w:pPr>
        <w:jc w:val="both"/>
        <w:rPr>
          <w:rFonts w:ascii="arial" w:eastAsia="arial" w:hAnsi="arial" w:cs="arial"/>
          <w:sz w:val="20"/>
          <w:lang w:val="en-US" w:eastAsia="en-US" w:bidi="ar-SA"/>
        </w:rPr>
      </w:pPr>
      <w:bookmarkStart w:id="126" w:name="Counsel_37"/>
      <w:bookmarkEnd w:id="12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4" style="position:absolute;z-index:2516981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M.J. Sutherland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D.A. McMillan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7" w:name="Judgment_37"/>
      <w:bookmarkEnd w:id="127"/>
      <w:r>
        <w:pict>
          <v:line id="_x0000_s1155" style="position:absolute;z-index:25174937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5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8" w:name="A.F. WILSON J. (orally)"/>
            <w:bookmarkEnd w:id="128"/>
            <w:r>
              <w:rPr>
                <w:rFonts w:ascii="arial" w:eastAsia="arial" w:hAnsi="arial" w:cs="arial"/>
                <w:b/>
                <w:color w:val="000000"/>
                <w:sz w:val="30"/>
                <w:lang w:val="en-US" w:eastAsia="en-US" w:bidi="ar-SA"/>
              </w:rPr>
              <w:t>A.F. WILSON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appeal from the decision of a Master, dated April 5th, 2005, dismissing the application of the plaintiff to join as additional defendants in the action Anthony Varesi, a lawyer; Gillespie, Renkema, Barnett and Broadway, the law firm by whom he is employed; and David Edwards, a lawyer employed by Health Canada Legal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action, which was commenced on June 11th, 2003, as amended in January of 2005, alleges four causes of action against eight personal defendants, all alleged to be employees of Health Canada. After the amendments made in January of 2005, counsel says that there are four causes of action alleged: first, malicious prosecution; second, negligent prosecution, (although from the pleadings it may be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both in investigation and prosecution that is alleged); and third, malfeasance in office (which does not seem to be specifically pled). There has also been a reference to abuse of process (which also has not been specifically pled), but appears to be more or less the same allegations as the malfeasance. Finally, a breach of the plaintiff's rights under Section 7 of the Charter of Rights and Freedoms is alleged.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claims are based on the fact that seventy-three charges were laid against the plaintiff under the Food and Drug Act, </w:t>
      </w:r>
      <w:hyperlink r:id="rId777" w:history="1">
        <w:r>
          <w:rPr>
            <w:rFonts w:ascii="arial" w:eastAsia="arial" w:hAnsi="arial" w:cs="arial"/>
            <w:i/>
            <w:color w:val="0077CC"/>
            <w:sz w:val="20"/>
            <w:u w:val="single"/>
            <w:shd w:val="clear" w:color="auto" w:fill="FFFFFF"/>
            <w:lang w:val="en-US" w:eastAsia="en-US" w:bidi="ar-SA"/>
          </w:rPr>
          <w:t>R.S.C. 1985, ch. F-27</w:t>
        </w:r>
      </w:hyperlink>
      <w:r>
        <w:rPr>
          <w:rFonts w:ascii="arial" w:eastAsia="arial" w:hAnsi="arial" w:cs="arial"/>
          <w:color w:val="000000"/>
          <w:sz w:val="20"/>
          <w:lang w:val="en-US" w:eastAsia="en-US" w:bidi="ar-SA"/>
        </w:rPr>
        <w:t>, on January 10th, 2003, and were subsequently stayed. The plaintiff alleges that that was part of a long-standing acrimonious relationship between himself, as a herbalist, and Health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There are specific allegations in paragraphs 15 to 19 of the Amended Statement of Claim, which would be unchanged in the proposed Further Amended Statement of Claim. As the specific pleadings are critical to this application, I think it useful to set them out, even though they are set out in the Master's decision. I am referring to paragraphs 15 to 19 of the proposed Amended Amended Statement of Claim, if the application is allowed:</w:t>
      </w:r>
      <w:r>
        <w:rPr>
          <w:rFonts w:ascii="arial" w:eastAsia="arial" w:hAnsi="arial" w:cs="arial"/>
          <w:sz w:val="20"/>
          <w:lang w:val="en-US" w:eastAsia="en-US" w:bidi="ar-SA"/>
        </w:rPr>
        <w:cr/>
      </w:r>
    </w:p>
    <w:p>
      <w:pPr>
        <w:numPr>
          <w:numId w:val="1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and each of them acted without reasonable and probable cause. The defendants and each of them lacked an honest belief in the guilt of the plaintiff based upon a full conviction founded on reasonable grounds of the existence of a state of circumstances which, assuming them to be true, would reasonably lead any ordinarily prudent and cautious person in the position of the defendants to the conclusion that the person charged was probably guilty with the crime imputed.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and each of them were activated by malice or a primary purpose other than that of carrying the law into effect.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Particulars of the defendants' malice are as follows:</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None of the evidence, including corporate documents, corporate searches or property searches in the possession of the defendants disclosed any relationship between the plaintiff and Strauss Enterprises Ltd. at the time of the alleged offences. The purchases made by the compliance officers on or about May 29th, 2001, were not made from the plaintiff. The inclusion of the plaintiff as an accused and the swearing of the information was a malicious act intended to bring public humiliation to the plaintiff.</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targeted by the defendants and each of them for a number of years. The plaintiff has consistently denied their charges. Charging the plaintiff was a malicious act and an intent to punish him for his beliefs and based on past history with the defendants and each of them and not on evidence or reasonable grounds that the plaintiff had committed the offences alleged.</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All of the charges stem from an investigation on or about May 29th, 2001. Charges were not laid until January 10th, 2003, in court file 7170, the Information. One of the other accused, Strauss Enterprises Ltd., was at that time sponsor of the British Columbia Curling Championships and was garnering media attention. The delay between the investigation and the timing of the charges was calculated to bring the most public humiliation and damage to the plaintiff and his reputation.</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and each of them knew or ought to have known that the plaintiff was vacationing in Australia when the charges were brought and knew or ought to have known the plaintiff would have returned to Canada to face charges.</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charges were meant to harass, intimidate, embarrass, humiliate and bring additional expense to the plaintiff.</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the plaintiff claims that the defendants and each of them acted with the knowledge that the decision to prosecute the plaintiff was invalid and would cause injury to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Particulars of the defendants' knowledge are as follows and [(a), again, is comparable to paragraph (a) in paragraph 16, relating that there was no connection between the plaintiff and Strauss Enterprises Ltd.]</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spite of this, the defendants and each of them proceeded with the charges against the plaintiff, knowing that they could not be substantiated in a court of law.</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the plaintiff claims that his Section 7 right under the Charter of Rights and Freedoms, Constitution Act 1982, Schedule B has been violated by the defendants and each of them. Particulars of the defendants' breaches are as follows:</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Charging of the plaintiff with seventy-three counts under the Food and Drugs Act and the Food and Drug Regulations when he was not a director, executive or employee of any of the corporate accused alleged by the defendants to have committed these offences.</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the plaintiff claims that the defendants and each of them owed a duty of care to the plaintiff. The defendants and each of them breached their duty of care and the plaintiff has suffered damage as a result of this breach, the particulars of which are as follows: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and each of them owe a duty to carry out their public office in accordance with the principles of natural justice and in accordance with the law.</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None of the evidence in possession of the defendants and each of them at the time the charges were laid on January 10th, 2003, including corporate documents, corporate searches or property searches in the possession of the defendants disclosed any relationship between the plaintiff and Strauss Enterprises Ltd. at the time of the alleged offences. The purchases made by the compliance officers on or about May 29th, 2001, were not made from the plaintiff.</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and each of them were negligent in the conduct of their investigation which should have determined that the plaintiff had no legal connection to the corporate accused or the actual sale of the product. In view of this, there was not a substantial likelihood of conviction and charges should never have been brought against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It is notable that the allegations are in each case against "the defendants and each of them", without specifying the acts alleged on the part of each individual defendant. There are no new allegations in the proposed Amended Amended Statement of Claim to follow joinder of the proposed new defendants - what counsel for the existing defendants and the proposed defendants referred to as "the fundamental flaw in the plaintiff's application". That fact was obviously significant in the decision of the Master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first issue for me to consider is the standard of appeal. The scope of the court on the review of a Master's decision is set out in the well-known case of Abermin Corp. v. Granges Exploration Ltd. </w:t>
      </w:r>
      <w:hyperlink r:id="rId778" w:history="1">
        <w:r>
          <w:rPr>
            <w:rFonts w:ascii="arial" w:eastAsia="arial" w:hAnsi="arial" w:cs="arial"/>
            <w:i/>
            <w:color w:val="0077CC"/>
            <w:sz w:val="20"/>
            <w:u w:val="single"/>
            <w:shd w:val="clear" w:color="auto" w:fill="FFFFFF"/>
            <w:lang w:val="en-US" w:eastAsia="en-US" w:bidi="ar-SA"/>
          </w:rPr>
          <w:t>(1990), 45 B.C.L.R. (2d) 188</w:t>
        </w:r>
      </w:hyperlink>
      <w:r>
        <w:rPr>
          <w:rFonts w:ascii="arial" w:eastAsia="arial" w:hAnsi="arial" w:cs="arial"/>
          <w:color w:val="000000"/>
          <w:sz w:val="20"/>
          <w:lang w:val="en-US" w:eastAsia="en-US" w:bidi="ar-SA"/>
        </w:rPr>
        <w:t>. Mr. Justice Macdonald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appeal from a Master's order in a purely interlocutory matter should not be entertained unless the order was clearly wrong. However, where the ruling of the Master raises questions which are vital to the final issue in the case, or results in one of those final orders which a Master is permitted to make, a rehearing is the appropriate form of appeal. Unless an order for the production of fresh evidence is made, that rehearing will proceed on the basis of the material which was before the Master. In those latter situations, even where the exercise of discretion is involved, the judge appealed to may quite properly substitute his own view for that of the Master.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That raises the question if an application to join defendants, in particular the application to join the defendants in this case, is a "purely interlocutory matter" or one which raises questions which are "vital to the final issue in the case". Neither counsel were able to provide me with any cases on point, with respect to applications to join defendants, nor have I been able to locate any cases in my brief research. The issue is dealt with generally by MacLachlin and Taylor in B.C. Practice, 2nd edition. I do get some assistance from that. Under the heading "Test on Appeal" on page 53-21, under the heading "General Principles", the authors refer to the Abermin decision and to a number of cases following it. They then refer to Martell v. Ewos Canada Ltd. </w:t>
      </w:r>
      <w:hyperlink r:id="rId779" w:history="1">
        <w:r>
          <w:rPr>
            <w:rFonts w:ascii="arial" w:eastAsia="arial" w:hAnsi="arial" w:cs="arial"/>
            <w:i/>
            <w:color w:val="0077CC"/>
            <w:sz w:val="20"/>
            <w:u w:val="single"/>
            <w:shd w:val="clear" w:color="auto" w:fill="FFFFFF"/>
            <w:lang w:val="en-US" w:eastAsia="en-US" w:bidi="ar-SA"/>
          </w:rPr>
          <w:t>(2003), 37 C.P.C. (5th) 98</w:t>
        </w:r>
      </w:hyperlink>
      <w:r>
        <w:rPr>
          <w:rFonts w:ascii="arial" w:eastAsia="arial" w:hAnsi="arial" w:cs="arial"/>
          <w:color w:val="000000"/>
          <w:sz w:val="20"/>
          <w:lang w:val="en-US" w:eastAsia="en-US" w:bidi="ar-SA"/>
        </w:rPr>
        <w:t>, a decision of the British Columbia Supreme Court, which is stated to say that:</w:t>
      </w:r>
      <w:r>
        <w:rPr>
          <w:rFonts w:ascii="arial" w:eastAsia="arial" w:hAnsi="arial" w:cs="arial"/>
          <w:sz w:val="20"/>
          <w:lang w:val="en-US" w:eastAsia="en-US" w:bidi="ar-SA"/>
        </w:rPr>
        <w:cr/>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purely interlocutory matter is one in which the Master's decision does not limit a judge's discretion in determining or disposing of an issue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Then, under the heading "Whether interlocutory orders raise questions vital to the final issue in the proceeding", on page 53-21.2, the authors state that there have been a number of recent decisions dealing with the issue of whether an interlocutory order raises questions which are vital to the final issue in the proceeding, which suggest that the approach taken to the question by the court hearing the appeal from the Master's decision may be difficult to predict. They give a number of examples. The first which that may be relevant to this application is Horlock v. Horlock, </w:t>
      </w:r>
      <w:hyperlink r:id="rId780" w:history="1">
        <w:r>
          <w:rPr>
            <w:rFonts w:ascii="arial" w:eastAsia="arial" w:hAnsi="arial" w:cs="arial"/>
            <w:i/>
            <w:color w:val="0077CC"/>
            <w:sz w:val="20"/>
            <w:u w:val="single"/>
            <w:shd w:val="clear" w:color="auto" w:fill="FFFFFF"/>
            <w:lang w:val="en-US" w:eastAsia="en-US" w:bidi="ar-SA"/>
          </w:rPr>
          <w:t>[1993] B.C.J. No. 422</w:t>
        </w:r>
      </w:hyperlink>
      <w:r>
        <w:rPr>
          <w:rFonts w:ascii="arial" w:eastAsia="arial" w:hAnsi="arial" w:cs="arial"/>
          <w:color w:val="000000"/>
          <w:sz w:val="20"/>
          <w:lang w:val="en-US" w:eastAsia="en-US" w:bidi="ar-SA"/>
        </w:rPr>
        <w:t>, February 19th, 1993, No. 18382 Kamloops Registry, (B.C.S.C.). In it, the court held that a Master's order dismissing the defendants' application to include a psychological assessment of the plaintiff as part of a medical examination raised an issue that was vital to the final issue in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In Bojanowski v. Moschetti, </w:t>
      </w:r>
      <w:hyperlink r:id="rId781" w:history="1">
        <w:r>
          <w:rPr>
            <w:rFonts w:ascii="arial" w:eastAsia="arial" w:hAnsi="arial" w:cs="arial"/>
            <w:i/>
            <w:color w:val="0077CC"/>
            <w:sz w:val="20"/>
            <w:u w:val="single"/>
            <w:shd w:val="clear" w:color="auto" w:fill="FFFFFF"/>
            <w:lang w:val="en-US" w:eastAsia="en-US" w:bidi="ar-SA"/>
          </w:rPr>
          <w:t>[1993] B.C.J. No. 790</w:t>
        </w:r>
      </w:hyperlink>
      <w:r>
        <w:rPr>
          <w:rFonts w:ascii="arial" w:eastAsia="arial" w:hAnsi="arial" w:cs="arial"/>
          <w:color w:val="000000"/>
          <w:sz w:val="20"/>
          <w:lang w:val="en-US" w:eastAsia="en-US" w:bidi="ar-SA"/>
        </w:rPr>
        <w:t>, April 14th, 1993, No. B911757 Vancouver Registry, (B.C.S.C.), a Master's order limiting the independent medical examination by a neurologist to matters arising out of and concerning the long-term concussive events arising from the motor vehicle accidents that were the subject matter of the litigation was held to be vital to the final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In Camfrey Resources Ltd. v. Werbes, </w:t>
      </w:r>
      <w:hyperlink r:id="rId782" w:history="1">
        <w:r>
          <w:rPr>
            <w:rFonts w:ascii="arial" w:eastAsia="arial" w:hAnsi="arial" w:cs="arial"/>
            <w:i/>
            <w:color w:val="0077CC"/>
            <w:sz w:val="20"/>
            <w:u w:val="single"/>
            <w:shd w:val="clear" w:color="auto" w:fill="FFFFFF"/>
            <w:lang w:val="en-US" w:eastAsia="en-US" w:bidi="ar-SA"/>
          </w:rPr>
          <w:t>[1993] B.C.J. No. 632</w:t>
        </w:r>
      </w:hyperlink>
      <w:r>
        <w:rPr>
          <w:rFonts w:ascii="arial" w:eastAsia="arial" w:hAnsi="arial" w:cs="arial"/>
          <w:color w:val="000000"/>
          <w:sz w:val="20"/>
          <w:lang w:val="en-US" w:eastAsia="en-US" w:bidi="ar-SA"/>
        </w:rPr>
        <w:t>, March 23rd, 1993, No. C922204 Vancouver Registry, (B.C.S.C.), the court held that a Master's order dismissing the defendant's application for particulars of the Statement of Claim raised questions that were vital to the final issues in the case. That case seems to be about the closest on point to the situation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There was somewhat a different approach taken in another case referred to in MacLachlin and Taylor. That is Ho et al v. Ming Pao Newspapers (Western Canada) Ltd. et al, </w:t>
      </w:r>
      <w:hyperlink r:id="rId783" w:history="1">
        <w:r>
          <w:rPr>
            <w:rFonts w:ascii="arial" w:eastAsia="arial" w:hAnsi="arial" w:cs="arial"/>
            <w:i/>
            <w:color w:val="0077CC"/>
            <w:sz w:val="20"/>
            <w:u w:val="single"/>
            <w:shd w:val="clear" w:color="auto" w:fill="FFFFFF"/>
            <w:lang w:val="en-US" w:eastAsia="en-US" w:bidi="ar-SA"/>
          </w:rPr>
          <w:t>[1997] B.C.J. No. 2539</w:t>
        </w:r>
      </w:hyperlink>
      <w:r>
        <w:rPr>
          <w:rFonts w:ascii="arial" w:eastAsia="arial" w:hAnsi="arial" w:cs="arial"/>
          <w:color w:val="000000"/>
          <w:sz w:val="20"/>
          <w:lang w:val="en-US" w:eastAsia="en-US" w:bidi="ar-SA"/>
        </w:rPr>
        <w:t>, November 10th, 1997, No. C972398 Vancouver Registry, (B.C.S.C.), in which the court overturned the decision of a Master refusing production of documents in the possession of a non-party. The court held that since the documents were of importance to the outcome of the action, the test was not whether the Master's decision was clearly wrong. The court stated that if the reviewing judge is of the opinion that the Master's order will result in injustice, it has the power to remedy that injustice.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That seems to be comparable to the approach that counsel for the defendants says I should take. He concedes that I do have a discretion to review the Master's decision, but says I should do so only if there is palpable error or if the Master was clearly wrong. He submits that it is not vital to the outcome of the case to join the new defendants, as shown by the fact that no application was made until almost two years into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Counsel for the plaintiff says that the matter is vital to the case, in essence that the actions of the proposed new defendants are part of the chain of events leading to the prosecution. That is not his wording, but my characterization of his submissions regarding the involvement of the proposed new defendants, in that they are the ones who are alleged to have actually prepared and laid the seventy-three charges. He submits that it may be necessary, to succeed on a claim of malicious prosecution, to name the personal individuals who laid the charges. He refers, in that regard, to the first element set out by Mr. Justice Lamer in Nelles v. Ontario, </w:t>
      </w:r>
      <w:hyperlink r:id="rId784" w:history="1">
        <w:r>
          <w:rPr>
            <w:rFonts w:ascii="arial" w:eastAsia="arial" w:hAnsi="arial" w:cs="arial"/>
            <w:i/>
            <w:color w:val="0077CC"/>
            <w:sz w:val="20"/>
            <w:u w:val="single"/>
            <w:shd w:val="clear" w:color="auto" w:fill="FFFFFF"/>
            <w:lang w:val="en-US" w:eastAsia="en-US" w:bidi="ar-SA"/>
          </w:rPr>
          <w:t>[1989] 2 S.C.R. 170</w:t>
        </w:r>
      </w:hyperlink>
      <w:r>
        <w:rPr>
          <w:rFonts w:ascii="arial" w:eastAsia="arial" w:hAnsi="arial" w:cs="arial"/>
          <w:color w:val="000000"/>
          <w:sz w:val="20"/>
          <w:lang w:val="en-US" w:eastAsia="en-US" w:bidi="ar-SA"/>
        </w:rPr>
        <w:t xml:space="preserve"> as a requirement to succeed in an action for malicious prosecution. That is paragraph 42 of that decision:</w:t>
      </w:r>
      <w:r>
        <w:rPr>
          <w:rFonts w:ascii="arial" w:eastAsia="arial" w:hAnsi="arial" w:cs="arial"/>
          <w:sz w:val="20"/>
          <w:lang w:val="en-US" w:eastAsia="en-US" w:bidi="ar-SA"/>
        </w:rPr>
        <w:cr/>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proceedings must have been initiated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accept submissions of counsel for the plaintiff that this does raise a matter which may be vital to a determination of issues in the action. It may relate to the prospect of success of the claim of malicious prosecution generally, and the liability of the proposed defendants in particular. I do find that this is a matter where there should be, in essence, a rehearing. While I will give deference to the decision of the Master, it is thus proper to substitute my own view for that of the Master if my view differs.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As to the test to join a new defendant, that is set out in Rule 15(5)(a), the relevant subparagraphs of that rule being (ii) and (iii). Rule 15(5)(a)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on application by any person may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who ought to have been joined as a party or whose participation in the proceeding is necessary to ensure that all matters in the proceeding may be effectually adjudicated upon, be added or substituted as a party, and</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be added as a party where there may exist, between the person and any party to the proceeding, a question or issue relating to or connected</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any relief claimed in the proceeding, or</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the subject matter of the proceeding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which in the opinion of the court it would be just and convenient to determine as between the person and that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There is no issue as to the test to be applied. The leading case in British Columbia is the decision of Mr. Justice Lysyk of this court in Quintette Coal Ltd. v. Bow Valley Resource Services Ltd. </w:t>
      </w:r>
      <w:hyperlink r:id="rId785" w:history="1">
        <w:r>
          <w:rPr>
            <w:rFonts w:ascii="arial" w:eastAsia="arial" w:hAnsi="arial" w:cs="arial"/>
            <w:i/>
            <w:color w:val="0077CC"/>
            <w:sz w:val="20"/>
            <w:u w:val="single"/>
            <w:shd w:val="clear" w:color="auto" w:fill="FFFFFF"/>
            <w:lang w:val="en-US" w:eastAsia="en-US" w:bidi="ar-SA"/>
          </w:rPr>
          <w:t>(1986), 6 B.C.L.R. (2d) 347</w:t>
        </w:r>
      </w:hyperlink>
      <w:r>
        <w:rPr>
          <w:rFonts w:ascii="arial" w:eastAsia="arial" w:hAnsi="arial" w:cs="arial"/>
          <w:color w:val="000000"/>
          <w:sz w:val="20"/>
          <w:lang w:val="en-US" w:eastAsia="en-US" w:bidi="ar-SA"/>
        </w:rPr>
        <w:t>. That was actually an application by the defendant, Bow Valley, to add Denison as a defendant by counterclaim. At paragraph 7, Mr. Justice Lysyk said:</w:t>
      </w:r>
      <w:r>
        <w:rPr>
          <w:rFonts w:ascii="arial" w:eastAsia="arial" w:hAnsi="arial" w:cs="arial"/>
          <w:sz w:val="20"/>
          <w:lang w:val="en-US" w:eastAsia="en-US" w:bidi="ar-SA"/>
        </w:rPr>
        <w:cr/>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dispute between the parties on the interpretation of these rules or the requirement imposed by them. They agree that to satisfy the requirements of Rule 15(5)(a) for adding Denison as a party, Bow Valley must establish three things: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there exists between Denison and Bow Valley or Quintette a question or issue;</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this question or issue relates to or is connected with any relief or remedy claimed in the counterclaim against Quintette or with the subject matter of that counterclaim;</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it would be just and convenient to determine this question or issue between Denison and Bow Valley in the same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Then at paragraph 8 he stated:</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common ground that the governing principles are those set out by Macfarlane J.A. delivering the majority judgment for the Court of Appeal in MacMillan Bloedel Ltd. v. Binstead </w:t>
      </w:r>
      <w:hyperlink r:id="rId786" w:history="1">
        <w:r>
          <w:rPr>
            <w:rFonts w:ascii="arial" w:eastAsia="arial" w:hAnsi="arial" w:cs="arial"/>
            <w:i/>
            <w:color w:val="0077CC"/>
            <w:sz w:val="20"/>
            <w:u w:val="single"/>
            <w:shd w:val="clear" w:color="auto" w:fill="FFFFFF"/>
            <w:lang w:val="en-US" w:eastAsia="en-US" w:bidi="ar-SA"/>
          </w:rPr>
          <w:t>(1981), 58 B.C.L.R. 173</w:t>
        </w:r>
      </w:hyperlink>
      <w:r>
        <w:rPr>
          <w:rFonts w:ascii="arial" w:eastAsia="arial" w:hAnsi="arial" w:cs="arial"/>
          <w:color w:val="000000"/>
          <w:sz w:val="20"/>
          <w:lang w:val="en-US" w:eastAsia="en-US" w:bidi="ar-SA"/>
        </w:rPr>
        <w:t xml:space="preserve"> at 175: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seems to me clear that one of the functions of the chambers judge hearing an application under Rule 15(5)(a)(iii) must be to decide whether there may exist between the appropriate parties a question which can be answered or an issue which can be decided by a court of law or by a judge exercising jurisdiction in a judicial capacity and to see through whatever means, and not entirely affidavits, that the question or issue is a real one in the sense that it is not entirely frivolous and would result in courts wasting judicial time. It is not the function, in my opinion, to decide whether, on any kind of a balance, it is likely that the plaintiff would be able to prove its allegations on a balance of probabilities or to any other degree beyond showing that there may exist such a question or such an issue. As stated by Macdonald J. in Belzberg v. O'Brian Financial Corporation </w:t>
      </w:r>
      <w:hyperlink r:id="rId787" w:history="1">
        <w:r>
          <w:rPr>
            <w:rFonts w:ascii="arial" w:eastAsia="arial" w:hAnsi="arial" w:cs="arial"/>
            <w:i/>
            <w:color w:val="0077CC"/>
            <w:sz w:val="20"/>
            <w:u w:val="single"/>
            <w:shd w:val="clear" w:color="auto" w:fill="FFFFFF"/>
            <w:lang w:val="en-US" w:eastAsia="en-US" w:bidi="ar-SA"/>
          </w:rPr>
          <w:t>(1984), 52 B.C.L.R. 125</w:t>
        </w:r>
      </w:hyperlink>
      <w:r>
        <w:rPr>
          <w:rFonts w:ascii="arial" w:eastAsia="arial" w:hAnsi="arial" w:cs="arial"/>
          <w:color w:val="000000"/>
          <w:sz w:val="20"/>
          <w:lang w:val="en-US" w:eastAsia="en-US" w:bidi="ar-SA"/>
        </w:rPr>
        <w:t>, (B.C.S.C.), at 126 to 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test is not a difficult one to meet and it is not for the chambers judge to make any assessment of the petitioner's chance of success against the party proposed to be added beyond a determination that his claim is not entirely frivolous.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With respect, it is my view that the learned Master applied a higher standard than that, that she applied too high a standard in determining the plaintiff's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Part of the decision depended on the nature of the pleadings. Under Rule 19(1):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pleading shall be as brief as the nature of the case will permit and must contain a statement in summary form of the material facts on which the party relies, but not the evidence by which the facts are to be 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That sub rule was referred to by the Master.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She was referred to the decision of Mr. Justice Ken Smith in Homalco Indian Band v. British Columbia, </w:t>
      </w:r>
      <w:hyperlink r:id="rId788" w:history="1">
        <w:r>
          <w:rPr>
            <w:rFonts w:ascii="arial" w:eastAsia="arial" w:hAnsi="arial" w:cs="arial"/>
            <w:i/>
            <w:color w:val="0077CC"/>
            <w:sz w:val="20"/>
            <w:u w:val="single"/>
            <w:shd w:val="clear" w:color="auto" w:fill="FFFFFF"/>
            <w:lang w:val="en-US" w:eastAsia="en-US" w:bidi="ar-SA"/>
          </w:rPr>
          <w:t>[1998] B.C.J. No. 2703</w:t>
        </w:r>
      </w:hyperlink>
      <w:r>
        <w:rPr>
          <w:rFonts w:ascii="arial" w:eastAsia="arial" w:hAnsi="arial" w:cs="arial"/>
          <w:color w:val="000000"/>
          <w:sz w:val="20"/>
          <w:lang w:val="en-US" w:eastAsia="en-US" w:bidi="ar-SA"/>
        </w:rPr>
        <w:t xml:space="preserve"> (S.C.). In that case, Mr. Justice Smith, at paragraph 4, referred to the statement of claim as being prolix and convoluted and violating several of the rules of pleadings set out in Rule 19 of the Rules of Court and in the case law. Rule 19(1) requires the pleader to state in summary form, as briefly as the nature of the case will permit, the material facts upon which the party relies. And then in paragraph (5)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ultimate function of pleadings is to clearly define the issues of fact and law to be determined by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At paragraph 21 of the Reasons for Judgment, the Master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 plaintiff must identify the question or issue between the proposed defendants and the plaintiff and point to the material facts on which the plaintiff relies.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As referred to earlier, counsel for the proposed defendants submits that the fundamental flaw of the application is that the proposed new Amended Amended Statement of Claim would not make any specific allegations against the proposed new defendants; it just seeks to expand the allegations made against the existing defendants. Counsel for the plaintiff, apart from pointing out that there is no requirement to actually include the proposed amendments in the application, submits that the proposed Amended Amended Statement of Claim is sufficiently specific. He also points out Rule 19(23) which provides, under the heading "Allegation of Malice":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sufficient to allege malice, fraudulent intention, knowledge or other condition of the mind of a person as a fact, without setting out the circumstances from which it is to be inferred.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(Although he does also note that that subrule was not pointed out to the Master on the hearing before her). But he submits that, at this stage, when discoveries have not been completed, it is sufficient to plead the allegations in general form, that the allegations as set out do give all of the defendants, including the proposed new defendants, notice of what is alleged. I accept that submission. I consider that the allegations in paragraphs 15 to 19 of the proposed Amended Amended Statement of Claim are sufficiently specific that they would give the new proposed defendants notice of what is alleged against them, yet they are sufficiently general that they can include those new defendants and are not restricted merely to the existing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Moving, then, to consider the application of the test to join new defendants, as set out in the Quintette decision, I am satisfied that the issue raised between the plaintiff and the proposed new defendants is a real one. In the words of Mr. Justice Macfarlane: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not entirely frivolous and would result in courts wasting judicial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further consider it not appropriate to determine at this stage the prospect of success, unless it is completely clear that the proposed claims attempt to raise a cause of action not known to law. I find that not to be the case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Although it is not precisely the same test, the situation is analogous to an application under Rule 19(24)(a) to strike pleadings on the grounds that they disclose no reasonable cause of action. That particular subrule was considered by the Supreme Court of Canada in Hunt v. Carey Canada Inc.,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The court said that the test for summary dismissal is whether it is plain and obvious that the statement of claim discloses no reasonable cause of action, and that, in determining that, the court should consider whether there is a question fit to be tried, regardless of the complexity or novelty of it; if the outcome at trial is beyond a reasonable doubt; if there are serious questions of law or matters of general importance raised; if the facts should be known before the rights are decided; if the pleadings might be amended; and if there is an element of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this case, it cannot be said with certainty that any of the potential causes of action against the proposed defendants do not exist. Only if none of them exist should the potential claims against the proposed new defendants not be allowed to proceed; or to put it more positively, if any of the causes of action alleged raises potentially successful claims against the proposed new defendants, then they should be joined as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Clearly there is a potential cause of action for malicious prosecution based on the facts alleged. That cause of action was considered by the Supreme Court of Canada in the Nelles decision. The pleadings, and in particular paragraphs 15 and 16, have obviously been drafted with the wording of Mr. Justice Lamer in the Nelles decision, in paragraphs 42 to 43, in mind. It has not been argued that there is not no such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As to possible causes of action for prosecutorial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 am not satisfied that is so clear that the claims should not be allowed to proceed. The argument on behalf of the proposed defendants that they should not be allowed to proceed, that there is no such cause of action, is based on the statement by Mr. Justice Lamer in Nelles at paragraph 52, in which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of the view that this "floodgates" argument ignores the fact that one element of the tort of malicious prosecution requires a demonstration of improper motive or purpose. Errors in the exercise of discretion and judgment are not actionable.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But that statement was made in the context of claims for malicious prosecution, not in claims for prosecutorial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two subsequent cases in the Ontario courts, McTaggart v. Ontario </w:t>
      </w:r>
      <w:hyperlink r:id="rId789" w:history="1">
        <w:r>
          <w:rPr>
            <w:rFonts w:ascii="arial" w:eastAsia="arial" w:hAnsi="arial" w:cs="arial"/>
            <w:i/>
            <w:color w:val="0077CC"/>
            <w:sz w:val="20"/>
            <w:u w:val="single"/>
            <w:shd w:val="clear" w:color="auto" w:fill="FFFFFF"/>
            <w:lang w:val="en-US" w:eastAsia="en-US" w:bidi="ar-SA"/>
          </w:rPr>
          <w:t>(1991), 6 O.R. (3d) 456</w:t>
        </w:r>
      </w:hyperlink>
      <w:r>
        <w:rPr>
          <w:rFonts w:ascii="arial" w:eastAsia="arial" w:hAnsi="arial" w:cs="arial"/>
          <w:color w:val="000000"/>
          <w:sz w:val="20"/>
          <w:lang w:val="en-US" w:eastAsia="en-US" w:bidi="ar-SA"/>
        </w:rPr>
        <w:t xml:space="preserve">, a decision of the Ontario Court, General Division, and Medwid v. Ontario (Commissioner of the Ontario Provincial Police), </w:t>
      </w:r>
      <w:hyperlink r:id="rId790" w:history="1">
        <w:r>
          <w:rPr>
            <w:rFonts w:ascii="arial" w:eastAsia="arial" w:hAnsi="arial" w:cs="arial"/>
            <w:i/>
            <w:color w:val="0077CC"/>
            <w:sz w:val="20"/>
            <w:u w:val="single"/>
            <w:shd w:val="clear" w:color="auto" w:fill="FFFFFF"/>
            <w:lang w:val="en-US" w:eastAsia="en-US" w:bidi="ar-SA"/>
          </w:rPr>
          <w:t>[1992] O.J. No. 736</w:t>
        </w:r>
      </w:hyperlink>
      <w:r>
        <w:rPr>
          <w:rFonts w:ascii="arial" w:eastAsia="arial" w:hAnsi="arial" w:cs="arial"/>
          <w:color w:val="000000"/>
          <w:sz w:val="20"/>
          <w:lang w:val="en-US" w:eastAsia="en-US" w:bidi="ar-SA"/>
        </w:rPr>
        <w:t xml:space="preserve">, Ontario Court of Justice, General Division, the judges were not satisfied that the law was so clear that such claims should be struck out. Nor can it be said that the decision of the Supreme Court of Canada in Krieger v. Law Society of Alberta, </w:t>
      </w:r>
      <w:hyperlink r:id="rId791" w:history="1">
        <w:r>
          <w:rPr>
            <w:rFonts w:ascii="arial" w:eastAsia="arial" w:hAnsi="arial" w:cs="arial"/>
            <w:i/>
            <w:color w:val="0077CC"/>
            <w:sz w:val="20"/>
            <w:u w:val="single"/>
            <w:shd w:val="clear" w:color="auto" w:fill="FFFFFF"/>
            <w:lang w:val="en-US" w:eastAsia="en-US" w:bidi="ar-SA"/>
          </w:rPr>
          <w:t>[2002] 3 S.C.R. 372</w:t>
        </w:r>
      </w:hyperlink>
      <w:r>
        <w:rPr>
          <w:rFonts w:ascii="arial" w:eastAsia="arial" w:hAnsi="arial" w:cs="arial"/>
          <w:color w:val="000000"/>
          <w:sz w:val="20"/>
          <w:lang w:val="en-US" w:eastAsia="en-US" w:bidi="ar-SA"/>
        </w:rPr>
        <w:t xml:space="preserve">, puts the matter to rest, because that case dealt with allegations of professional misconduct rather than a claim of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It can be said generally, however, that the law regarding barristers' liability is still evolving, as shown by recent decisions in the high courts of Australia and New Zealand. Similar general comments can be made about claims for damages for abuse of process or malfeasance in public office, and for potential remedies under Section 24(1) of the Charter, for infringement of a person's right as guaranteed by the Charter. Although it is in an entirely different context, the Supreme Court of Canada did make general comments that judges have a broad discretion to craft any remedy appropriate to remedy breaches of the Charter, in Doucet-Boudreau v. Nova Scotia (Ministry of Education), </w:t>
      </w:r>
      <w:hyperlink r:id="rId792" w:history="1">
        <w:r>
          <w:rPr>
            <w:rFonts w:ascii="arial" w:eastAsia="arial" w:hAnsi="arial" w:cs="arial"/>
            <w:i/>
            <w:color w:val="0077CC"/>
            <w:sz w:val="20"/>
            <w:u w:val="single"/>
            <w:shd w:val="clear" w:color="auto" w:fill="FFFFFF"/>
            <w:lang w:val="en-US" w:eastAsia="en-US" w:bidi="ar-SA"/>
          </w:rPr>
          <w:t>[2003] 3 S.C.R. 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So I am satisfied that the claims against the proposed new defendants are not frivolous, that they are not merely a waste of the court's time. I am further satisfied that there is some evidence which, if accepted, would establish a connection between the proposed defendants and the existing action. There is evidence that Mr. Varesi, when employed by the law firm of Gillespie, Renkema, Barnett and Broadway, acted as Crown counsel, as agent for the Attorney General of Canada, who is a defendant, and was the one who made the ultimate decision to lay the charges.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evidence regarding the role of Mr. Edwards in the prosecution is somewhat more nebulous, but there is some evidence that he gave legal advice to representatives of Health Canada and that he may have been the one who actually drafted the seventy-three charges.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So, in terms of Rule 15(5)(a)(iii) and the tests set out by Mr. Justice Lysyk in Quintette, first, there may exist between Mr. Varesi, his law firm and Mr. Edwards and the plaintiff a question or issue. Second, that question or issue relates to or is connected with the relief claimed in the proceeding, that is damages based on the four causes of action set out, and may also relate to the subject matter of the proceeding, that is generally whether there has been malicious conduct towards Mr. Strauss, culminating in the charges being improperly laid against him. Third, I am satisfied that it would be just and convenient to determine this question or issue in this proceeding rather than, for example, require the plaintiff to commence a separate action, which he clearly would have been entitled to, at least until the expiry of the relevant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So for those reasons, I find that the appeal should be allowed. The application of the plaintiff to join Anthony Varesi; Gillespie, Renkema, Barnett, and Broadway, a partnership; and David Edwards, as defendants in the action, will be allowed. The plaintiff is given leave to amend the Writ of Summons and Statement of Claim accordingly. In the circumstances, the plaintiff will be entitled to the costs of the application and this appeal in any event of the cause. That completes my reasons. Anything arising that counsel wish to deal 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COUNSEL: The only thing, My Lord, is that obviously I will substitute the paragraph in the outline identifying Mr. Edwards properly as with Health Canada, as opposed to what was originally in the affidavit attached to Ms. Noftall's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COURT: Yes. Well, the notice of motion does not specifically include the Amended Amended Statement of Claim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COUNSEL: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COURT: -- so in making the order, I have used the wording of the notice of motion, so that I am not intending to restrict you to the amendments which have been set out in the proposed Amended Amended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COUNSEL: My Lord, I wonder if I could just ask the court to expand on the award for costs, so that I could explain to my clients. It seems that in an application of this nature, the defendants really had little to do with how the action was framed and then reframed. I am just wondering if My Lord could explain the basis for costs in any event, rather than costs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COURT: Essentially it is on the basis of the plaintiff having been successful in the application, which was opposed. Having been successful in the appeal, it is appropriate that he should be entitled to the costs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COUNSEL: Thank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COURT: And I will return Mr. Sutherland's chambers record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SUTHERLAND: Thank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COURT: And I think I can also return the Book of Authorities. All right. If there is nothing further, we will adjourn.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A.F. WILSON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6" style="position:absolute;z-index:2517995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93"/>
          <w:headerReference w:type="default" r:id="rId794"/>
          <w:footerReference w:type="even" r:id="rId795"/>
          <w:footerReference w:type="default" r:id="rId796"/>
          <w:headerReference w:type="first" r:id="rId797"/>
          <w:footerReference w:type="first" r:id="rId79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99" w:history="1">
        <w:r>
          <w:rPr>
            <w:rFonts w:ascii="arial" w:eastAsia="arial" w:hAnsi="arial" w:cs="arial"/>
            <w:b/>
            <w:bCs/>
            <w:i/>
            <w:color w:val="0077CC"/>
            <w:kern w:val="32"/>
            <w:sz w:val="28"/>
            <w:szCs w:val="32"/>
            <w:u w:val="single"/>
            <w:shd w:val="clear" w:color="auto" w:fill="FFFFFF"/>
            <w:lang w:val="en-US" w:eastAsia="en-US" w:bidi="ar-SA"/>
          </w:rPr>
          <w:t>Stull v. Cunningham, [2013] B.C.J. No. 1385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Nanaimo,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B.D. MacKenzie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11-14, 18-20, 2012; February 14,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26,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M62767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Nanaimo</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1385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1140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Derek Stull, Plaintiff, and Robin Brian Cunningham and Shawn Jason Emerson Weldon,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(179 paras.)</w:t>
      </w:r>
    </w:p>
    <w:p>
      <w:pPr>
        <w:jc w:val="both"/>
        <w:rPr>
          <w:rFonts w:ascii="arial" w:eastAsia="arial" w:hAnsi="arial" w:cs="arial"/>
          <w:sz w:val="20"/>
          <w:lang w:val="en-US" w:eastAsia="en-US" w:bidi="ar-SA"/>
        </w:rPr>
      </w:pPr>
      <w:bookmarkStart w:id="129" w:name="Counsel_38"/>
      <w:bookmarkEnd w:id="12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7" style="position:absolute;z-index:2516992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J.A. Vanstone.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P.J. Giroday.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0" w:name="Judgment_38"/>
      <w:bookmarkEnd w:id="130"/>
      <w:r>
        <w:pict>
          <v:line id="_x0000_s1158" style="position:absolute;z-index:25175040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1" w:name="B.D. MACKENZIE J."/>
            <w:bookmarkEnd w:id="131"/>
            <w:r>
              <w:rPr>
                <w:rFonts w:ascii="arial" w:eastAsia="arial" w:hAnsi="arial" w:cs="arial"/>
                <w:b/>
                <w:color w:val="000000"/>
                <w:sz w:val="30"/>
                <w:lang w:val="en-US" w:eastAsia="en-US" w:bidi="ar-SA"/>
              </w:rPr>
              <w:t>B.D. MACKENZIE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 claim for damages by Mr. Stull for personal injuries arising out of a motor vehicle accident which occurred on September 18, 2009, in Nanaimo,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Liability has been admitted by the defendants. As a result, the primary issues are the assessment of non-pecuniary damages, past wage loss and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This was a significant motor vehicle accident. Mr. Stull's work van was struck just behind the driver's door by a speeding vehicle. It was pushed forward a significant distance before coming to rest against a Hydro pole. There was extensive damage to his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Stull was transported to hospital by ambulance. He testified that his lower back hurt immediately after the accident. He says this pain increased the next day and has continued to the present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He also testified he had neck pain within a few days after the accident. Mr. Stull says his neck pain is constant and is aggravated when he is working for prolonged periods of time. He also had mid-back pain but testified it resolved "after a few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Stull further testified that he had significant headaches immediately following the accident. These headaches continue to today whenever he exerts himself at work. He takes pain medication which resolves his headaches within a few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Stull testified that his low back pain "is always there" and is "pretty constant" to this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Personal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Stull is 36 years of age and is married with two children, a boy of six years of age and a girl who is eight years 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Stull obtained a Grade 10 education but notwithstanding this lack of education, has been a consistently hard worker since he was a young man. When he was 13 and 14, he washed dishes at a local dining establishment. At 15 and 16, while still in high school, he was a warehouse person at a lumber yard. When he left school he drove a truck and worked at a local floor company as a labourer. He also worked at a local tree service company. He obtained other construction and labouring jobs but in due course commenced his own tree business and floor installation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Stull eventually scaled back his tree business and since approximately 2005 has focused solely on the flooring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the start-up years, Mr. Stull worked primarily on his own, but as business increased he hired Mr. Shane Stocking as an assistant. Both he and Mr. Stocking testified that the business "was growing" and in 2009, before the accident occurred, Mr. Stocking was getting more hours. He said they were "doing quite well for ourselves." Mr. Stull was getting significant work from Slegg Lumber. He was Slegg Lumber's number one floor installer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Stull testified that at the time of the motor vehicle accident he had other contracts to install flooring in Nanaimo. He was scheduled to complete these contracts in the fall/winter of 2009 and the early part of 2010. Mr. Stull testified that between 2008 and 2009 business was very good. He said there was a "construction boom" in Nanaimo during 2007 even though Mr. Nordin, the vocational evaluator, agreed with defendants' counsel that there was a fairly significant downturn in the economy "at the end of 2007 and into 2008"; however, as elsewhere, a recession hit the Nanaimo area in 2009 and renovation work replaced new construction work. Mr. Stull explained this was because of the government rebate to assist homeowners to renovate their homes in an attempt to spur economic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As a result, Mr. Stull testified that immediately before the motor vehicle accident occurred he was extremely busy. He testified he was working six days a week, 10 to 12 hours a day. Mr. Stocking testified they were working as much as 16 hours a day. Given this testimony, I agree with the defendants when they say Mr. Stull and Mr. Stocking were operating at "full capacity" prior to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After the accident, Mr. Stull was off work completely. He attended the Canadian Back Institute for rehabilitation. He then embarked on a graduated return to work program. He started working in April 2010 and was deemed fit to resume full-time work in June of that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While it clearly was somewhat of a struggle because of Mr. Stull's work ethic and his reputation as an excellent installer, in 2011 his gross revenue was similar to what he had earned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However, Mr. Stull testified that his business has slowed down in the last year. He submits this is because he is taking longer to do jobs because of his inability to do a lot of the installation work which, after the motor vehicle accident, he had to delegate to Mr. Stocking. As a result, Mr. Stull has had to revert to a more managerial role. He also sets up the "layouts" rather than doing all of the continuous bending, kneeling, stooping and nailing he did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Unfortunately, work slowed down to such a degree that he had to lay off Mr. Stocking in early December 2012. Mr. Stull submits that the reason his business has slowed to this degree is because of the injuries he suffered in the motor vehicle accident, not because of a downturn in the construction and flooring industries in the Nanaimo area as the defendants have argued. As such, he makes substantial claims for past wage loss and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Plaintiff's Pre-Accident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This action is complicated somewhat because of Mr. Stull's relatively significant pre-accident medical history. On the one hand, the plaintiff says all of his pre-accident issues had resolved and had not presented any difficulties for approximately eight to nine years prior to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defendants, on the other hand, submit that the medical evidence supports their submission that Mr. Stull's low back pain would have eventually occurred irrespective of the motor vehicle accident because of his prior medical history, and the stress his particular line of work puts on even a healthy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This history includes a slip and fall down an embankment in 1991 where Mr. Stull landed on his bottom. He testified it was painful. He had a wedge compression fracture at L1-2 and L4. The recommended treatment was bed rest. This pain resolved in a "couple of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He had other back complaints in 1992 and 1995 and shoulder soreness in 1997. Rest, ice and Ibuprofen were generally the recommended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1999 Mr. Stull, who is a motorcycle enthusiast, fell off a bike and landed on his back. An X-ray was taken. The plaintiff says that Dr. Cameron, an orthopaedic surgeon, in September 1999 found no significant deformity. The defendants say that this accident "may" have resulted in minor compression fractures of T1 and T2 as well as L1-2 and L-2, as well as minor anterior "wedging" in these areas "consistent" with either minimal recent or old anterior compression fractures.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defendants note that Mr. Stull had a condition in his spine known as spinabifida occulta, "a congenital condition which entails the narrowing of the space between his lumbar vertebrae at L4-5." The defendants also point out that Mr. Stull had "an anterior limbus fracture at L4-5" but which was "clearly old." Swimming, stretching and physiotherapy were recommended to deal with these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defendants also point out that on May 3, 2000, Mr. Stull attended Dr. Marback complaining of "long-standing back problems from recurrent injuries." On January 12, 2001, he attended Dr. Dorsey who noted recurrent lumbosacral back strain, "low grade". An X-ray report dated December 10, 2001, "indicates no bone, joint or soft tissue abnormalities."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New X-rays taken after the motor vehicle accident in September 2009 confirmed the old injuries and, according to the report, showed Mr. Stull had "mild" pre-existing degenerative changes in his lumbar spine, as well as facet osteoarthritis noted on the right side of his lower lumbar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However, the plaintiff submits there is no evidence that there had been any progression of any degeneration that might have existed at the time of the 1999 or 2001 X-rays and points out Dr. Roe described Mr. Stull's past back injuries as "healed".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 also says the uncontradicted medical evidence supports his submission that he had not seen a medical practitioner for muscle pain or bone problems in his back since 2001 until the accident on September 18, 2009. While I agree with the defendants when they say this prior history is relevant when considering Mr. Stull's "likely future condition," I agree with the plaintiff when he submits that the evidence has established these "distant" back injuries had "healed" well before the 2009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Finally, the plaintiff acknowledged that he had some difficulty sleeping in the past. He testified he initially thought it was in 2007 that he was referred to the Nanaimo Sleep Clinic and underwent a form of therapy. The medical documentation, however, shows that this occurred in early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Stull testified that it was his opinion that his sleep was interrupted because his children had health problems at the time and were awake during the night, but as his children now sleep throughout the night, his sleep has improved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accept Mr. Stull's testimony that his sleeping habits were relatively routine some time prior to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Pre-Motor Vehicle Accident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Stull testified that he was "in fine shape" prior to the motor vehicle accident and, in fact, could work seven days a week. He had no neck or back pain, he could cut his own firewood and trim the large cedar hedges on his property. He testified that he used to enjoy dirt biking with his children and Mr. Stocking. He said he was financially "stable" and that his wife was able to stay at home and care for the children, rather than being compelled to enter the work force for financial reasons, as she did after the accident. He testified he and the family used to go camping and boating on a regular basis. He went fishing and dirt bike riding as much as his work schedule would allow, and enjoyed relatively strenuous hikes.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Stull testified he and his wife had a good relationship and were not troubled by significant financial issues. He testified he was "paying my debts and bills," although he naturally would have liked to have earned more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Post-Motor Vehicle Accident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Stull testified that since the accident his activities around the house have been curtailed to a reasonably significant degree. One of the primary sources of heat at his home is wood. He used to chop four to five chords a year. Now he can only do part of this work. He needs help from acquaintances or his brother. He testified that as far as his household chores are concerned, he has to plan ahead and limit what work he does so he is able to put in a full day at work the next day. He testified he used to do all the pruning of his large cedar hedges by himself but now has to engage friends who have a bucket truck in order to complete this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Stull testified that he has had increased stress and arguments with his wife because of the financial stresses placed on the family after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He also testified that he has not been able to do as much dirt bike riding as he had in the past. Mr. Stocking confirmed the plaintiff could not ride on the more vigorous trails due to his lower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Stull says his pre-accident weight was 245 pounds but increased to 267 pounds after the accident. He testified that, because of changing his diet and doing exercises, he weighed 260 pounds in June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Conversely, the defendants say the only way the motor vehicle accident has affected Mr. Stull's recreational activities is that he does not ride his dirt bike as vigorously as he did prior to the accident. The defendants acknowledge that Mr. Stull said he did not use his larger boat for fishing and family boating excursions but note that it was because he was unable to afford the insurance, not because of injuries. On this point the plaintiff states the obvious. He cannot afford the insurance because his income has decreased because of the injuries he suffered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defendants point out however that Mr. Stull informed Mr. Vandenboer, an occupational therapist, that he continued to carry out his duties around the house and yard, although they do acknowledge Mr. Stull said he must pace himself to complete these chores.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Dr. Sidky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Dr. Sidky saw the plaintiff at the request of the defendants on July 16,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Dr. Sidky's opinion was that "as a result of the motor vehicle accident... Mr. Stull sustained a soft tissue injury to his neck and back." He reported that "this soft tissue injury was superimposed on two prior spine fractures (1991 and 1999) and has resulted in some ongoing symptoms of pain and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 Sidky expressed the opinion that these two prior fractures, as well as the work Mr. Stull is engaged in, would likely have resulted in some ongoing "chronic back pain and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 disputes this on the basis he had no difficulties with his neck and back for several years prior to the motor vehicle accident. Dr. Sidky also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respect to Mr. Stull's work I feel that he can complete his full duties at work however he may note some limitations and discomfort with specific activities or with heavy lifting. I would not place any restrictions on Mr. Stull's work or recreational abilities. Given the pre-existing spine fractures as well as the pre-existing back pain and the repetitive strains placed on Mr. Stull's spine at work; I would recommend that Mr. Stull attempt to find a line of work that does not involve constant bending and repetitive motions as this will undoubtedly result in ongoing flares of his back pain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Dr. Sidky was not cross-examined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 submits that Dr. Sidky formed the opinion that he sustained soft tissue injury to his neck and back in the motor vehicle accident and that the timeframe when the neck pain was first felt by Mr. Stull was consistent with soft tissue injuries suffered in the motor vehicle accident. Dr. Sidky also noted that while he felt Mr. Stull could complete full work duties "he may note some limitation and discomfort with specific activities on heavy lifting."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 also points out that Dr. Sidky noted that the X-ray report of December 10, 2001, indicated no bone, joint or soft tissue abnormalities. Moreover, there is nothing further from Dr. Sidky with respect to any complaints or difficulties outlined by Mr. Stull since 2001. In fact, Dr. Sidky noted at p. 4 of his report that the clinical records from Dr. Cameron in September 1999 "noted that Derek is employed as a tree topper and is not having issues with his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Dr. Martin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Dr. Martin is a sports and occupational physician. In his May 31, 2012, report,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His function is now reduced because of his current complaints. Based on the fact that they have been maintained for this length of time, it is unlikely that his clinical presentation will change. Specifically, it is more likely than not that his symptom presentation will continue into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Martin also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likely that MMI has been reached, as Mr. Stull has had no progression of his symptoms, yet no relief of his symptoms (and therefore one would consider that his conditions have reached the point of maximum medical improvement).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Dr. Martin testified that he diagnosed the plaintiff as having neck pain and low back pain based on Mr. Stull's reporting to him. He acknowledged that there were no objective findings outside of minimal restrictions of range of motion but that Mr. Stull "was fairly consistent throughout his presentation." Dr. Martin confirmed that the X-ray taken after the motor vehicle accident indicated compression fractures which were "likely old" and that there was "mild to moderate degenerative disc changes at L3-4 with facet osteoarthritis on the right side of the lower lumbar spine." He described these old fractures as "healed".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Dr. Martin also expressed the following observation. He states at p. 4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Stull has presented with these symptoms now since the point of accident of September 18, 2009. Although I note that he has had prior back complaints and some bony changes to his spinal column since his teenage years, there is no indication that he had any ongoing issues with this in terms of affecting his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Dr. Martin testified at trial that there is a "possibility" that a person with degenerative changes in their spine will experience back pain over the long term and that this was especially so with people like Mr. Stull who are involved in an occupation involving repetitive and sustained stooping and heavy lifting. Dr. Martin testified, "Yes, eventually it's going to catch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Finally, the defendants point out that Dr. Martin acknowledged that if Mr. Stull lost more weight, this would assist him in his rehabilitation in alleviating his back symptoms and that a rehabilitation program focussed on improving his strength, endurance and posture would also possibly be helpful.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Dr. Roe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Dr. Roe is Mr. Stull's family physician. In his report of August 20, 2012, under the heading of "Prognosis",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coming up 3 years since the accident. You asked if I agreed with opinion of Dr. Martin that Mr. Stull has reached maximum medical improvement. I do not know if he will get better, I do not know if he'll get worse. His symptoms and work capacity have plateaued.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Stull has shown consistent reduced ability to maintain the level of work required to lay hardwood flooring all day repeatedly.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Roe noted that Mr. Stull reported he had no significant symptoms or restrictions related to his back or neck for many years prior to the accident. He agreed it was reasonable to conclude therefore that all of the musculoskeletal problems that Mr. Stull suffered from before the accident had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defendants however emphasize that Dr. Roe's diagnosis that Mr. Stull suffered soft tissue injuries in his neck and lower back as a result of the accident are again based on Mr. Stull's subjective presentation. Similarly, when Dr. Roe says Mr. Stull's work capacity has plateaued, this is again based on Mr. Stull's reporting to Dr. Roe.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defendants also note that Dr. Roe confirmed that losing weight would be of assistance to Mr. Stull. He also agreed that a program focussed on improving strength and endurance as well as cardiovascular exercise would improve Mr. Stull's chances for a full recovery. Moreover, Dr. Roe confirmed that the type of work Mr. Stull is engaged in is likely to cause wear and tear on the lumbar spine over the long run, which is why "we tend not to see older people doing floor laying."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Mr. Vandenboer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defendants acknowledge Mr. Stull suffered some soft tissue injuries as a result of the motor vehicle accident. They, however, emphasize the totality of the evidence and especially the May 2011 report of Mr. Fred Vandenboer, the occupational therapist, in support of their submission that Mr. Stull's injuries are relatively modest at this point in time and his future is not as bleak as he suggests.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Vandenboer saw Mr. Stull on May 4 and 5, 2011. His mandate was to determine Mr. Stull's physical tolerances and work capacity. Mr. Vandenboer was aware of Mr. Stull's past medical history, and apart from the sleep and fatigue issues, noted that the last significant issue involving the plaintiff's neck or back pain appeared to end in early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Again, the defendants submit that all of the plaintiff's symptoms are subjective. As a result, they point out the medical practitioners have relied primarily on the accuracy and reliability of Mr. Stull's reporting to them of his pain levels and functional tolerances when providing their opinions and 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defendants note that Mr. Stull reported to Mr. Vandenboer that his pain level prior to May 2011 was relatively stable and that at that time he believed he had achieved an overall improvement of approximately 75 percent since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Vandenboer confirmed that Mr. Stull manages his pain and symptoms by limiting certain activities and postures, by stretching and soaking in his hot tub and by taking Emtec 30 medication and anti-inflammatory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Vandenboer completed significant and detailed testing of Mr. Stull's functional capacity. The defendants understandably emphasize that Mr. Vandenboer concluded that the "overall outcomes of lifting, carrying, pushing and pulling tests indicate Mr. Stull is able to manage activity in the heavy strength category (by NOC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Vandenboer also noted in his report that Mr. Stull's "functional performance in strength areas was limited by a combination of muscle strength, endurance and symptoms recurring in the lower back region."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defendants say this is significant and submit that if Mr. Stull increases his endurance and strength, it would enhance or improve his overall functioning and get him beyond the "plateau" he says he has reached because of his back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Vandenboer also noted that with respect to body positions, Mr. Stull was fully functional and that his balance and quality control of movement were "excellent".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Noting that Mr. Stull has some degenerative disc disease of the lumbar spine, Mr. Vandenboer testified that, in his experience, people with disc problems and osteoarthritis can have ongoing pain symptoms over the long term, irrespective of any trauma to that part of the body.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Perhaps most importantly, the defendants noted that Mr. Vandenboer testified that sustained and repetitive stooping will potentially, over the long term, create wear and tear on any lower spine because this is not an ideal working position. He testified he would not recommend this sustained activity for anyone, whether or not they had a back injury or were a healthy individual.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conclusion, and notwithstanding this caveat, Mr. Vandenboer was of the opinion Mr. Stull was physically capable of continuing in his present occupation as a floor installer but that the physical requirements of this occupation may exceed Mr. Stull's demonstrated activity tolerances "on occasion".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Vandenboer also noted that, even though Mr. Stull has been able to work, albeit in the limited hands-on role, he continues to report some degree of daily discomfort with resulting impact on his non-work activities, although he did testify Mr. Stull told him he was walking, swimming and camping and playing with his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Nevertheless, Mr. Vandenboer concluded at p. 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Stull is likely working at his maximum capacity at the present time (see p. 15) and will likely continue to experience ongoing events specific and cumulative low back and posterior neck symptoms response in the foreseeable future (in the absence of further improvement).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Credibility of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As in every case dealing with soft tissue injuries, the credibility of the plaintiff is of paramount importance.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this case, I have carefully considered the testimony of Mr. Stull, observed him in the witness box and compared his testimony at trial with answers he gave at his examination for discovery, as well as his statements to the various medical practitioners he has seen over the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On this issue, it is helpful to recall the comments of N.H. Smith J. in </w:t>
      </w:r>
      <w:r>
        <w:rPr>
          <w:rFonts w:ascii="arial" w:eastAsia="arial" w:hAnsi="arial" w:cs="arial"/>
          <w:i/>
          <w:color w:val="000000"/>
          <w:sz w:val="20"/>
          <w:lang w:val="en-US" w:eastAsia="en-US" w:bidi="ar-SA"/>
        </w:rPr>
        <w:t>Carvalho v. Angotti</w:t>
      </w:r>
      <w:r>
        <w:rPr>
          <w:rFonts w:ascii="arial" w:eastAsia="arial" w:hAnsi="arial" w:cs="arial"/>
          <w:color w:val="000000"/>
          <w:sz w:val="20"/>
          <w:lang w:val="en-US" w:eastAsia="en-US" w:bidi="ar-SA"/>
        </w:rPr>
        <w:t xml:space="preserve">, </w:t>
      </w:r>
      <w:hyperlink r:id="rId800" w:history="1">
        <w:r>
          <w:rPr>
            <w:rFonts w:ascii="arial" w:eastAsia="arial" w:hAnsi="arial" w:cs="arial"/>
            <w:i/>
            <w:color w:val="0077CC"/>
            <w:sz w:val="20"/>
            <w:u w:val="single"/>
            <w:shd w:val="clear" w:color="auto" w:fill="FFFFFF"/>
            <w:lang w:val="en-US" w:eastAsia="en-US" w:bidi="ar-SA"/>
          </w:rPr>
          <w:t>2007 BCSC 1760</w:t>
        </w:r>
      </w:hyperlink>
      <w:r>
        <w:rPr>
          <w:rFonts w:ascii="arial" w:eastAsia="arial" w:hAnsi="arial" w:cs="arial"/>
          <w:color w:val="000000"/>
          <w:sz w:val="20"/>
          <w:lang w:val="en-US" w:eastAsia="en-US" w:bidi="ar-SA"/>
        </w:rPr>
        <w:t>. At para. 15 he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attack on the plaintiff's credibility is based, in part, on various contradictions and inconsistencies within her evidence at trial and between that evidence and her discovery evidence, documents she prepared for other purposes, or statements recorded in clinical records. It is a rare case of this kind where such inconsistencies cannot be found. By the time a personal injury case gets to trial, the plaintiff typically will have provided information to a number of people - including doctors, adjusters and disability insurers - on a number of occasions over a period of years. This provides fertile ground for cross-examination precisely because very few people will have perfect and identical recollection on each of those occasions.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On this point, I agree with Smith J. that inconsistencies in what a patient says to a medical practitioner sometime prior to testimony at trial will not, in and of itself, determine the credibility of any particular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Similarly, many years ago in </w:t>
      </w:r>
      <w:r>
        <w:rPr>
          <w:rFonts w:ascii="arial" w:eastAsia="arial" w:hAnsi="arial" w:cs="arial"/>
          <w:i/>
          <w:color w:val="000000"/>
          <w:sz w:val="20"/>
          <w:lang w:val="en-US" w:eastAsia="en-US" w:bidi="ar-SA"/>
        </w:rPr>
        <w:t>Diack v. Bardsley</w:t>
      </w:r>
      <w:r>
        <w:rPr>
          <w:rFonts w:ascii="arial" w:eastAsia="arial" w:hAnsi="arial" w:cs="arial"/>
          <w:color w:val="000000"/>
          <w:sz w:val="20"/>
          <w:lang w:val="en-US" w:eastAsia="en-US" w:bidi="ar-SA"/>
        </w:rPr>
        <w:t xml:space="preserve">, </w:t>
      </w:r>
      <w:hyperlink r:id="rId801" w:history="1">
        <w:r>
          <w:rPr>
            <w:rFonts w:ascii="arial" w:eastAsia="arial" w:hAnsi="arial" w:cs="arial"/>
            <w:i/>
            <w:color w:val="0077CC"/>
            <w:sz w:val="20"/>
            <w:u w:val="single"/>
            <w:shd w:val="clear" w:color="auto" w:fill="FFFFFF"/>
            <w:lang w:val="en-US" w:eastAsia="en-US" w:bidi="ar-SA"/>
          </w:rPr>
          <w:t>(1983) 46 B.C.L.R 240</w:t>
        </w:r>
      </w:hyperlink>
      <w:r>
        <w:rPr>
          <w:rFonts w:ascii="arial" w:eastAsia="arial" w:hAnsi="arial" w:cs="arial"/>
          <w:color w:val="000000"/>
          <w:sz w:val="20"/>
          <w:lang w:val="en-US" w:eastAsia="en-US" w:bidi="ar-SA"/>
        </w:rPr>
        <w:t>, McEachern C.J.S.C., had this to say at para. 30: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wish to say that I place absolutely no reliance upon the minor variations between the Defendant's discovery and his evidence. Lawyers tend to pounce upon these semantical differences but their usefulness is limited...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Having regard to the totality of the evidence, I am satisfied that Mr. Stull is a credible and reliable witness who was doing his best to outline the injuries he suffered in the motor vehicle accident as well as his ongoing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 accept his evidence as to the pain and symptoms he has reported since the accident as they pertain to his lower back and neck as well as his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At the same time, it was reasonable for defendants' counsel to point out apparent inconsistencies in Mr. Stull's testimony ? for example, what he has said to the various experts and medical personnel about his weight issues, alcohol consumption and ability to complete his home maintenance projects ? and to say they should affect Mr. Stull's reliability and the weight I give to his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my view, however, the relatively minor discrepancies between Mr. Stull's discovery answers or prior statements and his testimony at trial have been adequately explained by Mr. Stull.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When I view his evidence in its totality, I am not satisfied that any inconsistencies in his testimony are of such significance that Mr. Stull's overall credibility or reliability is undermined.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The leading case for causation remains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30"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The plaintiff must prove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contributed to her injuries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para. 16). The test for causation is whether the plaintiff's injuries would not have occurred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para. 14). Given the totality of the circumstances, I am satisfied that the plaintiff has established that the ongoing pain and discomfort he presently suffers is as a result of the accident in September 2009. I make this finding in light of all of the medical evidence canvassed above and on the basis of the plaintiff's testimony, which I find to be credible, that for several years prior to the accident he was symptom-free, and that his pain and discomfort arose directly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As Dr. Roe testified at p. 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injured his -- he -- he last presented with back pain approximately a decade prior to the motor vehicle accident. And although the pain is indistinguishable, in my mind the fact that he was working, by his report, in his own business, doing flooring 50 hours a week, six days a week. ... and he was able to do that without seeking any attention for back pain, suggests that the source of his back pain after the accident was 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Factors that the court has to take into account with respect to this head of damages have been set out in the often quoted decision of our Court of Appeal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102"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In that case, the Court of Appeal acknowledged that a non-pecuniary damage award will vary from case to case depending on the specific circumstances of the plaintiff and each case will depend on its own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factors that must be considered are set out at para. 46:</w:t>
      </w:r>
      <w:r>
        <w:rPr>
          <w:rFonts w:ascii="arial" w:eastAsia="arial" w:hAnsi="arial" w:cs="arial"/>
          <w:sz w:val="20"/>
          <w:lang w:val="en-US" w:eastAsia="en-US" w:bidi="ar-SA"/>
        </w:rPr>
        <w:cr/>
      </w:r>
    </w:p>
    <w:p>
      <w:pPr>
        <w:numPr>
          <w:numId w:val="1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inexhaustive list of common factors cited in </w:t>
      </w:r>
      <w:r>
        <w:rPr>
          <w:rFonts w:ascii="arial" w:eastAsia="arial" w:hAnsi="arial" w:cs="arial"/>
          <w:i/>
          <w:color w:val="000000"/>
          <w:sz w:val="20"/>
          <w:lang w:val="en-US" w:eastAsia="en-US" w:bidi="ar-SA"/>
        </w:rPr>
        <w:t>Boyd</w:t>
      </w:r>
      <w:r>
        <w:rPr>
          <w:rFonts w:ascii="arial" w:eastAsia="arial" w:hAnsi="arial" w:cs="arial"/>
          <w:color w:val="000000"/>
          <w:sz w:val="20"/>
          <w:lang w:val="en-US" w:eastAsia="en-US" w:bidi="ar-SA"/>
        </w:rPr>
        <w:t xml:space="preserve"> that influence an award of non-pecuniary damages includes: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176" w:history="1">
        <w:r>
          <w:rPr>
            <w:rFonts w:ascii="arial" w:eastAsia="arial" w:hAnsi="arial" w:cs="arial"/>
            <w:i/>
            <w:color w:val="0077CC"/>
            <w:sz w:val="20"/>
            <w:u w:val="single"/>
            <w:shd w:val="clear" w:color="auto" w:fill="FFFFFF"/>
            <w:lang w:val="en-US" w:eastAsia="en-US" w:bidi="ar-SA"/>
          </w:rPr>
          <w:t>[2005] B.C.J. No. 163</w:t>
        </w:r>
      </w:hyperlink>
      <w:r>
        <w:rPr>
          <w:rFonts w:ascii="arial" w:eastAsia="arial" w:hAnsi="arial" w:cs="arial"/>
          <w:color w:val="000000"/>
          <w:sz w:val="20"/>
          <w:lang w:val="en-US" w:eastAsia="en-US" w:bidi="ar-SA"/>
        </w:rPr>
        <w:t xml:space="preserve">, </w:t>
      </w:r>
      <w:hyperlink r:id="rId176"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Position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support of his submission, the plaintiff has provided the court with the following authorities:</w:t>
      </w:r>
      <w:r>
        <w:rPr>
          <w:rFonts w:ascii="arial" w:eastAsia="arial" w:hAnsi="arial" w:cs="arial"/>
          <w:sz w:val="20"/>
          <w:lang w:val="en-US" w:eastAsia="en-US" w:bidi="ar-SA"/>
        </w:rPr>
        <w:cr/>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Szymanski v. Morin</w:t>
      </w:r>
      <w:r>
        <w:rPr>
          <w:rFonts w:ascii="arial" w:eastAsia="arial" w:hAnsi="arial" w:cs="arial"/>
          <w:color w:val="000000"/>
          <w:sz w:val="20"/>
          <w:lang w:val="en-US" w:eastAsia="en-US" w:bidi="ar-SA"/>
        </w:rPr>
        <w:t xml:space="preserve">, </w:t>
      </w:r>
      <w:hyperlink r:id="rId802" w:history="1">
        <w:r>
          <w:rPr>
            <w:rFonts w:ascii="arial" w:eastAsia="arial" w:hAnsi="arial" w:cs="arial"/>
            <w:i/>
            <w:color w:val="0077CC"/>
            <w:sz w:val="20"/>
            <w:u w:val="single"/>
            <w:shd w:val="clear" w:color="auto" w:fill="FFFFFF"/>
            <w:lang w:val="en-US" w:eastAsia="en-US" w:bidi="ar-SA"/>
          </w:rPr>
          <w:t>2010 BCSC 1</w:t>
        </w:r>
      </w:hyperlink>
      <w:r>
        <w:rPr>
          <w:rFonts w:ascii="arial" w:eastAsia="arial" w:hAnsi="arial" w:cs="arial"/>
          <w:color w:val="000000"/>
          <w:sz w:val="20"/>
          <w:lang w:val="en-US" w:eastAsia="en-US" w:bidi="ar-SA"/>
        </w:rPr>
        <w:t>: 55 year old self-employed hardwood floor installer; out of work for only four weeks but chronic pain and less able to do household chores: $75,000;</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Grigor v. Johal</w:t>
      </w:r>
      <w:r>
        <w:rPr>
          <w:rFonts w:ascii="arial" w:eastAsia="arial" w:hAnsi="arial" w:cs="arial"/>
          <w:color w:val="000000"/>
          <w:sz w:val="20"/>
          <w:lang w:val="en-US" w:eastAsia="en-US" w:bidi="ar-SA"/>
        </w:rPr>
        <w:t xml:space="preserve">, </w:t>
      </w:r>
      <w:hyperlink r:id="rId803" w:history="1">
        <w:r>
          <w:rPr>
            <w:rFonts w:ascii="arial" w:eastAsia="arial" w:hAnsi="arial" w:cs="arial"/>
            <w:i/>
            <w:color w:val="0077CC"/>
            <w:sz w:val="20"/>
            <w:u w:val="single"/>
            <w:shd w:val="clear" w:color="auto" w:fill="FFFFFF"/>
            <w:lang w:val="en-US" w:eastAsia="en-US" w:bidi="ar-SA"/>
          </w:rPr>
          <w:t>2008 BCSC 1823</w:t>
        </w:r>
      </w:hyperlink>
      <w:r>
        <w:rPr>
          <w:rFonts w:ascii="arial" w:eastAsia="arial" w:hAnsi="arial" w:cs="arial"/>
          <w:color w:val="000000"/>
          <w:sz w:val="20"/>
          <w:lang w:val="en-US" w:eastAsia="en-US" w:bidi="ar-SA"/>
        </w:rPr>
        <w:t>: 49 year old welder, lower back injury resulting in nerve root impingement; chronic pain which is aggravated by work activities; "likely" permanent partial disability; $90,000;</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Peso v. Hollaway</w:t>
      </w:r>
      <w:r>
        <w:rPr>
          <w:rFonts w:ascii="arial" w:eastAsia="arial" w:hAnsi="arial" w:cs="arial"/>
          <w:color w:val="000000"/>
          <w:sz w:val="20"/>
          <w:lang w:val="en-US" w:eastAsia="en-US" w:bidi="ar-SA"/>
        </w:rPr>
        <w:t xml:space="preserve">, </w:t>
      </w:r>
      <w:hyperlink r:id="rId168" w:history="1">
        <w:r>
          <w:rPr>
            <w:rFonts w:ascii="arial" w:eastAsia="arial" w:hAnsi="arial" w:cs="arial"/>
            <w:i/>
            <w:color w:val="0077CC"/>
            <w:sz w:val="20"/>
            <w:u w:val="single"/>
            <w:shd w:val="clear" w:color="auto" w:fill="FFFFFF"/>
            <w:lang w:val="en-US" w:eastAsia="en-US" w:bidi="ar-SA"/>
          </w:rPr>
          <w:t>2012 BCSC 1763</w:t>
        </w:r>
      </w:hyperlink>
      <w:r>
        <w:rPr>
          <w:rFonts w:ascii="arial" w:eastAsia="arial" w:hAnsi="arial" w:cs="arial"/>
          <w:color w:val="000000"/>
          <w:sz w:val="20"/>
          <w:lang w:val="en-US" w:eastAsia="en-US" w:bidi="ar-SA"/>
        </w:rPr>
        <w:t>: 20 year old employee at Home Depot suffering a back injury at work. Even though there was a pre-existing condition, this did not negatively impact the plaintiff's life, therefore there was no basis to reduce damages; the plaintiff suffered chronic pain disability and loss of recreational amenities until surgery; the court awarded $100,000 in non-pecuniary damages;</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Slocombe v. Wowchuk</w:t>
      </w:r>
      <w:r>
        <w:rPr>
          <w:rFonts w:ascii="arial" w:eastAsia="arial" w:hAnsi="arial" w:cs="arial"/>
          <w:color w:val="000000"/>
          <w:sz w:val="20"/>
          <w:lang w:val="en-US" w:eastAsia="en-US" w:bidi="ar-SA"/>
        </w:rPr>
        <w:t xml:space="preserve">, </w:t>
      </w:r>
      <w:hyperlink r:id="rId804" w:history="1">
        <w:r>
          <w:rPr>
            <w:rFonts w:ascii="arial" w:eastAsia="arial" w:hAnsi="arial" w:cs="arial"/>
            <w:i/>
            <w:color w:val="0077CC"/>
            <w:sz w:val="20"/>
            <w:u w:val="single"/>
            <w:shd w:val="clear" w:color="auto" w:fill="FFFFFF"/>
            <w:lang w:val="en-US" w:eastAsia="en-US" w:bidi="ar-SA"/>
          </w:rPr>
          <w:t>2009 BCSC 967</w:t>
        </w:r>
      </w:hyperlink>
      <w:r>
        <w:rPr>
          <w:rFonts w:ascii="arial" w:eastAsia="arial" w:hAnsi="arial" w:cs="arial"/>
          <w:color w:val="000000"/>
          <w:sz w:val="20"/>
          <w:lang w:val="en-US" w:eastAsia="en-US" w:bidi="ar-SA"/>
        </w:rPr>
        <w:t>: 25 year old carpenter with pre-accident disc narrowing caused by wear and tear of the joints. The court found that there was no evidence to indicate that this particular plaintiff had a measurable risk that the pre-existing condition would have had a detrimental effect on him regardless of the accident. There were no grounds to reduce the plaintiff's award. There was a mild traumatic brain injury which seemed to have resolved itself. The court found that there was a soft tissue injury and the prognosis for any "further recovery was poor." The main complaint of the plaintiff was the injury to the lumbosacral spine area. The court concluded the plaintiff was in constant pain and would probably be for the rest of his life and awarded $125,000 in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Counsel for the plaintiff acknowledges the injuries suffered by Mr. Slocombe were more serious than those suffered by Mr. Stull.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Nevertheless, Mr. Stull's low back and neck pain are constant. His accident-related injuries continue to affect his work function and his ability to perform all of his household chores at the same pace as before. His recreational activities have been somewhat curtailed. He and his wife experienced relatively significant marital stress after the accident because of financial problems. Given the authorities and the factors outlined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Mr. Stull submits a reasonable award for non-pecuniary damages would be $110,000.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Position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defendants submit that the purpose of an award for non-pecuniary damages "is to compensate the plaintiff for pain and suffering he has experienced to the date of trial as well as any which may be experienced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defendants also submit that the plaintiff's pre-existing condition in his back, the nature of his occupation and his weight "are all factors which should be taken into account in assessing the 'plaintiff's original position'" for the assessment of damages. I agree with this general proposition.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Moreover, the defendants submit that because there were no objective findings from any of the medical practitioners, apart from minimum restrictions in range of motion, and that none of the experts have recommended that Mr. Stull change his occupation and he has continued to operate his business "at full capacity", a more modest award is appropriate. Additionally, the functional capacity evaluation shows that Mr. Stull was able to exceed all requirements in the strength category. The defendants say these are all relevant factors in determining what is a fair and reasonable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defendants also say that Mr. Stull has not suffered a significant loss of his previous recreational activities or lifestyle as he has only had to restrict his dirt biking and boating. Finally, his marital relationship is now good, primarily because he is working full-time and his wife is now working because the children are older.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In support of their submission that an appropriate award for non-pecuniary damages would be $50,000, reduced to $40,000 for measurable risk, the defendants cite the following cases as reasonable comparables:</w:t>
      </w:r>
      <w:r>
        <w:rPr>
          <w:rFonts w:ascii="arial" w:eastAsia="arial" w:hAnsi="arial" w:cs="arial"/>
          <w:sz w:val="20"/>
          <w:lang w:val="en-US" w:eastAsia="en-US" w:bidi="ar-SA"/>
        </w:rPr>
        <w:cr/>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Stone v. Kirkwood</w:t>
      </w:r>
      <w:r>
        <w:rPr>
          <w:rFonts w:ascii="arial" w:eastAsia="arial" w:hAnsi="arial" w:cs="arial"/>
          <w:color w:val="000000"/>
          <w:sz w:val="20"/>
          <w:lang w:val="en-US" w:eastAsia="en-US" w:bidi="ar-SA"/>
        </w:rPr>
        <w:t xml:space="preserve">, </w:t>
      </w:r>
      <w:hyperlink r:id="rId805" w:history="1">
        <w:r>
          <w:rPr>
            <w:rFonts w:ascii="arial" w:eastAsia="arial" w:hAnsi="arial" w:cs="arial"/>
            <w:i/>
            <w:color w:val="0077CC"/>
            <w:sz w:val="20"/>
            <w:u w:val="single"/>
            <w:shd w:val="clear" w:color="auto" w:fill="FFFFFF"/>
            <w:lang w:val="en-US" w:eastAsia="en-US" w:bidi="ar-SA"/>
          </w:rPr>
          <w:t>2008 BCSC 1295</w:t>
        </w:r>
      </w:hyperlink>
      <w:r>
        <w:rPr>
          <w:rFonts w:ascii="arial" w:eastAsia="arial" w:hAnsi="arial" w:cs="arial"/>
          <w:color w:val="000000"/>
          <w:sz w:val="20"/>
          <w:lang w:val="en-US" w:eastAsia="en-US" w:bidi="ar-SA"/>
        </w:rPr>
        <w:t>: 25 year old carpenter and roofer. Previous back complaints related to a rugby injury and moderate heavy work soft tissue injuries. The court awarded $40,000 in non-pecuniary damages;</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Sidhu v. Liang</w:t>
      </w:r>
      <w:r>
        <w:rPr>
          <w:rFonts w:ascii="arial" w:eastAsia="arial" w:hAnsi="arial" w:cs="arial"/>
          <w:color w:val="000000"/>
          <w:sz w:val="20"/>
          <w:lang w:val="en-US" w:eastAsia="en-US" w:bidi="ar-SA"/>
        </w:rPr>
        <w:t xml:space="preserve">, </w:t>
      </w:r>
      <w:hyperlink r:id="rId806" w:history="1">
        <w:r>
          <w:rPr>
            <w:rFonts w:ascii="arial" w:eastAsia="arial" w:hAnsi="arial" w:cs="arial"/>
            <w:i/>
            <w:color w:val="0077CC"/>
            <w:sz w:val="20"/>
            <w:u w:val="single"/>
            <w:shd w:val="clear" w:color="auto" w:fill="FFFFFF"/>
            <w:lang w:val="en-US" w:eastAsia="en-US" w:bidi="ar-SA"/>
          </w:rPr>
          <w:t>2009 BCSC 1697</w:t>
        </w:r>
      </w:hyperlink>
      <w:r>
        <w:rPr>
          <w:rFonts w:ascii="arial" w:eastAsia="arial" w:hAnsi="arial" w:cs="arial"/>
          <w:color w:val="000000"/>
          <w:sz w:val="20"/>
          <w:lang w:val="en-US" w:eastAsia="en-US" w:bidi="ar-SA"/>
        </w:rPr>
        <w:t>: Injuries to the neck, back, hips and elbows resulted in chronic persistent pain to a 31 year old longshoreman. The court was convinced that the plaintiff would make a full recovery and ordered $36,000 for non-pecuniary damages, given the good prognosis for recovery;</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Hutchinson v. Cozzi</w:t>
      </w:r>
      <w:r>
        <w:rPr>
          <w:rFonts w:ascii="arial" w:eastAsia="arial" w:hAnsi="arial" w:cs="arial"/>
          <w:color w:val="000000"/>
          <w:sz w:val="20"/>
          <w:lang w:val="en-US" w:eastAsia="en-US" w:bidi="ar-SA"/>
        </w:rPr>
        <w:t xml:space="preserve">, </w:t>
      </w:r>
      <w:hyperlink r:id="rId807" w:history="1">
        <w:r>
          <w:rPr>
            <w:rFonts w:ascii="arial" w:eastAsia="arial" w:hAnsi="arial" w:cs="arial"/>
            <w:i/>
            <w:color w:val="0077CC"/>
            <w:sz w:val="20"/>
            <w:u w:val="single"/>
            <w:shd w:val="clear" w:color="auto" w:fill="FFFFFF"/>
            <w:lang w:val="en-US" w:eastAsia="en-US" w:bidi="ar-SA"/>
          </w:rPr>
          <w:t>2009 BCSC 243</w:t>
        </w:r>
      </w:hyperlink>
      <w:r>
        <w:rPr>
          <w:rFonts w:ascii="arial" w:eastAsia="arial" w:hAnsi="arial" w:cs="arial"/>
          <w:color w:val="000000"/>
          <w:sz w:val="20"/>
          <w:lang w:val="en-US" w:eastAsia="en-US" w:bidi="ar-SA"/>
        </w:rPr>
        <w:t>: The court concluded the plaintiff was not completely recovered and had occasional or sporadic pain which had become chronic. The court concluded this pain was no longer "of significant impact upon his ability to work or his recreational activities." Non-pecuniary damages were assessed at $40,000;</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Chang v. Feng</w:t>
      </w:r>
      <w:r>
        <w:rPr>
          <w:rFonts w:ascii="arial" w:eastAsia="arial" w:hAnsi="arial" w:cs="arial"/>
          <w:color w:val="000000"/>
          <w:sz w:val="20"/>
          <w:lang w:val="en-US" w:eastAsia="en-US" w:bidi="ar-SA"/>
        </w:rPr>
        <w:t xml:space="preserve">, </w:t>
      </w:r>
      <w:hyperlink r:id="rId808" w:history="1">
        <w:r>
          <w:rPr>
            <w:rFonts w:ascii="arial" w:eastAsia="arial" w:hAnsi="arial" w:cs="arial"/>
            <w:i/>
            <w:color w:val="0077CC"/>
            <w:sz w:val="20"/>
            <w:u w:val="single"/>
            <w:shd w:val="clear" w:color="auto" w:fill="FFFFFF"/>
            <w:lang w:val="en-US" w:eastAsia="en-US" w:bidi="ar-SA"/>
          </w:rPr>
          <w:t>2008 BCSC 49</w:t>
        </w:r>
      </w:hyperlink>
      <w:r>
        <w:rPr>
          <w:rFonts w:ascii="arial" w:eastAsia="arial" w:hAnsi="arial" w:cs="arial"/>
          <w:color w:val="000000"/>
          <w:sz w:val="20"/>
          <w:lang w:val="en-US" w:eastAsia="en-US" w:bidi="ar-SA"/>
        </w:rPr>
        <w:t>: A 28 year old plaintiff sustained a fractured clavicle, fractures in his foot and soft tissue injuries to his neck and back. The court concluded the plaintiff suffered some serious injuries in the accident but ongoing complaints of shoulder pain were not attributable to the accident. The court awarded $45,000 in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 on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Having regard to the totality of the circumstances, I accept the evidence of the plaintiff that he still suffers reasonably moderate neck and back injuries and that this has affected, to a certain degree, his ability to do the same type of work around the house that he once enjoyed, that it has affected his recreational activities to a modest extent, and most significantly, his ability to perform at full capacity in his chosen occupation.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 accept that Mr. Stull is permanently partially disabled because of the injuries incurred in this accident and that his pain is constant and relatively significant. I find that the injuries he suffered in the accident have prevented him from doing all of the installation work he used to be able to do throughout his full work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 also accept the evidence of both Mr. and Mrs. Stull that the financial impact of the motor vehicle accident caused significant stress and disharmony in their marriage.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 also agree with counsel for the plaintiff that, by their very nature soft tissue injuries are not always manifested by objective signs. Complaints of soft tissue pain and headaches are subjective in nature. I do note, however, that Dr. Martin saw Mr. Stull in late May 2012 and noted "a mild decreased range of motion." I accept Mr. Stull's evidence with respect to the ongoing significance of these symptoms and find that they were caused by the accident and are not a result of normal wear and tear on a back that had been traumatized many years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Given the totality of the circumstances, I am satisfied a fair and reasonable assessment of non-pecuniary damages would be $85,000.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Measurable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Referring to the Supreme Court of Canada decision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30"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t>
      </w:r>
      <w:hyperlink r:id="rId809" w:history="1">
        <w:r>
          <w:rPr>
            <w:rFonts w:ascii="arial" w:eastAsia="arial" w:hAnsi="arial" w:cs="arial"/>
            <w:i/>
            <w:color w:val="0077CC"/>
            <w:sz w:val="20"/>
            <w:u w:val="single"/>
            <w:shd w:val="clear" w:color="auto" w:fill="FFFFFF"/>
            <w:lang w:val="en-US" w:eastAsia="en-US" w:bidi="ar-SA"/>
          </w:rPr>
          <w:t>[1996] S.C.J. No. 102</w:t>
        </w:r>
      </w:hyperlink>
      <w:r>
        <w:rPr>
          <w:rFonts w:ascii="arial" w:eastAsia="arial" w:hAnsi="arial" w:cs="arial"/>
          <w:color w:val="000000"/>
          <w:sz w:val="20"/>
          <w:lang w:val="en-US" w:eastAsia="en-US" w:bidi="ar-SA"/>
        </w:rPr>
        <w:t>, at para. 35, the defendants submit that the pre-existing spine fractures, the degenerative changes and osteoarthritis in his lumbar spine and the repetitive strains placed on Mr. Stull's back at work should result in a reduction in the damages that it would be otherwise appropriate to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As Pearlman J. stated in </w:t>
      </w:r>
      <w:r>
        <w:rPr>
          <w:rFonts w:ascii="arial" w:eastAsia="arial" w:hAnsi="arial" w:cs="arial"/>
          <w:i/>
          <w:color w:val="000000"/>
          <w:sz w:val="20"/>
          <w:lang w:val="en-US" w:eastAsia="en-US" w:bidi="ar-SA"/>
        </w:rPr>
        <w:t>Bouchard v. Brown Bros. Motor Lease Canada, Ltd.</w:t>
      </w:r>
      <w:r>
        <w:rPr>
          <w:rFonts w:ascii="arial" w:eastAsia="arial" w:hAnsi="arial" w:cs="arial"/>
          <w:color w:val="000000"/>
          <w:sz w:val="20"/>
          <w:lang w:val="en-US" w:eastAsia="en-US" w:bidi="ar-SA"/>
        </w:rPr>
        <w:t xml:space="preserve">, </w:t>
      </w:r>
      <w:hyperlink r:id="rId810" w:history="1">
        <w:r>
          <w:rPr>
            <w:rFonts w:ascii="arial" w:eastAsia="arial" w:hAnsi="arial" w:cs="arial"/>
            <w:i/>
            <w:color w:val="0077CC"/>
            <w:sz w:val="20"/>
            <w:u w:val="single"/>
            <w:shd w:val="clear" w:color="auto" w:fill="FFFFFF"/>
            <w:lang w:val="en-US" w:eastAsia="en-US" w:bidi="ar-SA"/>
          </w:rPr>
          <w:t>2011 BCSC 762</w:t>
        </w:r>
      </w:hyperlink>
      <w:r>
        <w:rPr>
          <w:rFonts w:ascii="arial" w:eastAsia="arial" w:hAnsi="arial" w:cs="arial"/>
          <w:color w:val="000000"/>
          <w:sz w:val="20"/>
          <w:lang w:val="en-US" w:eastAsia="en-US" w:bidi="ar-SA"/>
        </w:rPr>
        <w:t xml:space="preserve">, at para. 123 (the percentage deduction varied </w:t>
      </w:r>
      <w:hyperlink r:id="rId811" w:history="1">
        <w:r>
          <w:rPr>
            <w:rFonts w:ascii="arial" w:eastAsia="arial" w:hAnsi="arial" w:cs="arial"/>
            <w:i/>
            <w:color w:val="0077CC"/>
            <w:sz w:val="20"/>
            <w:u w:val="single"/>
            <w:shd w:val="clear" w:color="auto" w:fill="FFFFFF"/>
            <w:lang w:val="en-US" w:eastAsia="en-US" w:bidi="ar-SA"/>
          </w:rPr>
          <w:t>2012 BCCA 331</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35, the Supreme Court of Canada held that "if there is a measurable risk that the pre-existing condition would have detrimentally affected the plaintiff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then this can be taken into account in reducing the overall award." The Court explained that this is consistent with the general rule that the plaintiff must be returned to his original position, with all of its risks, rather than to a better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Moreover, in </w:t>
      </w:r>
      <w:r>
        <w:rPr>
          <w:rFonts w:ascii="arial" w:eastAsia="arial" w:hAnsi="arial" w:cs="arial"/>
          <w:i/>
          <w:color w:val="000000"/>
          <w:sz w:val="20"/>
          <w:lang w:val="en-US" w:eastAsia="en-US" w:bidi="ar-SA"/>
        </w:rPr>
        <w:t>T.W.N.A. v. Canada (Ministry of Indian Affairs)</w:t>
      </w:r>
      <w:r>
        <w:rPr>
          <w:rFonts w:ascii="arial" w:eastAsia="arial" w:hAnsi="arial" w:cs="arial"/>
          <w:color w:val="000000"/>
          <w:sz w:val="20"/>
          <w:lang w:val="en-US" w:eastAsia="en-US" w:bidi="ar-SA"/>
        </w:rPr>
        <w:t xml:space="preserve">, </w:t>
      </w:r>
      <w:hyperlink r:id="rId693" w:history="1">
        <w:r>
          <w:rPr>
            <w:rFonts w:ascii="arial" w:eastAsia="arial" w:hAnsi="arial" w:cs="arial"/>
            <w:i/>
            <w:color w:val="0077CC"/>
            <w:sz w:val="20"/>
            <w:u w:val="single"/>
            <w:shd w:val="clear" w:color="auto" w:fill="FFFFFF"/>
            <w:lang w:val="en-US" w:eastAsia="en-US" w:bidi="ar-SA"/>
          </w:rPr>
          <w:t>2003 BCCA 670</w:t>
        </w:r>
      </w:hyperlink>
      <w:r>
        <w:rPr>
          <w:rFonts w:ascii="arial" w:eastAsia="arial" w:hAnsi="arial" w:cs="arial"/>
          <w:color w:val="000000"/>
          <w:sz w:val="20"/>
          <w:lang w:val="en-US" w:eastAsia="en-US" w:bidi="ar-SA"/>
        </w:rPr>
        <w:t>, at para. 48, Mr. Justice Smith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Whether manifest or not, a weakness inherent in a plaintiff that might realistically cause or contribute to the loss claimed regardless of the tort is relevant to the assessment of damages. It is a contingency that should be accounted for in the award. Moreover, such a contingency does not have to be proven to a certainty. Rather, it should be given weight according to its relative likelihood.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defendants submit that because the plaintiff should not be put in a better position than his original position, they should not have to compensate the plaintiff for any damages he would have suffered anyway, regardless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defendants say that in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plaintiff's pre-existing condition of his lumbar spine, together with the expected deterioration of the plaintiff's low back as a result of the nature of his occupation are inherent in his "original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defendants submit that Mr. Stull was, prior to the motor vehicle accident, at risk for future development of back pain because of pre-existing spine fractures, degenerative changes in his lumbar spine, osteoarthritis and the repetitive strains placed on his back because of work, as well as his significant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defendants say that the testimony of Drs. Roe and Martin and Mr. Vandenboer confirm that the plaintiff was at risk for future problems with his back. The defendants note that Dr. Sidky said in his report that his prior fractures, coupled with the repetitive nature of Mr. Stull's work, "would likely have resulted in some ongoing chronic back pain and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In response, the plaintiff says the circumstances in this case do not support a reduction in the damage award simply because of the possibility Mr. Stull might have had back problems in the future, absent the accident. The plaintiff submits that Mr. Stull's testimony was that he had no residual pain or limitations from any previous injuries. He testified that he was working six to seven days a week, 10 to 12 hours per day, at full capacity at the time of the accident. There is no issue with respect to this aspect of 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What is most significant in this analysis is the fact that I have accepted Mr. Stull's testimony as to the lack of any symptomology prior to the accident, that he was symptom-free for a period of approximately eight years, and the fact that his pain and disability occurred at the time of the motor vehicle accident and continue to the present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 acknowledge that Mr. Vandenboer agreed that repetitive stooping could potentially cause back pain and that Dr. Roe agreed that floor laying is hard on a person's back. But as Dr. Roe testified, because Mr. Stull says his last significant pain was nearly "a decade" earlier and he was able to perform his work without a problem, this supports the conclusion the post-motor vehicle accident pain is attributable to the accident, not to any pre-existing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Moreover, I agree with plaintiff's counsel that the medical evidence falls short of demonstrating that any ongoing chronic back pain and disability or any ongoing "flares of his back pain in the future" that might occur even without the accident would be sufficiently serious to render the plaintiff unable to continue as a hardwood floor installer to the same degree he was working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Given the totality of the circumstances, I am not satisfied the defendants have established that there is a measurable risk that Mr. Stull would have developed pain and disability absent the motor vehicle accident that would have contributed to the losses at issue in this trial, even though as Dr. Martin and Dr. Roe acknowledged, repetitive bending and stooping is hard on any back, even a healthy, non-traumatized back. I am not satisfied this evidence is sufficient to reduce any award that might be made. As plaintiff's counsel has pointed out, in cases such as </w:t>
      </w:r>
      <w:r>
        <w:rPr>
          <w:rFonts w:ascii="arial" w:eastAsia="arial" w:hAnsi="arial" w:cs="arial"/>
          <w:i/>
          <w:color w:val="000000"/>
          <w:sz w:val="20"/>
          <w:lang w:val="en-US" w:eastAsia="en-US" w:bidi="ar-SA"/>
        </w:rPr>
        <w:t>Bouchard</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Sanders v. Janze,</w:t>
      </w:r>
      <w:r>
        <w:rPr>
          <w:rFonts w:ascii="arial" w:eastAsia="arial" w:hAnsi="arial" w:cs="arial"/>
          <w:color w:val="000000"/>
          <w:sz w:val="20"/>
          <w:lang w:val="en-US" w:eastAsia="en-US" w:bidi="ar-SA"/>
        </w:rPr>
        <w:t xml:space="preserve"> </w:t>
      </w:r>
      <w:hyperlink r:id="rId812" w:history="1">
        <w:r>
          <w:rPr>
            <w:rFonts w:ascii="arial" w:eastAsia="arial" w:hAnsi="arial" w:cs="arial"/>
            <w:i/>
            <w:color w:val="0077CC"/>
            <w:sz w:val="20"/>
            <w:u w:val="single"/>
            <w:shd w:val="clear" w:color="auto" w:fill="FFFFFF"/>
            <w:lang w:val="en-US" w:eastAsia="en-US" w:bidi="ar-SA"/>
          </w:rPr>
          <w:t>2009 BCSC 1059</w:t>
        </w:r>
      </w:hyperlink>
      <w:r>
        <w:rPr>
          <w:rFonts w:ascii="arial" w:eastAsia="arial" w:hAnsi="arial" w:cs="arial"/>
          <w:color w:val="000000"/>
          <w:sz w:val="20"/>
          <w:lang w:val="en-US" w:eastAsia="en-US" w:bidi="ar-SA"/>
        </w:rPr>
        <w:t>, there was evidence of significant or severe on-going symptomology (</w:t>
      </w:r>
      <w:r>
        <w:rPr>
          <w:rFonts w:ascii="arial" w:eastAsia="arial" w:hAnsi="arial" w:cs="arial"/>
          <w:i/>
          <w:color w:val="000000"/>
          <w:sz w:val="20"/>
          <w:lang w:val="en-US" w:eastAsia="en-US" w:bidi="ar-SA"/>
        </w:rPr>
        <w:t>Sanders</w:t>
      </w:r>
      <w:r>
        <w:rPr>
          <w:rFonts w:ascii="arial" w:eastAsia="arial" w:hAnsi="arial" w:cs="arial"/>
          <w:color w:val="000000"/>
          <w:sz w:val="20"/>
          <w:lang w:val="en-US" w:eastAsia="en-US" w:bidi="ar-SA"/>
        </w:rPr>
        <w:t>, paras. 44-46, 84) "that was already in play" (</w:t>
      </w:r>
      <w:r>
        <w:rPr>
          <w:rFonts w:ascii="arial" w:eastAsia="arial" w:hAnsi="arial" w:cs="arial"/>
          <w:i/>
          <w:color w:val="000000"/>
          <w:sz w:val="20"/>
          <w:lang w:val="en-US" w:eastAsia="en-US" w:bidi="ar-SA"/>
        </w:rPr>
        <w:t>Bouchard,</w:t>
      </w:r>
      <w:r>
        <w:rPr>
          <w:rFonts w:ascii="arial" w:eastAsia="arial" w:hAnsi="arial" w:cs="arial"/>
          <w:color w:val="000000"/>
          <w:sz w:val="20"/>
          <w:lang w:val="en-US" w:eastAsia="en-US" w:bidi="ar-SA"/>
        </w:rPr>
        <w:t xml:space="preserve"> para. 127) or had manifested itself by the time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Past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Damages under this heading, like loss of future earning capacity, represent compensation for loss of pre-trial earning capacity. However: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loss of the past earning capacity is quantified by the amount of the wages or salary the plaintiff would have earned at the job if his or her capacity had not been impaired by the injuries sustained in the accident. (See </w:t>
      </w:r>
      <w:r>
        <w:rPr>
          <w:rFonts w:ascii="arial" w:eastAsia="arial" w:hAnsi="arial" w:cs="arial"/>
          <w:i/>
          <w:color w:val="000000"/>
          <w:sz w:val="20"/>
          <w:lang w:val="en-US" w:eastAsia="en-US" w:bidi="ar-SA"/>
        </w:rPr>
        <w:t>Bradley v. Bath</w:t>
      </w:r>
      <w:r>
        <w:rPr>
          <w:rFonts w:ascii="arial" w:eastAsia="arial" w:hAnsi="arial" w:cs="arial"/>
          <w:color w:val="000000"/>
          <w:sz w:val="20"/>
          <w:lang w:val="en-US" w:eastAsia="en-US" w:bidi="ar-SA"/>
        </w:rPr>
        <w:t xml:space="preserve">, </w:t>
      </w:r>
      <w:hyperlink r:id="rId813" w:history="1">
        <w:r>
          <w:rPr>
            <w:rFonts w:ascii="arial" w:eastAsia="arial" w:hAnsi="arial" w:cs="arial"/>
            <w:i/>
            <w:color w:val="0077CC"/>
            <w:sz w:val="20"/>
            <w:u w:val="single"/>
            <w:shd w:val="clear" w:color="auto" w:fill="FFFFFF"/>
            <w:lang w:val="en-US" w:eastAsia="en-US" w:bidi="ar-SA"/>
          </w:rPr>
          <w:t>2010 BCCA 10</w:t>
        </w:r>
      </w:hyperlink>
      <w:r>
        <w:rPr>
          <w:rFonts w:ascii="arial" w:eastAsia="arial" w:hAnsi="arial" w:cs="arial"/>
          <w:color w:val="000000"/>
          <w:sz w:val="20"/>
          <w:lang w:val="en-US" w:eastAsia="en-US" w:bidi="ar-SA"/>
        </w:rPr>
        <w:t>, para.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At the same time, the plaintiff has acknowledged that "[t]he overall fairness and reasonableness of the award must be considered taking into account all the evidence" (see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124"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and further, that "the task of the court is to assess damages not to calculate them on some mathematical formula" (</w:t>
      </w:r>
      <w:r>
        <w:rPr>
          <w:rFonts w:ascii="arial" w:eastAsia="arial" w:hAnsi="arial" w:cs="arial"/>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126"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at para. 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plaintiff seeks a significant award of damages under this heading on the basis that, given Mr. Stull's pre-accident annual revenues, it would be reasonable to assume his business would grow "in general accordance with the pattern of growth experienced by the business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plaintiff says that, utilizing this analysis, it would be reasonable to assume that, but for the accident, Mr. Stull's business would have continued to grow at 12 to 13 percent each year until approximately 2012 and then because he has no desire to grow into a "large enterprise", level off. The plaintiff also says it is reasonable to conclude that net profit would have been 45 percent of revenue based on past financial statements. Mr. Stull says that by using this analysis, a reasonable award for past wage loss would be $110,322.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defendants' position is that Mr. Stull should be compensated on the basis of being off work completely from the date of the accident to April 2010, and then on the basis of working part-time until June. The defendants therefore say a reasonable award for past loss of income would be approximately $20,000.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On this issue, the defendants say the assumption that Mr. Stull's business would have grown by a compounded 13 percent per year is unreasonable and does not bear a relationship with the financial documents that have been provided. The defendants also say this submission fails to recognize the evidence that Mr. Stull and his employee, Mr. Stocking, were working at "maximum" capacity right before the motor vehicle accident occurred. On this point, it is important to recall Mr. Stull's evidence that immediately before the accident he was working 10 to 12 hour days, six days a week. In cross-examination Mr. Stull testified he "was working more than full-time hours." Mr. Stocking testified that in the summer of 2009, he and the plaintiff were working "probably" 12 to 16 hour days. As a result, the defendants submit that, while they concede Mr. Stull lost specific installation contracts he was due to complete in the months following the accident, the court should recognize that these jobs would have precluded Mr. Stull from doing other jobs, such as Slegg Lumber jobs, so as not to overcompensate Mr. Stull under this head of damages. I agree with that general observation.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defendants say the totality of the evidence is such that the court cannot reliably presume there would be a 13 percent increase in revenue each and every year based on the financial figures that have been presented in this case. The defendants say this is especially so when this analysis is based on a 26 percent increase in revenue in 2005 and a 12 percent increase in 2007/2008 with little or no increase in 2006. They say it is important to recall that Mr. Stull himself acknowledged that these were boom times in Nanaimo, especially 2007 to 2008. Moreover, the increase in revenue of 0.21 percent in 2006/2007 highlights the vagaries of the construction industry in general and in Nanaimo in particular. As such, the defendants say the decline in gross revenues in 2012 cannot be attributed to Mr. Stull's reduced capacity to work but rather is because of the downturn in the economy and in the industry.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In addition, the defendants say that given that Mr. Stull was able to generate revenue in 2011 similar to revenue in the "boom" year of 2008, the decrease in 2012 was not because of the motor vehicle accident but rather the state of the industry. They say this is especially so when revenue in 2011 was $83,200, higher than any prior year apart from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defendants also say that Mr. Stull's net profit for 2009 was approximately $21,200, which, when extrapolated over the full year, suggests net income of around $30,000, much less than what the plaintiff says he could have earned absent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Therefore, the defendants say the assumption that his business would grow at 13 percent each year is not consistent with the reality of the economic climate. The decrease in revenue was simply because the work was not there. On this point the evidence of Mr. Stocking is again significant. He confirmed he was laid off in early December 2012 "because there is really nothing out there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 accept the defendants' submission on this issue. Given the totality of the circumstances I am unable to conclude that Mr. Stull's past loss of earning capacity can properly be based on a compounding 13 percent increase in projected revenues for the three years from the date of the accident to the date of the trial, before he would have reached maximum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 also agree with the defendants that the evidence of Mr. Carson, based on the 2006 Census data which reflects 2005 income for similar occupations throughout British Columbia, is not helpful with respect to a fair determination of damages under this head. Similarly, the vocational expert, Mr. Nordin, agreed that Mr. Stull's actual past earnings would be a "better measurement" tool for future earning estimates than the 2006 Census which would not take into consideration the recession in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 do however accept the plaintiff's submission that it is reasonable, based on the financial documentation, to conclude that Mr. Stull's average net profit percentage in the past is indicative or a reasonable predictor of what his average net profit percentage would have been after the motor vehicle accident. I accept that a reasonable estimate of Mr. Stull's net profit from year to year would be the 45 percent of his overall revenue as advanced by Mr. Stull's accountant, Ms. Barber.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On this point, the defendants have conceded that the plaintiff lost contracts with three contractors when he was injured in the motor vehicle accident. These specific contracts were with Watercress Developments Inc., Saywell Contracting Ltd. and Wingren Floor and Supply Co.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With respect to these specific contracts, I accept the plaintiff's calculations that Mr. Stull suffered a net profit loss of $18,610 in the year 2009 as a result of not being able to complete these projects.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plaintiff also submits that because the federal Government's home renovation program in 2009 created much work for people such as Mr. Stull, it is reasonable to take into consideration as best as one can, what Mr. Stull might have lost due to his inability to work from September 19, 2009, through to February 1, 2010, when the home renovation program expired. It is however important to remember that Mr. Stull would have been busy with the specific contracts already referred to as well as any work from Slegg Lumber that might be accounted 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In support of his submission that there should be some compensation for loss of earning capacity during this period of time, Mr. Stull has averaged his revenue from September through to December for the years 2007 to 2011 and, based on a 45 percent average net profit, has calculated that, but for the motor vehicle accident, he lost revenue from September 20 to December 31 in 2009 of $9,504 and for the one month, January 1, 2010, to January 31, 2010, $2,030, for a total of $11,534.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Moreover, even though I have accepted the defendants' submission that Mr. Stull and Mr. Stocking were working long days just before the motor vehicle accident, I am of the opinion it is fair and reasonable to take into consideration the difference between the work that Mr. Stull received from Slegg Lumber when he was their number one installer and the work he received after the accident, and to compare that to the work that the new number one installer, Mr. Karl Weir, obtained from Slegg Lumber in the years 2010, 2011 and 2012, with a view to incorporating an assessment of this income loss into the overall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On this point, I am satisfied that but for the accident Mr. Stull would still have been capable of performing all of the work for Slegg Lumber, even though, as in the past, he would have other work to do at the same time. I therefore accept the plaintiff's assessment that for 2010 Mr. Stull lost a net profit of $6,336 that would have otherwise come his way pursuant to his relationship with Slegg Lumber.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 am also satisfied that for the year 2011 Mr. Stull suffered a loss of net profit because of reduced work from Slegg Lumber of $4,071 and in 2012 suffered a loss of net profit of $8,403. These two amounts total $12,474. From 2010 to 1012, the loss of net profit from Slegg Lumber is $18,811.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In conclusion, by considering these calculations along with the past financial statements, I am satisfied that a fair and reasonable assessment of damages for past wage loss would be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As counsel have requested, my analysis of the evidence suggests that these amounts of past wage loss can be broken down as $29,000 for 2009, $8,500 for 2010; $4,000 for 2011 and $8,500 for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 now turn to Mr. Stull's claim for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Wong v. Hemmings,</w:t>
      </w:r>
      <w:r>
        <w:rPr>
          <w:rFonts w:ascii="arial" w:eastAsia="arial" w:hAnsi="arial" w:cs="arial"/>
          <w:color w:val="000000"/>
          <w:sz w:val="20"/>
          <w:lang w:val="en-US" w:eastAsia="en-US" w:bidi="ar-SA"/>
        </w:rPr>
        <w:t xml:space="preserve"> </w:t>
      </w:r>
      <w:hyperlink r:id="rId814" w:history="1">
        <w:r>
          <w:rPr>
            <w:rFonts w:ascii="arial" w:eastAsia="arial" w:hAnsi="arial" w:cs="arial"/>
            <w:i/>
            <w:color w:val="0077CC"/>
            <w:sz w:val="20"/>
            <w:u w:val="single"/>
            <w:shd w:val="clear" w:color="auto" w:fill="FFFFFF"/>
            <w:lang w:val="en-US" w:eastAsia="en-US" w:bidi="ar-SA"/>
          </w:rPr>
          <w:t>2012 BCSC 907</w:t>
        </w:r>
      </w:hyperlink>
      <w:r>
        <w:rPr>
          <w:rFonts w:ascii="arial" w:eastAsia="arial" w:hAnsi="arial" w:cs="arial"/>
          <w:color w:val="000000"/>
          <w:sz w:val="20"/>
          <w:lang w:val="en-US" w:eastAsia="en-US" w:bidi="ar-SA"/>
        </w:rPr>
        <w:t>, at paras. 146-151, Fitch J. summarized the legal principles pertaining to this head of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[146] A claim for loss of future earning capacity raises two key questions: 1) has the plaintiff's earning capacity been impaired by his or her injuries; and, if so 2) what compensation should be awarded for the resulting financial harm that will accrue over time? The appropriate means of assessment will vary from case to case: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36"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Pallos v. Insurance Corp. of British Columbia</w:t>
      </w:r>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Pett v. Pett,</w:t>
      </w:r>
      <w:r>
        <w:rPr>
          <w:rFonts w:ascii="arial" w:eastAsia="arial" w:hAnsi="arial" w:cs="arial"/>
          <w:color w:val="000000"/>
          <w:sz w:val="20"/>
          <w:lang w:val="en-US" w:eastAsia="en-US" w:bidi="ar-SA"/>
        </w:rPr>
        <w:t xml:space="preserve"> </w:t>
      </w:r>
      <w:hyperlink r:id="rId119" w:history="1">
        <w:r>
          <w:rPr>
            <w:rFonts w:ascii="arial" w:eastAsia="arial" w:hAnsi="arial" w:cs="arial"/>
            <w:i/>
            <w:color w:val="0077CC"/>
            <w:sz w:val="20"/>
            <w:u w:val="single"/>
            <w:shd w:val="clear" w:color="auto" w:fill="FFFFFF"/>
            <w:lang w:val="en-US" w:eastAsia="en-US" w:bidi="ar-SA"/>
          </w:rPr>
          <w:t>2009 BCCA 232</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[147] The assessment of damages is a matter of judgment, not calculation: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124"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[148] Insofar as possible, the plaintiff should be put in the position he or she would have been in but for the injuries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Lines v. W &amp; D Logging Co. Ltd.,</w:t>
      </w:r>
      <w:r>
        <w:rPr>
          <w:rFonts w:ascii="arial" w:eastAsia="arial" w:hAnsi="arial" w:cs="arial"/>
          <w:color w:val="000000"/>
          <w:sz w:val="20"/>
          <w:lang w:val="en-US" w:eastAsia="en-US" w:bidi="ar-SA"/>
        </w:rPr>
        <w:t xml:space="preserve"> </w:t>
      </w:r>
      <w:hyperlink r:id="rId164"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xml:space="preserve"> at para. 185. The essential task of the Court is to compare the likely future of the plaintiff's working life if the accident had not happened with the plaintiff's likely future working life after the accident: </w:t>
      </w:r>
      <w:r>
        <w:rPr>
          <w:rFonts w:ascii="arial" w:eastAsia="arial" w:hAnsi="arial" w:cs="arial"/>
          <w:i/>
          <w:color w:val="000000"/>
          <w:sz w:val="20"/>
          <w:lang w:val="en-US" w:eastAsia="en-US" w:bidi="ar-SA"/>
        </w:rPr>
        <w:t>Gregory v. Insurance Corp. of British Columbia,</w:t>
      </w:r>
      <w:r>
        <w:rPr>
          <w:rFonts w:ascii="arial" w:eastAsia="arial" w:hAnsi="arial" w:cs="arial"/>
          <w:color w:val="000000"/>
          <w:sz w:val="20"/>
          <w:lang w:val="en-US" w:eastAsia="en-US" w:bidi="ar-SA"/>
        </w:rPr>
        <w:t xml:space="preserve"> </w:t>
      </w:r>
      <w:hyperlink r:id="rId120"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 32.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[149] There are two possible approaches to assessing of loss of future earning capacity: the "earnings approach" from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and the "capital asset approach"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Both approaches are acceptable. Reliance on the capital asset approach will be more useful where, as in this case, the loss in question is not easily measureable: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116"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[150] The earnings approach involves a form of math-oriented methodology such as: (i) postulating a minimum annual income loss for the plaintiff's remaining years of work, multiplying the annual projected loss by the number of remaining years and calculating a present value; or (ii) awarding the plaintiff's entire annual income for a year or two: </w:t>
      </w:r>
      <w:r>
        <w:rPr>
          <w:rFonts w:ascii="arial" w:eastAsia="arial" w:hAnsi="arial" w:cs="arial"/>
          <w:i/>
          <w:color w:val="000000"/>
          <w:sz w:val="20"/>
          <w:lang w:val="en-US" w:eastAsia="en-US" w:bidi="ar-SA"/>
        </w:rPr>
        <w:t>Pallos; Gilbert v. Bottle,</w:t>
      </w:r>
      <w:r>
        <w:rPr>
          <w:rFonts w:ascii="arial" w:eastAsia="arial" w:hAnsi="arial" w:cs="arial"/>
          <w:color w:val="000000"/>
          <w:sz w:val="20"/>
          <w:lang w:val="en-US" w:eastAsia="en-US" w:bidi="ar-SA"/>
        </w:rPr>
        <w:t xml:space="preserve"> </w:t>
      </w:r>
      <w:hyperlink r:id="rId133" w:history="1">
        <w:r>
          <w:rPr>
            <w:rFonts w:ascii="arial" w:eastAsia="arial" w:hAnsi="arial" w:cs="arial"/>
            <w:i/>
            <w:color w:val="0077CC"/>
            <w:sz w:val="20"/>
            <w:u w:val="single"/>
            <w:shd w:val="clear" w:color="auto" w:fill="FFFFFF"/>
            <w:lang w:val="en-US" w:eastAsia="en-US" w:bidi="ar-SA"/>
          </w:rPr>
          <w:t>2011 BCSC 1389</w:t>
        </w:r>
      </w:hyperlink>
      <w:r>
        <w:rPr>
          <w:rFonts w:ascii="arial" w:eastAsia="arial" w:hAnsi="arial" w:cs="arial"/>
          <w:color w:val="000000"/>
          <w:sz w:val="20"/>
          <w:lang w:val="en-US" w:eastAsia="en-US" w:bidi="ar-SA"/>
        </w:rPr>
        <w:t xml:space="preserve"> at para. 233.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[151] The capital asset approach involves considering factors such as: i) whether the plaintiff has been rendered less capable overall of earning income from all types of employment; ii) is less marketable or attractive as a potential employee; iii) has lost the ability to take advantage of all job opportunities that might otherwise have been open; and iv) is less valuable to herself as a person capable of earning income in a competitive labour market: </w:t>
      </w:r>
      <w:r>
        <w:rPr>
          <w:rFonts w:ascii="arial" w:eastAsia="arial" w:hAnsi="arial" w:cs="arial"/>
          <w:i/>
          <w:color w:val="000000"/>
          <w:sz w:val="20"/>
          <w:lang w:val="en-US" w:eastAsia="en-US" w:bidi="ar-SA"/>
        </w:rPr>
        <w:t>Brown; Gilbert</w:t>
      </w:r>
      <w:r>
        <w:rPr>
          <w:rFonts w:ascii="arial" w:eastAsia="arial" w:hAnsi="arial" w:cs="arial"/>
          <w:color w:val="000000"/>
          <w:sz w:val="20"/>
          <w:lang w:val="en-US" w:eastAsia="en-US" w:bidi="ar-SA"/>
        </w:rPr>
        <w:t xml:space="preserve"> at para. 233.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34"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at 251,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 must now gaze more deeply into the crystal ball. What sort of a career would the accident victim have had? What were his prospects and potential prior to the accident? It is not loss of earnings but, rather, loss of earning capacity for which compensation must be made: </w:t>
      </w:r>
      <w:r>
        <w:rPr>
          <w:rFonts w:ascii="arial" w:eastAsia="arial" w:hAnsi="arial" w:cs="arial"/>
          <w:i/>
          <w:color w:val="000000"/>
          <w:sz w:val="20"/>
          <w:lang w:val="en-US" w:eastAsia="en-US" w:bidi="ar-SA"/>
        </w:rPr>
        <w:t>The Queen v. Jennings,</w:t>
      </w:r>
      <w:r>
        <w:rPr>
          <w:rFonts w:ascii="arial" w:eastAsia="arial" w:hAnsi="arial" w:cs="arial"/>
          <w:color w:val="000000"/>
          <w:sz w:val="20"/>
          <w:lang w:val="en-US" w:eastAsia="en-US" w:bidi="ar-SA"/>
        </w:rPr>
        <w:t xml:space="preserve"> </w:t>
      </w:r>
      <w:hyperlink r:id="rId375" w:history="1">
        <w:r>
          <w:rPr>
            <w:rFonts w:ascii="arial" w:eastAsia="arial" w:hAnsi="arial" w:cs="arial"/>
            <w:i/>
            <w:color w:val="0077CC"/>
            <w:sz w:val="20"/>
            <w:u w:val="single"/>
            <w:shd w:val="clear" w:color="auto" w:fill="FFFFFF"/>
            <w:lang w:val="en-US" w:eastAsia="en-US" w:bidi="ar-SA"/>
          </w:rPr>
          <w:t>[1966] S.C.R. 532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 capital asset has been lost: what was its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Reilly v.</w:t>
      </w:r>
      <w:r>
        <w:rPr>
          <w:rFonts w:ascii="arial" w:eastAsia="arial" w:hAnsi="arial" w:cs="arial"/>
          <w:color w:val="000000"/>
          <w:sz w:val="20"/>
          <w:lang w:val="en-US" w:eastAsia="en-US" w:bidi="ar-SA"/>
        </w:rPr>
        <w:t xml:space="preserve"> Lynn, </w:t>
      </w:r>
      <w:hyperlink r:id="rId121" w:history="1">
        <w:r>
          <w:rPr>
            <w:rFonts w:ascii="arial" w:eastAsia="arial" w:hAnsi="arial" w:cs="arial"/>
            <w:i/>
            <w:color w:val="0077CC"/>
            <w:sz w:val="20"/>
            <w:u w:val="single"/>
            <w:shd w:val="clear" w:color="auto" w:fill="FFFFFF"/>
            <w:lang w:val="en-US" w:eastAsia="en-US" w:bidi="ar-SA"/>
          </w:rPr>
          <w:t>2003 BCCA 49</w:t>
        </w:r>
      </w:hyperlink>
      <w:r>
        <w:rPr>
          <w:rFonts w:ascii="arial" w:eastAsia="arial" w:hAnsi="arial" w:cs="arial"/>
          <w:color w:val="000000"/>
          <w:sz w:val="20"/>
          <w:lang w:val="en-US" w:eastAsia="en-US" w:bidi="ar-SA"/>
        </w:rPr>
        <w:t xml:space="preserve"> at para. 101,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standard of proof in relation to future events is simple probability, not the balance of probabilities, and hypothetical events are to be given weight according to their relative likelihood: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30"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27. A plaintiff is entitled to compensation for real and substantial possibilities of loss, which are to be quantified by estimating the chance of the loss occurring: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v. </w:t>
      </w:r>
      <w:r>
        <w:rPr>
          <w:rFonts w:ascii="arial" w:eastAsia="arial" w:hAnsi="arial" w:cs="arial"/>
          <w:i/>
          <w:color w:val="000000"/>
          <w:sz w:val="20"/>
          <w:lang w:val="en-US" w:eastAsia="en-US" w:bidi="ar-SA"/>
        </w:rPr>
        <w:t>Leonati. supra,</w:t>
      </w:r>
      <w:r>
        <w:rPr>
          <w:rFonts w:ascii="arial" w:eastAsia="arial" w:hAnsi="arial" w:cs="arial"/>
          <w:color w:val="000000"/>
          <w:sz w:val="20"/>
          <w:lang w:val="en-US" w:eastAsia="en-US" w:bidi="ar-SA"/>
        </w:rPr>
        <w:t xml:space="preserve"> at para. 27,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v. </w:t>
      </w:r>
      <w:r>
        <w:rPr>
          <w:rFonts w:ascii="arial" w:eastAsia="arial" w:hAnsi="arial" w:cs="arial"/>
          <w:i/>
          <w:color w:val="000000"/>
          <w:sz w:val="20"/>
          <w:lang w:val="en-US" w:eastAsia="en-US" w:bidi="ar-SA"/>
        </w:rPr>
        <w:t>Funk</w:t>
      </w:r>
      <w:r>
        <w:rPr>
          <w:rFonts w:ascii="arial" w:eastAsia="arial" w:hAnsi="arial" w:cs="arial"/>
          <w:color w:val="000000"/>
          <w:sz w:val="20"/>
          <w:lang w:val="en-US" w:eastAsia="en-US" w:bidi="ar-SA"/>
        </w:rPr>
        <w:t xml:space="preserve"> </w:t>
      </w:r>
      <w:hyperlink r:id="rId122" w:history="1">
        <w:r>
          <w:rPr>
            <w:rFonts w:ascii="arial" w:eastAsia="arial" w:hAnsi="arial" w:cs="arial"/>
            <w:i/>
            <w:color w:val="0077CC"/>
            <w:sz w:val="20"/>
            <w:u w:val="single"/>
            <w:shd w:val="clear" w:color="auto" w:fill="FFFFFF"/>
            <w:lang w:val="en-US" w:eastAsia="en-US" w:bidi="ar-SA"/>
          </w:rPr>
          <w:t>(1990), 46 B.C.L.R. (2d) 133</w:t>
        </w:r>
      </w:hyperlink>
      <w:r>
        <w:rPr>
          <w:rFonts w:ascii="arial" w:eastAsia="arial" w:hAnsi="arial" w:cs="arial"/>
          <w:color w:val="000000"/>
          <w:sz w:val="20"/>
          <w:lang w:val="en-US" w:eastAsia="en-US" w:bidi="ar-SA"/>
        </w:rPr>
        <w:t xml:space="preserve"> at 135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Bhadlawala v. Baxter,</w:t>
      </w:r>
      <w:r>
        <w:rPr>
          <w:rFonts w:ascii="arial" w:eastAsia="arial" w:hAnsi="arial" w:cs="arial"/>
          <w:color w:val="000000"/>
          <w:sz w:val="20"/>
          <w:lang w:val="en-US" w:eastAsia="en-US" w:bidi="ar-SA"/>
        </w:rPr>
        <w:t xml:space="preserve"> </w:t>
      </w:r>
      <w:hyperlink r:id="rId815" w:history="1">
        <w:r>
          <w:rPr>
            <w:rFonts w:ascii="arial" w:eastAsia="arial" w:hAnsi="arial" w:cs="arial"/>
            <w:i/>
            <w:color w:val="0077CC"/>
            <w:sz w:val="20"/>
            <w:u w:val="single"/>
            <w:shd w:val="clear" w:color="auto" w:fill="FFFFFF"/>
            <w:lang w:val="en-US" w:eastAsia="en-US" w:bidi="ar-SA"/>
          </w:rPr>
          <w:t>2012 BCSC 366</w:t>
        </w:r>
      </w:hyperlink>
      <w:r>
        <w:rPr>
          <w:rFonts w:ascii="arial" w:eastAsia="arial" w:hAnsi="arial" w:cs="arial"/>
          <w:color w:val="000000"/>
          <w:sz w:val="20"/>
          <w:lang w:val="en-US" w:eastAsia="en-US" w:bidi="ar-SA"/>
        </w:rPr>
        <w:t>, at para. 138,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assessment of loss of future earning capacity is not a mathematical exercise, and must deal to some extent with the unknowable. As Huddart J.A. put it in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124"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9, '[p]ossibilities and probabilities, chances, opportunities, and risks must all be considered, so long as they are a real and substantial possibility and not mere speculation'."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Mr. Stull says the evidence has established that there is a real and substantial possibility that he will suffer a loss of future earning capacity as a result of the injuries suffered in the motor vehicle accident. He submits a fair and reasonable assessment in these circumstances would be an award in the neighbourhood of $478,000, this figure being reduced from the original submission that $600,000 would be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plaintiff says that it is reasonable to expect that Mr. Stull will achieve only future net income of between $20,000 and $30,000 year over year, as opposed to the $56,000 he would have earned if there had been no accident based on the 2006 Census data for floor layers and a "contractor/manager", the projected 12 to 13 percent increase in annual gross revenue, and that he will retire sometime between ages 65 and 70. The plaintiff therefore submits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 reasonable assessment of Mr. Stull's future income loss is somewhere between the figures of $351,788.80 ($30,000 net income to age 65) and $605,157.60 ($20,000 net income to age 70). The mid-point between these two figures is $478,468.20.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 plaintiff says that this amount is reasonable, applying 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math-oriented methodology of postulating a minimal annual income loss of the plaintiff's remaining years of work, multiplying the annual projected loss by the number of remaining years and calculating a present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As such, the plaintiff submits that using the capital asset approach and simply applying an award based on Mr. Stull's annual income for a year or two is inappropriate on the facts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Conversely, the defendants submit that given the uncertainties in the construction and renovation business in general and hardwood floor installation in particular, the earnings approach is not appropriate. They say the correct approach, if indeed the court is satisfied that there should be an award for loss of future earning capacity, is the capital asset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In support of this submission, the defendants say the plaintiff's loss is not easily measurable. This is because the defendants say Mr. Stull's business is subject to fluctuating gross revenues as well as expenses related to labour and materials. Moreover, his business is susceptible to changing market conditions. Mr. Nordin also noted that during a downturn in the economy, people "tend to put off" flooring and these "kinds of businesses do suffer."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Moreover, I have already determined that it is inappropriate to measure Mr. Stall's past income loss based on the assumption that Mr. Stull's revenues would have grown on a compounding basis at 12 to 13 percent per year and then remain fairly constant, or that he will achieve a specific maximum level of income. I make the same determination when considering any loss of future earning capacity if, in fact, the evidence establishes a real and substantial likelihood that Mr. Stull's future earning capacity has been impaired by his accident-related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When considering this question, I am satisfied that the mere fact that Mr. Stull, through stoicism and dedication, has returned to his usual employment is not sufficient to conclude he has failed to establish there is a real and substantial possibility of a future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Given the evidence I have accepted, I am satisfied Mr. Stull has met the initial burden of establishing that there is a real and substantial possibility of income loss, as required by our Court of Appeal in such cases as </w:t>
      </w:r>
      <w:r>
        <w:rPr>
          <w:rFonts w:ascii="arial" w:eastAsia="arial" w:hAnsi="arial" w:cs="arial"/>
          <w:i/>
          <w:color w:val="000000"/>
          <w:sz w:val="20"/>
          <w:lang w:val="en-US" w:eastAsia="en-US" w:bidi="ar-SA"/>
        </w:rPr>
        <w:t>Perrin v. Lalari</w:t>
      </w:r>
      <w:r>
        <w:rPr>
          <w:rFonts w:ascii="arial" w:eastAsia="arial" w:hAnsi="arial" w:cs="arial"/>
          <w:color w:val="000000"/>
          <w:sz w:val="20"/>
          <w:lang w:val="en-US" w:eastAsia="en-US" w:bidi="ar-SA"/>
        </w:rPr>
        <w:t xml:space="preserve">, </w:t>
      </w:r>
      <w:hyperlink r:id="rId116"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First, I have accepted Mr. Stull's testimony that he has difficulty with respect to the heavier aspects of the floor installation business due to the soft tissue injuries he suffered in the motor vehicle accident. Having accepted Mr. Stull's testimony, I cannot agree with the defendants that he stands to suffer no future losses under this head. Mr. Nordin's opinion at p. 16 is helpful: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result of his ongoing symptoms Mr. Stull will not be able to access labouring jobs such as construction helper, warehouse man, deck hand, etc. (jobs that would have been potential options for him pre-accident).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believe, therefore, his residual vocational options have been significantly diminished by his ongoing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While it is true that Mr. Nordin agreed in cross-examination that because Mr. Stull is presently earning a reasonable income, his best option is to continue to operate his flooring business, he did observe that this would require Mr. Stull "to make adaptions."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Similarly, Mr. Vandenboer expressed the opinion that Mr. Stull will likely continue to experience ongoing symptomology, depending on any particular activity he might undertake, and that this will focus on his low back and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Dr. Martin expressed the opinion that Mr. Stull has reached maximum medical improvement and that, while he will be able to carry on in his business and improve his symptomology or decrease his pain and discomfort if he moves into more supervisory activities and reduce his heavy labouring, it is only by way of these modifications in his business activities that he will be able to work to full capacity in this occupation.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Finally, as I have mentioned, Dr. Sidky expressed the opinion that Mr. Stull should attempt to find a different occupation that does not involve constant bending and stooping and repetitive motions as these activities might result in "ongoing flares" of his back pain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In my view, this latter opinion from Dr. Sidky undermines the defendants' submission that "the plaintiff has not received any medical advice to change his occupation as a result of the injuries he sustained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Given that I have found that Mr. Stull's present difficulties in his back are a result of the accident, I cannot accept the defendants' submission that Mr. Stull's future earning capacity has not been impaired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I also accept Mr. Stull's evidence that, while he has not turned down any jobs he is "qualified" to do, he is not as busy now as he was partly because he is taking longer to complete the jobs he has taken on since his return to full-time work, as well as because of the vagaries of the construction industry.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Finally, because of the accident, he is no longer Slegg Lumber's number one installer.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Given the totality of the evidence, I am satisfied that Mr. Stull has established that he has been rendered less capable of earning income from all types of employment. He has lost the ability to take advantage of all job opportunities which might have otherwise been open to him had he not been injured and he is now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As a result, Mr. Stull's future earning capacity has been impaired. Even though it would appear Mr. Stull will carry on as best he can in the floor laying business, it would be at reduced efficiency because of the injuries caused by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Having concluded that Mr. Stull has established that there is a real and substantial possibility he will suffer a loss of income earning capacity, I now turn to consider what is the appropriate methodology for determining a fair and reasonable award of damages under this heading.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xml:space="preserve">  On this point, the multiplier tables utilized by the economist, Mr. Carson, are of some assistance to the court in assessing what would be a fair and reasonable assessment under this heading of damages. They are useful to a certain extent in illustrating "at least in a broad sense" the claim relating to loss of earning capacity. See </w:t>
      </w:r>
      <w:r>
        <w:rPr>
          <w:rFonts w:ascii="arial" w:eastAsia="arial" w:hAnsi="arial" w:cs="arial"/>
          <w:i/>
          <w:color w:val="000000"/>
          <w:sz w:val="20"/>
          <w:lang w:val="en-US" w:eastAsia="en-US" w:bidi="ar-SA"/>
        </w:rPr>
        <w:t>Wong v. Hemmings</w:t>
      </w:r>
      <w:r>
        <w:rPr>
          <w:rFonts w:ascii="arial" w:eastAsia="arial" w:hAnsi="arial" w:cs="arial"/>
          <w:color w:val="000000"/>
          <w:sz w:val="20"/>
          <w:lang w:val="en-US" w:eastAsia="en-US" w:bidi="ar-SA"/>
        </w:rPr>
        <w:t xml:space="preserve">, </w:t>
      </w:r>
      <w:hyperlink r:id="rId814" w:history="1">
        <w:r>
          <w:rPr>
            <w:rFonts w:ascii="arial" w:eastAsia="arial" w:hAnsi="arial" w:cs="arial"/>
            <w:i/>
            <w:color w:val="0077CC"/>
            <w:sz w:val="20"/>
            <w:u w:val="single"/>
            <w:shd w:val="clear" w:color="auto" w:fill="FFFFFF"/>
            <w:lang w:val="en-US" w:eastAsia="en-US" w:bidi="ar-SA"/>
          </w:rPr>
          <w:t>2012 BCSC 907</w:t>
        </w:r>
      </w:hyperlink>
      <w:r>
        <w:rPr>
          <w:rFonts w:ascii="arial" w:eastAsia="arial" w:hAnsi="arial" w:cs="arial"/>
          <w:color w:val="000000"/>
          <w:sz w:val="20"/>
          <w:lang w:val="en-US" w:eastAsia="en-US" w:bidi="ar-SA"/>
        </w:rPr>
        <w:t>, at para. 157.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However, given the totality of the circumstances, I agree with the defendants that the capital asset approach is appropriate in these circumstances, notwithstanding the fact that Mr. Stull has been engaged in this business for approximately seven or eight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At the same time, it is necessary to acknowledge the potential for various positive and negative contingencies occurring over the working life of any plaintiff. Positive contingencies would include potential improvements in health and an expansion of Mr. Stull's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xml:space="preserve">  Conversely, I must take into consideration the negative contingencies that the construction industry could suffer another significant downturn, or that Mr. Stull, even without the accident, might not continue to work as a floor layer to 65 or 70 years of age. On this latter point, I note Mr. Stull's own testimony that his intention, before the accident, was to "retire early." There are also the usual chances and hazards of life. See </w:t>
      </w:r>
      <w:r>
        <w:rPr>
          <w:rFonts w:ascii="arial" w:eastAsia="arial" w:hAnsi="arial" w:cs="arial"/>
          <w:i/>
          <w:color w:val="000000"/>
          <w:sz w:val="20"/>
          <w:lang w:val="en-US" w:eastAsia="en-US" w:bidi="ar-SA"/>
        </w:rPr>
        <w:t>Trites v. Penner</w:t>
      </w:r>
      <w:r>
        <w:rPr>
          <w:rFonts w:ascii="arial" w:eastAsia="arial" w:hAnsi="arial" w:cs="arial"/>
          <w:color w:val="000000"/>
          <w:sz w:val="20"/>
          <w:lang w:val="en-US" w:eastAsia="en-US" w:bidi="ar-SA"/>
        </w:rPr>
        <w:t xml:space="preserve">, </w:t>
      </w:r>
      <w:hyperlink r:id="rId174" w:history="1">
        <w:r>
          <w:rPr>
            <w:rFonts w:ascii="arial" w:eastAsia="arial" w:hAnsi="arial" w:cs="arial"/>
            <w:i/>
            <w:color w:val="0077CC"/>
            <w:sz w:val="20"/>
            <w:u w:val="single"/>
            <w:shd w:val="clear" w:color="auto" w:fill="FFFFFF"/>
            <w:lang w:val="en-US" w:eastAsia="en-US" w:bidi="ar-SA"/>
          </w:rPr>
          <w:t>2010 BCSC 882</w:t>
        </w:r>
      </w:hyperlink>
      <w:r>
        <w:rPr>
          <w:rFonts w:ascii="arial" w:eastAsia="arial" w:hAnsi="arial" w:cs="arial"/>
          <w:color w:val="000000"/>
          <w:sz w:val="20"/>
          <w:lang w:val="en-US" w:eastAsia="en-US" w:bidi="ar-SA"/>
        </w:rPr>
        <w:t>, at para. 228.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The defence submits that, even if I do conclude that Mr. Stull has a partial disability because of injuries suffered in the accident that affect the heavier aspects of the floor installation work, he would still likely be able to replace any lost income, and perhaps earn more, by taking on more of a managerial role, or that he might be able to find other jobs that do not require as much stooping, bending over and heavy lifting, "although he tested readily capable of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As a result, the defendants say that, because the overriding principle is the fairness and reasonableness of the award to both the plaintiff and the defendants, the award under this head of damages should be $30,000 to $60,000. This award would approximate one or two years of Mr. Stull's average annual net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In my opinion, such an award is unduly low, but at the same time the amount suggested by the plaintiff is not supportable having regard to the totality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However, Mr. Stull is a relatively young man and can reasonably expect to remain in the workforce for many years. Given his occupation as a floor layer, one of his most valuable assets was the resilience and ability of his body to do physical labour. The motor vehicle accident has affected that asset and Mr. Stull should be compensated. Given all of the evidence and taking into consideration the various contingencies I have referred to, I am satisfied a fair and reasonable award for loss of future earning capacity is $150,000.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xml:space="preserve">  The defendants say that Mr. Stull's damage award should be reduced because of a failure to mitigate his losses. The Supreme Court of Canada in </w:t>
      </w:r>
      <w:r>
        <w:rPr>
          <w:rFonts w:ascii="arial" w:eastAsia="arial" w:hAnsi="arial" w:cs="arial"/>
          <w:i/>
          <w:color w:val="000000"/>
          <w:sz w:val="20"/>
          <w:lang w:val="en-US" w:eastAsia="en-US" w:bidi="ar-SA"/>
        </w:rPr>
        <w:t>Janiak v. Ippolito</w:t>
      </w:r>
      <w:r>
        <w:rPr>
          <w:rFonts w:ascii="arial" w:eastAsia="arial" w:hAnsi="arial" w:cs="arial"/>
          <w:color w:val="000000"/>
          <w:sz w:val="20"/>
          <w:lang w:val="en-US" w:eastAsia="en-US" w:bidi="ar-SA"/>
        </w:rPr>
        <w:t xml:space="preserve">, </w:t>
      </w:r>
      <w:hyperlink r:id="rId364" w:history="1">
        <w:r>
          <w:rPr>
            <w:rFonts w:ascii="arial" w:eastAsia="arial" w:hAnsi="arial" w:cs="arial"/>
            <w:i/>
            <w:color w:val="0077CC"/>
            <w:sz w:val="20"/>
            <w:u w:val="single"/>
            <w:shd w:val="clear" w:color="auto" w:fill="FFFFFF"/>
            <w:lang w:val="en-US" w:eastAsia="en-US" w:bidi="ar-SA"/>
          </w:rPr>
          <w:t>[1985] 1 S.C.R. 146</w:t>
        </w:r>
      </w:hyperlink>
      <w:r>
        <w:rPr>
          <w:rFonts w:ascii="arial" w:eastAsia="arial" w:hAnsi="arial" w:cs="arial"/>
          <w:color w:val="000000"/>
          <w:sz w:val="20"/>
          <w:lang w:val="en-US" w:eastAsia="en-US" w:bidi="ar-SA"/>
        </w:rPr>
        <w:t>, spoke about the burden of proof as it pertains to mitigation. The court there stated:</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a plaintiff has the burden of proving both the fact that he has suffered damage and the quantum of that damage, the burden of proof moves to the defendant if he alleges that the plaintiff could have and should have mitigated his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court also said:</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Turning now to the implication of a finding of unreasonableness for the plaintiff's recovery, it is clear that the so-called "duty to mitigate" derives from the general proposition that a plaintiff cannot recover from the defendant damages which he himself could have avoided by the taking of reasonable steps.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The defendants say that in the circumstances of this case, primarily because Mr. Stull has not embarked upon a rehabilitation program as recommended by Ms. Carrie Wright, an occupational therapist, the court should find that he has failed to take reasonable steps to mitigate his damages, and that his award should be reduced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The plaintiff says that the evidence does not establish he failed to mitigate his losses, given that he engaged in a strenuous rehabilitation program with the Canadian Back Institute that resulted in him eventually participating in the "Graduated Return to Work Program" and that he returned to the work force, albeit in a limited capacity, by April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On this point I note that Dr. Martin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Stull has had the benefit of multidisciplinary rehabilitation programs, and at this point, in my opinion, he would not benefit from further attendance.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xml:space="preserve">  On this issue, both counsel have referred to the decision of our Court of Appeal in </w:t>
      </w:r>
      <w:r>
        <w:rPr>
          <w:rFonts w:ascii="arial" w:eastAsia="arial" w:hAnsi="arial" w:cs="arial"/>
          <w:i/>
          <w:color w:val="000000"/>
          <w:sz w:val="20"/>
          <w:lang w:val="en-US" w:eastAsia="en-US" w:bidi="ar-SA"/>
        </w:rPr>
        <w:t>Chiu v. Chiu</w:t>
      </w:r>
      <w:r>
        <w:rPr>
          <w:rFonts w:ascii="arial" w:eastAsia="arial" w:hAnsi="arial" w:cs="arial"/>
          <w:color w:val="000000"/>
          <w:sz w:val="20"/>
          <w:lang w:val="en-US" w:eastAsia="en-US" w:bidi="ar-SA"/>
        </w:rPr>
        <w:t xml:space="preserve">, </w:t>
      </w:r>
      <w:hyperlink r:id="rId529" w:history="1">
        <w:r>
          <w:rPr>
            <w:rFonts w:ascii="arial" w:eastAsia="arial" w:hAnsi="arial" w:cs="arial"/>
            <w:i/>
            <w:color w:val="0077CC"/>
            <w:sz w:val="20"/>
            <w:u w:val="single"/>
            <w:shd w:val="clear" w:color="auto" w:fill="FFFFFF"/>
            <w:lang w:val="en-US" w:eastAsia="en-US" w:bidi="ar-SA"/>
          </w:rPr>
          <w:t>2002 BCCA 618</w:t>
        </w:r>
      </w:hyperlink>
      <w:r>
        <w:rPr>
          <w:rFonts w:ascii="arial" w:eastAsia="arial" w:hAnsi="arial" w:cs="arial"/>
          <w:color w:val="000000"/>
          <w:sz w:val="20"/>
          <w:lang w:val="en-US" w:eastAsia="en-US" w:bidi="ar-SA"/>
        </w:rPr>
        <w:t>, where Low J.A. set out the following tests with respect to the issue of a duty to mitigate:</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onus is on the defendant to prove that the plaintiff could have avoided all or a portion of his loss. In a personal injury case in which the plaintiff has not pursued a course of medical treatment recommended to him by doctors, the defendant must prove two things: (1) that the plaintiff acted unreasonably in eschewing the recommended treatment, and (2) the extent, if any, to which the plaintiff's damages would have been reduced had he acted reasonably. These principles are found in </w:t>
      </w:r>
      <w:r>
        <w:rPr>
          <w:rFonts w:ascii="arial" w:eastAsia="arial" w:hAnsi="arial" w:cs="arial"/>
          <w:i/>
          <w:color w:val="000000"/>
          <w:sz w:val="20"/>
          <w:lang w:val="en-US" w:eastAsia="en-US" w:bidi="ar-SA"/>
        </w:rPr>
        <w:t>Janiak v. Ippolito</w:t>
      </w:r>
      <w:r>
        <w:rPr>
          <w:rFonts w:ascii="arial" w:eastAsia="arial" w:hAnsi="arial" w:cs="arial"/>
          <w:color w:val="000000"/>
          <w:sz w:val="20"/>
          <w:lang w:val="en-US" w:eastAsia="en-US" w:bidi="ar-SA"/>
        </w:rPr>
        <w:t xml:space="preserve">, </w:t>
      </w:r>
      <w:hyperlink r:id="rId364" w:history="1">
        <w:r>
          <w:rPr>
            <w:rFonts w:ascii="arial" w:eastAsia="arial" w:hAnsi="arial" w:cs="arial"/>
            <w:i/>
            <w:color w:val="0077CC"/>
            <w:sz w:val="20"/>
            <w:u w:val="single"/>
            <w:shd w:val="clear" w:color="auto" w:fill="FFFFFF"/>
            <w:lang w:val="en-US" w:eastAsia="en-US" w:bidi="ar-SA"/>
          </w:rPr>
          <w:t>[1985] 1 S.C.R. 146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xml:space="preserve">  Moreover, the defendants cite </w:t>
      </w:r>
      <w:r>
        <w:rPr>
          <w:rFonts w:ascii="arial" w:eastAsia="arial" w:hAnsi="arial" w:cs="arial"/>
          <w:i/>
          <w:color w:val="000000"/>
          <w:sz w:val="20"/>
          <w:lang w:val="en-US" w:eastAsia="en-US" w:bidi="ar-SA"/>
        </w:rPr>
        <w:t>Southcott Estates Inc. v. Toronto Catholic District School Board</w:t>
      </w:r>
      <w:r>
        <w:rPr>
          <w:rFonts w:ascii="arial" w:eastAsia="arial" w:hAnsi="arial" w:cs="arial"/>
          <w:color w:val="000000"/>
          <w:sz w:val="20"/>
          <w:lang w:val="en-US" w:eastAsia="en-US" w:bidi="ar-SA"/>
        </w:rPr>
        <w:t xml:space="preserve">, </w:t>
      </w:r>
      <w:hyperlink r:id="rId816" w:history="1">
        <w:r>
          <w:rPr>
            <w:rFonts w:ascii="arial" w:eastAsia="arial" w:hAnsi="arial" w:cs="arial"/>
            <w:i/>
            <w:color w:val="0077CC"/>
            <w:sz w:val="20"/>
            <w:u w:val="single"/>
            <w:shd w:val="clear" w:color="auto" w:fill="FFFFFF"/>
            <w:lang w:val="en-US" w:eastAsia="en-US" w:bidi="ar-SA"/>
          </w:rPr>
          <w:t>2012 SCC 51</w:t>
        </w:r>
      </w:hyperlink>
      <w:r>
        <w:rPr>
          <w:rFonts w:ascii="arial" w:eastAsia="arial" w:hAnsi="arial" w:cs="arial"/>
          <w:color w:val="000000"/>
          <w:sz w:val="20"/>
          <w:lang w:val="en-US" w:eastAsia="en-US" w:bidi="ar-SA"/>
        </w:rPr>
        <w:t>, a recent decision of the Supreme Court of Canada that states the correct test is whether mitigation was possible, not probable.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At paragraph 24,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general rule, a plaintiff will not be able to recover for those losses which he could have avoided by taking reasonable steps. Where it is alleged that the plaintiff has failed to mitigate, the burden of proof is on the defendant, who needs to prove both that the plaintiff has failed to make reasonable efforts to mitigate and that mitigation was possible (</w:t>
      </w:r>
      <w:r>
        <w:rPr>
          <w:rFonts w:ascii="arial" w:eastAsia="arial" w:hAnsi="arial" w:cs="arial"/>
          <w:i/>
          <w:color w:val="000000"/>
          <w:sz w:val="20"/>
          <w:lang w:val="en-US" w:eastAsia="en-US" w:bidi="ar-SA"/>
        </w:rPr>
        <w:t>Red Deer College v. Michaels</w:t>
      </w:r>
      <w:r>
        <w:rPr>
          <w:rFonts w:ascii="arial" w:eastAsia="arial" w:hAnsi="arial" w:cs="arial"/>
          <w:color w:val="000000"/>
          <w:sz w:val="20"/>
          <w:lang w:val="en-US" w:eastAsia="en-US" w:bidi="ar-SA"/>
        </w:rPr>
        <w:t xml:space="preserve">, </w:t>
      </w:r>
      <w:hyperlink r:id="rId817" w:history="1">
        <w:r>
          <w:rPr>
            <w:rFonts w:ascii="arial" w:eastAsia="arial" w:hAnsi="arial" w:cs="arial"/>
            <w:i/>
            <w:color w:val="0077CC"/>
            <w:sz w:val="20"/>
            <w:u w:val="single"/>
            <w:shd w:val="clear" w:color="auto" w:fill="FFFFFF"/>
            <w:lang w:val="en-US" w:eastAsia="en-US" w:bidi="ar-SA"/>
          </w:rPr>
          <w:t>[1976] 2 S.C.R. 324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At paragraph 25, the court concluded by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Mitigation is a doctrine based on fairness and common sense, which seeks to do justice between the parties in the particular circumstances of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The primary basis for the defendants' submission is that Mr. Stull attended Ms. Wright for the "express purpose of assessment of his rehabilitation needs." Ms. Wright made recommendations for an exercise program with a kinesiologist, as well as other pain management strategies. The defendants submit that Mr. Stull has acknowledged that he did not follow the specific recommendations advanced by Ms. Wright, and when combined with the evidence of Drs. Roe and Martin, and Mr. Vandenboer, Mr. Stull's chances of improvement would increase if he were to undertake the recommendations for improving his strength, endurance and posture. Indeed, all the medical witnesses agreed that exercise and weight loss would assist in improving Mr. Stull's chances of relieving his back pain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Conversely, the plaintiff says he has not failed to mitigate his damages given that he participated in the CBI Rehabilitation Program and has continued to engage in an independent exercise program, albeit not supervised by an independent kinesiologist. Once again I find Mr. Stull a credible witness when he says he is embarking upon a reasonable exercise program in an attempt to increase his strength and endurance in order to allow him to deal with the heavier aspects of his work. I accept his evidence when he says he follows the recommendations he has received from other physiotherapy personnel and has increased his core strengthening exercise program from three times a week to every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In these circumstances, and while a more stringent rehabilitation regime probably would assist Mr. Stull in his rehabilitation, I am not satisfied that the defendants have established that Mr. Stull was acting unreasonably by not addressing the specific recommendations made by Ms. Wright or that the defendants have established that Mr. Stull's damages would have been reduced had he in fact done so. I am satisfied he has taken reasonable steps to mitigate by embarking upon the comprehensive CBI Program, by returning to work and working as hard as he can, given his limitations, by attempting to reduce his weight by dieting and by stepping up his home exercise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I am therefore not satisfied that the defendants have established Mr. Stull has failed to mitigate his loss. There will be no reduction in damages on the basis of a 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I am satisfied that the amount claimed by the plaintiff for special damages were reasonably incurred as a result of the accident. There will be an award for special damages in the amount of $2,123.57.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xml:space="preserve">  As the defendants submit, any award for future care is based on what is reasonably necessary on the medical evidence to promote the mental and physical health of the plaintiff. Moreover, there must be a medical justification for claims for cost of future care and the claims must be reasonable: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123" w:history="1">
        <w:r>
          <w:rPr>
            <w:rFonts w:ascii="arial" w:eastAsia="arial" w:hAnsi="arial" w:cs="arial"/>
            <w:i/>
            <w:color w:val="0077CC"/>
            <w:sz w:val="20"/>
            <w:u w:val="single"/>
            <w:shd w:val="clear" w:color="auto" w:fill="FFFFFF"/>
            <w:lang w:val="en-US" w:eastAsia="en-US" w:bidi="ar-SA"/>
          </w:rPr>
          <w:t>(1985), 49 B.C.L.R. (2nd) 33</w:t>
        </w:r>
      </w:hyperlink>
      <w:r>
        <w:rPr>
          <w:rFonts w:ascii="arial" w:eastAsia="arial" w:hAnsi="arial" w:cs="arial"/>
          <w:color w:val="000000"/>
          <w:sz w:val="20"/>
          <w:lang w:val="en-US" w:eastAsia="en-US" w:bidi="ar-SA"/>
        </w:rPr>
        <w:t xml:space="preserve"> at 78 (B.C.S.C.), aff'd </w:t>
      </w:r>
      <w:hyperlink r:id="rId344" w:history="1">
        <w:r>
          <w:rPr>
            <w:rFonts w:ascii="arial" w:eastAsia="arial" w:hAnsi="arial" w:cs="arial"/>
            <w:i/>
            <w:color w:val="0077CC"/>
            <w:sz w:val="20"/>
            <w:u w:val="single"/>
            <w:shd w:val="clear" w:color="auto" w:fill="FFFFFF"/>
            <w:lang w:val="en-US" w:eastAsia="en-US" w:bidi="ar-SA"/>
          </w:rPr>
          <w:t>(1987), 49 B.C.L.R. (2nd) 99</w:t>
        </w:r>
      </w:hyperlink>
      <w:r>
        <w:rPr>
          <w:rFonts w:ascii="arial" w:eastAsia="arial" w:hAnsi="arial" w:cs="arial"/>
          <w:color w:val="000000"/>
          <w:sz w:val="20"/>
          <w:lang w:val="en-US" w:eastAsia="en-US" w:bidi="ar-SA"/>
        </w:rPr>
        <w:t>, paras. 184 and 211 (B.C.C.A.). On this point, the plaintiff submits that an amount of $5,000 would be reasonable for the cost of future care on the basis that there is medical evidence to suggest that some physiotherapy and massage would be of assistance to Mr. Stull in the future irrespective of whether he has actively participated in such physiotherapy in the past. Dr. Martin stated that Mr. Stull would benefit from periodic chiropractic or massage therapy. Dr. Roe agreed with Dr. Martin's recommendations.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The plaintiff acknowledges that this is a purely arbitrary figure. Even though the plaintiff did not provide any specific evidence about the actual cost of massage treatment or physiotherapy, I am satisfied a reasonable award for the cost of this future care would be $1,000.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The award will be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1882"/>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$85,000.00</w:t>
            </w:r>
          </w:p>
        </w:tc>
        <w:tc>
          <w:tcPr>
            <w:tcW w:w="450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033"/>
        <w:gridCol w:w="2195"/>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income loss</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$50,000.00</w:t>
            </w:r>
          </w:p>
        </w:tc>
        <w:tc>
          <w:tcPr>
            <w:tcW w:w="450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033"/>
        <w:gridCol w:w="2405"/>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9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future</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301"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earning capacity</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$150,000.00</w:t>
            </w:r>
          </w:p>
        </w:tc>
        <w:tc>
          <w:tcPr>
            <w:tcW w:w="4301"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927"/>
        <w:gridCol w:w="2196"/>
        <w:gridCol w:w="470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$2,123.57</w:t>
            </w:r>
          </w:p>
        </w:tc>
        <w:tc>
          <w:tcPr>
            <w:tcW w:w="460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2510"/>
        <w:gridCol w:w="470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Future care</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$1,000.00</w:t>
            </w:r>
          </w:p>
        </w:tc>
        <w:tc>
          <w:tcPr>
            <w:tcW w:w="460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TOTAL</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$288,123.57</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Unless there are facts unknown to me which could reasonably affect the issue of costs, I am satisfied the plaintiff is entitled to his costs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B.D. MacKENZIE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9" style="position:absolute;z-index:2518005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18"/>
          <w:headerReference w:type="default" r:id="rId819"/>
          <w:footerReference w:type="even" r:id="rId820"/>
          <w:footerReference w:type="default" r:id="rId821"/>
          <w:headerReference w:type="first" r:id="rId822"/>
          <w:footerReference w:type="first" r:id="rId82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24" w:history="1">
        <w:r>
          <w:rPr>
            <w:rFonts w:ascii="arial" w:eastAsia="arial" w:hAnsi="arial" w:cs="arial"/>
            <w:b/>
            <w:bCs/>
            <w:i/>
            <w:color w:val="0077CC"/>
            <w:kern w:val="32"/>
            <w:sz w:val="28"/>
            <w:szCs w:val="32"/>
            <w:u w:val="single"/>
            <w:shd w:val="clear" w:color="auto" w:fill="FFFFFF"/>
            <w:lang w:val="en-US" w:eastAsia="en-US" w:bidi="ar-SA"/>
          </w:rPr>
          <w:t>Toronto-Dominion Bank v. Ng, [2015] B.C.J. No. 1547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R.S. Tindale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21-23,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22,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S130392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1547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1264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The Toronto Dominion Bank, Plaintiff, and Andrew Ng,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(83 paras.)</w:t>
      </w:r>
    </w:p>
    <w:p>
      <w:pPr>
        <w:jc w:val="both"/>
        <w:rPr>
          <w:rFonts w:ascii="arial" w:eastAsia="arial" w:hAnsi="arial" w:cs="arial"/>
          <w:sz w:val="20"/>
          <w:lang w:val="en-US" w:eastAsia="en-US" w:bidi="ar-SA"/>
        </w:rPr>
      </w:pPr>
      <w:bookmarkStart w:id="132" w:name="Counsel_39"/>
      <w:bookmarkEnd w:id="13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0" style="position:absolute;z-index:2517002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R.M. Morse.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A. Ng, Appearing In Person.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3" w:name="Judgment_39"/>
      <w:bookmarkEnd w:id="133"/>
      <w:r>
        <w:pict>
          <v:line id="_x0000_s1161" style="position:absolute;z-index:25175142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4" w:name="R.S. TINDALE J."/>
            <w:bookmarkEnd w:id="134"/>
            <w:r>
              <w:rPr>
                <w:rFonts w:ascii="arial" w:eastAsia="arial" w:hAnsi="arial" w:cs="arial"/>
                <w:b/>
                <w:color w:val="000000"/>
                <w:sz w:val="30"/>
                <w:lang w:val="en-US" w:eastAsia="en-US" w:bidi="ar-SA"/>
              </w:rPr>
              <w:t>R.S. TINDALE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the Toronto Dominion Bank, by way of a notice of civil claim filed January 17, 2013 seeks judgment against the defendant for repayment of monies owing pursuant to two lines of credit.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is opposed to this relief. The defendant has filed a counterclaim seeking repayment of interest payments made by him to the plaintiff from February 2002 until February 15,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April 1999, the defendant purchased three condominium units located at 887 Bay Street in Toronto, Ontario. The three units were 806, 1603, and 1609 (collectively, the "Units").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Initially, the defendant financed the purchase of the Units by way of mortgages with Canada Trust in May 1999. The amounts initially borrowed and the corresponding account numbers for the three units were: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Unit 806: $117,585 -- Account #027-0924670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Unit 1603: $79,235 -- Account #027-0924669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Unit 1609: $81,835 -- Account #027-0924700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June 1999, the defendant refinanced the Units as well as a number of other properties and replaced the mortgages on the Units with lines of credit (the "PowerLine Lines of Credit"). The amounts owing and new account numbers for the PowerLine Lines of Credit on the Units were: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Unit 806: $118,036 -- Account #5268 0319 7001 0469</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Unit 1603: $79,538 -- Account #5268 0319 7001 0477</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Unit 1609: $82,148 -- Account #5268 0319 7001 0436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Canada Trust merged with the plaintiff in 2001. Canada Trust's products were transferred to TD Canada Trust. As a result of this merger, new account numbers were assigned to all Canada Trust accounts. The defendant's Powerline Lines of Credit were given the following new account numbers: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Unit 806 -Account #5268 0319 7001 469 became #4505387</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Unit 1603 -- Account #5268 0319 7001 0477 became #4505395</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Unit 1609 -- Account #5268 0319 7001 0436 became #4505352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Powerline Lines of Credit after the merger were referred to as Home Equity Lines of Credit ("HELOC")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January 2002, the defendant borrowed further monies from the plaintiff and secured these amounts by granting mortgages over the Units. The amounts borrowed and mortgage account numbers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Unit 806: $202,800 -- Mortgage Account #1357666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Unit 1603: $120,250 -- Mortgage Account #1357682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Unit 1609: $123,500 -- Mortgage Account #1426061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January 30, 2002 the amount of $78,208.28 was withdrawn from the defendant's chequing account and used to pay the balance owing on HELOC account #4505352. That account was then 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 sold unit 806 in January 2003. Mortgage account #1357666 was paid out and the mortgage against unit 806 was discharged.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defendant sold unit 1603 in August 2005. Mortgage account #1357682 was paid out and the mortgage against unit 1603 was discharged.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HELOC accounts associated with units 806 and 1603 remained open.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issue on this trial is whether or not the mortgage proceeds for units 806 and 1603, which were deposited into the defendant's bank account, were used to pay out the HELOC accounts #4505387 and 4505395.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Lisa McKnight was employed with the plaintiff for 21 years. She was a senior manager with the plaintiff. She testified as to the interpretation and significance of the documents forming Exhibit 1 and Exhibit 2 in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McKnight testified that upon review of the documents the defendant in 1999 had eight active mortgages with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McKnight testified that the plaintiff does not normally keep copies of cheques, however, if they do it is only for a period of five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McKnight testified that Exhibit 1 tab 52 is an internal e-mail from one of the plaintiff's employees named Susan Abraham confirming that the mortgage proceeds associated with unit 1609 were paid into the defendant's bank account and the HELOC account associated with unit 1609 was paid out and 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McKnight testified that Exhibit 2 tab 93 at pages 24-25 confirms that, on January 30, 2002, the plaintiff deposited $123,500 into the defendant's bank account. These monies are the mortgage proceeds associated with unit 1609. These documents also show that the HELOC account associated with unit 1609 was paid out in full from the defendant's bank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McKnight testified that when a line of credit is paid off and closed the plaintiff generates a document in that regard. Exhibit 1 tab 53 is the document generated by the plaintiff with regard to the closing of the HELOC account associated with unit 1609.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McKnight testified that, on January 31, 2002, the plaintiff deposited $202,800 and $120,250 into the defendant's chequing account. She further testified that those were the mortgage proceeds secured by units 806 and 1603. The document confirming those transactions can be found in Exhibit 2 tab 93 at page 26. At page 28 of that document, there are three cheques written on the defendant's account in the amounts of $120,000, $20,000, and $80,000 respectively. Ms. McKnight could not say who those cheques were written to as the plaintiff does not keep cheques from that long ago.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McKnight testified that the plaintiff does not have any documents confirming deposits of $120,000 or $80,000 on account of the HELOC accounts associated with units 806 and 1603.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Ms. McKnight testified that Exhibit 2 tab 95 is the deposit account history for account #4505395, which is the HELOC account associated with unit 1603, and tab 96 of that same exhibit is the deposit account history for account #4505387, which is the HELOC account associated with unit 806. Ms. McKnight testified that the documents demonstrate that the defendant continued to use these accounts after those respective properties were sold.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By way of example, $80,000 was deposited on October 12, 2007 into HELOC account #4505395. On October 22, 2007 there were four debits against that account in the amounts of $25,000, $3000, $25,000, and 25,001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Ms. McKnight also testified that the practice of employees of the plaintiff when a client wishes to pay off an existing loan or line of credit is to debit the client's account in order to do this. She also testified that the plaintiff always provides a statement to the client for the exact amount owing on the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June 3, 2011, the plaintiff's counsel sent two letters to the defendant demanding payment on HELOC accounts #4505395 and #4505387. Ms. McKnight testified that, as of January 21, 2015, the amount owing for principal and interest on account #4505395 was $92,926.73 and the amount owing for principal and interest on account #4505387 was $137,905.25.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defendant agrees with the history of the Units as well as the various mortgages and lines of credit associated with them. He testified that in January 2002 units 806 and 1603 were appraised at much higher values than they had previously been. He refinanced units 806 and 1603 and was approved for new mortgages.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defendant testified that the plaintiff deposited $202,800 into his bank account, being the mortgage proceeds secured by unit 806, and it deposited $120,250 into his bank account, being the mortgage proceeds secured by unit 1603.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defendant testified that the remaining HELOC accounts were supposed to be paid out from the mortgage proceeds on these two units.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defendant sold unit 806 on January 6, 2003. The defendant paid the plaintiff $200,226.46 to discharge mortgage account #1357666. The plaintiff acknowledged receipt of this money. The defendant testified that at no time did he receive a demand from the plaintiff during or after the sale of unit 806 for payment of HELOC account #4505387.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defendant agrees that he continued to receive statements from the plaintiff for the HELOC account #4505387; however, he says he continued to pay the monthly payments because those statements do not identify what property the accounts are in relationship to. He said he was confused as to what these payments were for because he thought the HELOC account #4505387 was 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defendant sold unit 1603 on August 2, 2005. The defendant paid the plaintiff $110,509.32 to discharge mortgage account #1357682. The plaintiff acknowledged receipt of this money. The defendant testified that at no time did he receive a demand from the plaintiff during or after the sale of unit 1603 for payment of HELOC account #4505395.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defendant agrees that he continued to receive statements from the plaintiff for the HELOC account #4505395; however, as with unit 806, he says he continued to pay the monthly payments because those statements do not identify what property they are in relationship to. He said he was confused as to what these payments were for because he thought the HELOC account #4505395 was 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defendant testified that he visited one of the plaintiff's bank locations around February 7, 2002 about payment for the two HELOC accounts associated with units 806 and 1603. He said prior to this visit he spoke with Lillian Tam, who told him that the bank was waiting for an interest calculation with regard to pay out of these credit lines. He testified that the interest calculation was not forthcoming and on February 7, 2002 the bank demanded that he write two cheques -- one for $120,000 and another for $80,000 -- which would represent the approximate amount that was owing on the HELOC accounts #4505387 and #4505395.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defendant testified that it is the plaintiff's bad record keeping that is to blame here and it did receive payment for the outstanding credit lines.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defendant testified that he runs a video business and has very active banking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defendant testified that, in January 2011, he was reviewing the two remaining credit lines with the plaintiff when he was told that these credit lines related to units 806 and 1603. He immediately informed the plaintiff that these properties had been sold long ago.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defendant testified that he sent a number of letters to the plaintiff. Many of the letters are found in Exhibit 7. The defendant agreed that from July 27, 2011 until May 28, 2012 none of his correspondence to the plaintiff mentioned the two cheques in the amount of $120,000 and $80,000. He also agreed that it was not until after he was informed by Carole Kidd, Assistant Ombudsman with the TD Bank Group, about the existence of the two cheques that he gave the explanation that he paid the two lines of credit with the two cheques.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defendant agreed on cross-examination that with regard to unit 806 and mortgage account #1357666 that he authorized the plaintiff to deposit into his bank account the full amount being advanced, which was $202,800. Exhibit 1 tab 41 is the commitment for a variable interest rate mortgage that the defendant signed and which authorized the plaintiff to advance the full amount of the mortgage proceeds to his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defendant was asked on cross-examination why the cheques in the amount of $120,000 and $80,000 were out of sequence. Why was cheque number 98 for $120,000 and cheque number 96 for $80,000 if they were written at the same time? The defendant explained that he often keeps a number of cheques that have been torn from his cheque book in his wallet.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defendant was generally unable to identify what the intended prupose was for various cheques that were written on his account for large amounts of money during this same time period in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defendant agreed on cross-examination that he received monthly statements for the HELOC accounts from February 2002 until 2011. In particular, he agreed that he received the monthly statements for HELOC accounts # 4505387 and 4505395 that clearly indicated the balance owing on these two lines of credit.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defendant was asked about a cheque that he wrote for $80,000 on December 4, 2001. He said that he could not remember what this was for. The defendant also could not say what a cheque in the amount of $30,002 which was written on February 1, 2002 or for a cheque in the amount of $30,003 which was written on February 4, 2002 were 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plaintiff argues its records do not show the HELOC accounts in question being paid. It is clear on the evidence that the mortgage monies secured by units 806 and 1603 in 2002 were deposited into the defendant's chequing account however there is no record of any monies being withdrawn from the defendant's chequing account to pay off the balance owing on these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 further argues that the defendant's recollection of the events surrounding his attendance at the bank and paying out these HELOC accounts with two cheques is vague at best. The defendant was not able to say who he spoke to. Further, the plaintiff argues that if the client wishes to pay the balance on a line of credit the plaintiff will provide the client with a precise balance. The plaintiff also would not require a cheque but rather it would withdraw the funds from the client's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 also argues that the cheque numbers for the payment that the defendant said he made are numbers 96 and 98. It notes that another cheque, number 97, which appears to be unrelated, was deposited on March 11,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plaintiff submits that the defendant did not visit the bank on February 7, 2002 and the two cheques in question were for an entirely different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plaintiff further submits that after the events of February 2002 the defendant's version of events is inconsistent with his assertion that the HELOC accounts were closed. He received monthly statements for these accounts and continued to make payments of interest and principal on them each month until January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plaintiff further argues that the defendant continued to use the HELOC accounts #4505387 and #4505395 after he says they were fully paid and closed. The documents disclosed that the defendant both transferred money into and withdrew money from the HELOC accounts from January 16, 2003 until October 3,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plaintiff also argues that it is untenable that a customer would receive monthly statements for nine years showing that significant amounts of money were owing without raising a question as to what they were liable 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plaintiff points to the fact that the defendant was confused and did not keep track of his various accounts, all of which have similar balances.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 argues that, pursuant to the terms of the HELOC accounts, the defendant agreed to provide the plaintiff with written notice of any errors in those account statements within 30 days. He did not do so. Ms. McKnight testified that standard terms and conditions are contained on the back of each of the HELOC account statements. An example of this is found at Exhibit 2 tab 82. The verification statement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Examine this statement immediately to be sure it is accurate. You must notify us in writing within thirty (30) days of the statement date if you have any questions or errors to report. If we do not receive such notice from you within such thirty (30) days: (i) you lose your right to dispute any information appearing on this statement, including, without limitation, as a result of any alleged forgery,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fraud, breach of trust or lack of authorization: and (ii) you agree to accept our records as conclusive proof that the monthly statement is authentic, complete and correct.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we determine that we have improperly credited an amount to your Line of Credit, we can adjust your balance at any time, regardless of when we discover the error.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plaintiff also argues that the defendant agreed to examine and report any errors within 30 days in relation to his chequing account. Further, the agreement governing the defendant's chequing account provides that if the defendant failed to give notice of any errors he would release the plaintiff from any claim related to any instrument and all transactions on that account (among other things). The defendant agreed that he was aware of this condition. An example of that condition can be found at Exhibit 2 tab70 at para. 12, which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Examining your transaction information -- You will promptly and carefully examine your account transaction information in your statement or passbook or through any electronic method that we permit. You will notify us in writing of any errors in the account transaction information or the Instruments. If we don't receive notice from you within 30 days of the statement date, passbook update date or, for electronic method, the transaction date, you accept the statement, update, transaction information and Instruments as valid and correct, and we will be released from: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any claim with respect to any and every item or Instrument on or in the statement for statement customers or on or in the update for passbook customers; 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from any claim with respect to any and every transaction for customers who choose an electronic recordkeeping option; and from any other claim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conversion, breach of trust, breach of fiduciary duty or otherwise.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Before or after that 30 day period, we may correct: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amounts added to your account by mistake; 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amounts subtracted from your account as a result of a forged or unauthorized endorsement of the payee of an Instrument drawn on your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plaintiff argues that the defendant did not pay out the HELOC accounts #4505387 and #4505395. However, it further argues that the above-noted verification agreements would release it from any liability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Arrow Transfer Company Ltd. v. Royal Bank of Canada</w:t>
      </w:r>
      <w:r>
        <w:rPr>
          <w:rFonts w:ascii="arial" w:eastAsia="arial" w:hAnsi="arial" w:cs="arial"/>
          <w:color w:val="000000"/>
          <w:sz w:val="20"/>
          <w:lang w:val="en-US" w:eastAsia="en-US" w:bidi="ar-SA"/>
        </w:rPr>
        <w:t xml:space="preserve">, </w:t>
      </w:r>
      <w:hyperlink r:id="rId825" w:history="1">
        <w:r>
          <w:rPr>
            <w:rFonts w:ascii="arial" w:eastAsia="arial" w:hAnsi="arial" w:cs="arial"/>
            <w:i/>
            <w:color w:val="0077CC"/>
            <w:sz w:val="20"/>
            <w:u w:val="single"/>
            <w:shd w:val="clear" w:color="auto" w:fill="FFFFFF"/>
            <w:lang w:val="en-US" w:eastAsia="en-US" w:bidi="ar-SA"/>
          </w:rPr>
          <w:t>[1972] SCR 845</w:t>
        </w:r>
      </w:hyperlink>
      <w:r>
        <w:rPr>
          <w:rFonts w:ascii="arial" w:eastAsia="arial" w:hAnsi="arial" w:cs="arial"/>
          <w:color w:val="000000"/>
          <w:sz w:val="20"/>
          <w:lang w:val="en-US" w:eastAsia="en-US" w:bidi="ar-SA"/>
        </w:rPr>
        <w:t xml:space="preserve"> at 850-851, the Court stated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agree with the opinions expressed in the Court of Appeal that the verification agreement provided Royal with a complete defence to the action. That agreement is a contract, defining the terms upon which the bank continued the account of the appellant. The appellate agreed to verify each statement of account which he received from the bank, and, within the period specified, to notify the bank of any debits wrongly made in the account. At the end of the stipulated period the account as kept by the bank became conclusive evidence that it contained no debits that should not be contained in it, subject to only two exceptions:</w:t>
      </w:r>
    </w:p>
    <w:p>
      <w:pPr>
        <w:numPr>
          <w:numId w:val="1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Errors of which timely notice had been given to the bank;</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Payments made on forged or unauthorized endorsements.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Court went on at page 853 to say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verification agreement in question in the present case is not ambiguous. It is a contract under which the customer undertakes a duty to the bank to disclose within a limited period, among other things, debits wrongly made. In the present case, the appellant received the statement and the relevant vouchers. Having failed to perform his contractual duty, the agreement made the statements conclusive evidence against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Carvell Developments Ltd. v. Royal Bank of Canada</w:t>
      </w:r>
      <w:r>
        <w:rPr>
          <w:rFonts w:ascii="arial" w:eastAsia="arial" w:hAnsi="arial" w:cs="arial"/>
          <w:color w:val="000000"/>
          <w:sz w:val="20"/>
          <w:lang w:val="en-US" w:eastAsia="en-US" w:bidi="ar-SA"/>
        </w:rPr>
        <w:t xml:space="preserve"> </w:t>
      </w:r>
      <w:hyperlink r:id="rId826" w:history="1">
        <w:r>
          <w:rPr>
            <w:rFonts w:ascii="arial" w:eastAsia="arial" w:hAnsi="arial" w:cs="arial"/>
            <w:i/>
            <w:color w:val="0077CC"/>
            <w:sz w:val="20"/>
            <w:u w:val="single"/>
            <w:shd w:val="clear" w:color="auto" w:fill="FFFFFF"/>
            <w:lang w:val="en-US" w:eastAsia="en-US" w:bidi="ar-SA"/>
          </w:rPr>
          <w:t>(1991), 54 B.C.L.R. (2d) 1</w:t>
        </w:r>
      </w:hyperlink>
      <w:r>
        <w:rPr>
          <w:rFonts w:ascii="arial" w:eastAsia="arial" w:hAnsi="arial" w:cs="arial"/>
          <w:color w:val="000000"/>
          <w:sz w:val="20"/>
          <w:lang w:val="en-US" w:eastAsia="en-US" w:bidi="ar-SA"/>
        </w:rPr>
        <w:t xml:space="preserve"> at 8 (C.A.), the British Columbia Court of Appeal stated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banker-customer relationship there is ample scope for the release contained in the verification agreement to apply in such cases as failure to detect forged signatures of the drawers of cheques and other honest and non-negligent breaches of the banking agreement by the bank. So there is no ground for considering that the verification agreement would have nothing to operate on unless it constituted a release of the liability of the bank for loss arising from the bank's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carelessly breaching its duty of care to its customer.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opinion the issue raised by the Bank in this appeal, namely whether, where its liability is based on its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it is entitled to rely on the verification agreement as a defence, should be answered, on the facts of this case at least, "No".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plaintiff argues that in this case there is no question that it acted honestly and it has not been alleged that it acted negligently.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plaintiff further argues that the verification clause on the HELOC statements is a full defence to the defendant's counterclaim and a full answer to his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plaintiff demanded payment of the amounts owing on the HELOC accounts #4505387 and #4505395 on June 3, 2011. At that time, $119,242.80 was owing in respect of the HELOC account #4505387 and $80,351.19 was owing in respect of the HELOC account #4505395.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plaintiff submits Ms. McKnight testified that, on January 21, 2015, $137,905.25 was owing in respect of the HELOC account #4505387 and $92,926.73 was owing in respect of the HELOC account #4505395.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defendant argues that he paid out the two credit lines in question with the two cheques drawn on his chequing account in the amount of $120,000 and $80,000. He further argues if these monies were owing why did the plaintiff not seek the payment of these amounts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defendant further argues that if these monies were owing the plaintiff would not have provided discharges of the mortgages on units 806 and 1603. The defendant points to the fact that HELOC accounts have to be secured by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defendant argues that in 2001 and 2002 he had nine lines of credit. None of the statements for these lines of credit provided an address for the property that the line of credit was in relation to. The defendant argues that he was confused about what the statements were in relationship to and that is why he continued to make payments on those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Finally, the defendant argues that he placed too much trust in the hands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evidence establishes that the defendant received the mortgage proceeds from mortgage accounts #1357666 and 1357682 in 2002. The evidence also establishes the defendant was indebted to the plaintiff for the HELOC accounts #4505387 and 4505395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issue is whether or not the defendant paid the plaintiff by way of two cheques in the amount of $120,000 and $80,000 for the total amount owing for the HELOC accounts #4505387 and 4505395.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plaintiff's records do not show any such payments being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defendant says that he did pay these amounts on February 7, 2002. I do not accept the defendant's explanation in that regard. The defendant had numerous bank accounts and lines of credit during this time period which he does not seem to be able to differentiate between.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defendant could not give clear evidence as to who he spoke to at the bank on February 7, 2002 and his explanation that the bank demanded payment from him in the form of two cheques even though he had not been provided the precise payout amount seems unlikely. This contradicts Ms. McKnight's evidence that the bank would have provided a specific payout amount and it would have debited his account for the money owing if the defendant wished to pay off his line of credit. I accept the evidence of Ms. McKnight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Also there are a number of large and similar transactions from the defendant's chequing account around the same time period for which the defendant could not give an explanation as to what they were 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It defies logic that the defendant would have received monthly statements up until 2011 and paid the monthly payments on his lines of credit without ever questioning the plaintiff about them if he truly believed these accounts were closed. I do not accept the defendant's explanation that he was confused about the HELOC accounts because the statements did not refer to the specific property in question. There were nine years of statements provided to the defendant. The only explanation is that he was aware that the HELOC accounts were not closed and he continued to use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There is ample evidence on this trial that the defendant both made deposits to and withdraws from the HELOC accounts #4505387 and 4505395 between January 16, 2003 and October 3, 2008. This is after units 806 and 1603 were sold and the mortgages were discharged. For example, on October 12, 2007, the defendant deposited $80,000 into the HELOC account #4505395 and then on October 22, 2007 he transferred $25,000, $3000, $25,000 and $25,001 to his chequing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Even if the plaintiff made a mistake in not applying the mortgage proceeds from the 2002 mortgages to the HELOC accounts, the defendant received those monies and was indebted to the plaintiff for them. He was clearly aware of the amount owing on his lines of credit and he clearly continued to use them even after units 806 and 1603 were sold.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 find that the defendant did not pay to the plaintiff $120,000 and $80,000 respectively for the HELOC accounts #4505387 and 4505395 on February 7, 2002 or at any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 accept the evidence of Ms. McKnight that, as of January 21, 2015, the defendant owed the plaintiff $137,905.25 in respect of the HELOC account #4505387 and $92,926.73 in respect of the HELOC account #4505395.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 do not find that the plaintiff made any errors in regard to the HELOC accounts of the defendant or the mortgage accounts of the defendant in relation to units 806 and 1603. On the documents provided and the defendant's own evidence, the plaintiff was authorized to deposit the mortgage proceeds into the defendant's chequing account in 2002, which it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Given my findings, the defendant's counterclaim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plaintiff will have judgment against the defendant in respect of HELOC account #4505387 in the amount of $137,905.25 as of January 21, 2015. The plaintiff is also entitled to interest on this judgment from January 22, 2015 until the date of this judgment at the interest rate defined by the terms of HELOC account #4505387.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plaintiff will have judgment against the defendant in respect of HELOC account #4505395 in the amount of $92,926.73 as of January 21, 2015. The plaintiff is also entitled to interest on this judgment from January 22, 2015 until the date of this judgment at the interest rate defined by the terms of HELOC account #4505395.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 direct that an inquiry into and an assessment or accounting be held by a Registrar to determine the following:</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of interest owing on HELOC account #4505387 from January 22, 2015 until the date of this judgment.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of interest owing on HELOC account #4505395 from January 22, 2015 until the date of this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 further direct that the registrar certify his or her findings pursuant to Rule 18-1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defendant's counterclaim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plaintiff shall have its costs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R.S. TINDALE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2" style="position:absolute;z-index:2518016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27"/>
          <w:headerReference w:type="default" r:id="rId828"/>
          <w:footerReference w:type="even" r:id="rId829"/>
          <w:footerReference w:type="default" r:id="rId830"/>
          <w:headerReference w:type="first" r:id="rId831"/>
          <w:footerReference w:type="first" r:id="rId83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33" w:history="1">
        <w:r>
          <w:rPr>
            <w:rFonts w:ascii="arial" w:eastAsia="arial" w:hAnsi="arial" w:cs="arial"/>
            <w:b/>
            <w:bCs/>
            <w:i/>
            <w:color w:val="0077CC"/>
            <w:kern w:val="32"/>
            <w:sz w:val="28"/>
            <w:szCs w:val="32"/>
            <w:u w:val="single"/>
            <w:shd w:val="clear" w:color="auto" w:fill="FFFFFF"/>
            <w:lang w:val="en-US" w:eastAsia="en-US" w:bidi="ar-SA"/>
          </w:rPr>
          <w:t>Turkson v. TD Direct Investing, a Division of TD Waterhouse Canada Inc., [2016] B.C.J. No. 838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S.C. Fitzpatrick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9-11,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25,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S-149425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838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732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Frank Oktay Turkson, Plaintiff, and TD Direct Investing, A Division of TD Waterhouse Canada Inc.,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(193 paras.)</w:t>
      </w:r>
    </w:p>
    <w:p>
      <w:pPr>
        <w:jc w:val="both"/>
        <w:rPr>
          <w:rFonts w:ascii="arial" w:eastAsia="arial" w:hAnsi="arial" w:cs="arial"/>
          <w:sz w:val="20"/>
          <w:lang w:val="en-US" w:eastAsia="en-US" w:bidi="ar-SA"/>
        </w:rPr>
      </w:pPr>
      <w:bookmarkStart w:id="135" w:name="Counsel_40"/>
      <w:bookmarkEnd w:id="13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3" style="position:absolute;z-index:2517012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Appearing on His Own Behalf: Frank Oktay Turkson.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Samantha Chang.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6" w:name="Judgment_40"/>
      <w:bookmarkEnd w:id="136"/>
      <w:r>
        <w:pict>
          <v:line id="_x0000_s1164" style="position:absolute;z-index:25175244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7" w:name="S.C. FITZPATRICK J._0"/>
            <w:bookmarkEnd w:id="137"/>
            <w:r>
              <w:rPr>
                <w:rFonts w:ascii="arial" w:eastAsia="arial" w:hAnsi="arial" w:cs="arial"/>
                <w:b/>
                <w:color w:val="000000"/>
                <w:sz w:val="30"/>
                <w:lang w:val="en-US" w:eastAsia="en-US" w:bidi="ar-SA"/>
              </w:rPr>
              <w:t>S.C. FITZPATRICK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Frank Oktay Turkson, is an active participant in the stock market. As best I can tell, he supplements his income by trading in the stock market. He describes himself as a "small day trader".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TD Waterhouse Canada Inc. ("TD Waterhouse") is a subsidiary of The Toronto-Dominion Bank. TD Direct Investing ("TD Direct") is the discount brokerage division within TD Waterhouse, which offers self-directed trading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December 2013, Mr. Turkson opened an account at TD Waterhouse in order to make certain trades in the market. In the fall of 2014, various issues arose between Mr. Turkson and TD Waterhouse.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Mr. Turkson commenced these proceedings in December 2014 alleging various causes of action against TD Waterhouse: breach of 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fiduciary duty, breach of trust, fraud, wilful concealment and breach of privacy. His pleadings indicate that he is seeking the return and disgorgement of approximately US$176,500 and other damages in excess of US$51 million. The damages claim includes:</w:t>
      </w:r>
      <w:r>
        <w:rPr>
          <w:rFonts w:ascii="arial" w:eastAsia="arial" w:hAnsi="arial" w:cs="arial"/>
          <w:sz w:val="20"/>
          <w:lang w:val="en-US" w:eastAsia="en-US" w:bidi="ar-SA"/>
        </w:rPr>
        <w:cr/>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return and disgorgement of US$67,500, US$60,000 and US$49,000;</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lost equity and gains from the closing of his account in the sum of US$500,000;</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compensation due to a margin call, interrupted trade losses and losses of potential gains in the sum of US$600,000;</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losses due to TD Waterhouse's "cheating and stealing" in the sum of US$50,000; and</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damages, special damages, aggravated damages, punitive damages and exemplary damages in the amount of US$50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By the time of this hearing, Mr. Turkson indicated that he was seeking punitive damages of approximately $340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TD Waterhouse now applies to dismiss this action on the basis that it discloses no reasonable claim; in the alternative, TD Waterhouse seeks to dismiss the action by way of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Turkson is approximately 69 years old and is a retired investment banker, architect and engineer. He professes to have significant experience in the stock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TD Direct offers self-directed trading accounts, and does not provide investment advice or trading recommendations to its discount brokerage clients. A TD Direct account permits clients to buy and sell securities on their own behalf. Trades conducted by clients of TD Direct are done so on an unsolicited basis, with commissions substantially less than those charged by a "full service" brokerage.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Clients may choose a cash account or a margin account. A cash account is an account where a client pays cash, in full, for each purchase of securities in the account. A margin account is a type of brokerage account that allows an investor to purchase securities by borrowing a portion of the purchase price from TD Direct.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margin is the amount of equity an investor must contribute as a percentage of the current market value of the securities held in a margin account. That percentage is determined based on what type of security is held. In order to maintain a margin account, the investor is required to meet a margin requirement. The margin requirement dictates that the investor must maintain a sufficient amount of equity, either in securities or cash, in the account that serves as security or collateral for the loan due to TD Direct. This amount is determined, in part, by the current market value of the securities in the client's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Any securities purchased or deposited to the margin account are collateral for the margin loan. If the value of the securities in the margin account declines in value, the equity in the margin account may fall below the margin requirement. If this happens, the brokerage firm may issue a margin call, or sell or buy back any securities in the investor's accounts in order to satisfy the margin requirement. The investor may also take steps to meet the margin requirement by depositing cash or margin-eligible securities, or selling or buying back sufficient securities.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Options Trading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Evidence filed by TD Waterhouse includes numerous affidavits of Kris Dahl, who is the senior regional manager Western Canada for TD Waterhouse. He has been in that positon for approximately six years and has worked in the banking industry for approximately 18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Dahl describes options trading as follows:</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option contract gives the option-holder, whoever purchases the option, the right to buy or sell an underlying asset at a specified price (also called the "strike price") on or before a specified expiry date. As a corollary, whoever sells the option contract has an obligation to sell or buy an underlying asset at the specified price if the option-holder exercises his or her right on or before the expiry date. Thus, the purchase and sale of options involves the buying and selling of rights and obligations, rather than the outright buying and selling of shares.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option may be a call option or put option. A call option is an option whereby the seller acquires an obligation to sell the underlying asset to the option-holder at the strike price whenever the option-holder exercises the call option prior to the expiry date. In contrast, if an investor sells a put option, then he acquires an obligation to purchase the underlying asset at the strike price if the option-holder exercises the put option prior to the expiry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addition to types of options, there are two different styles of options: American or European. An American style option can be exercised by the option-holder at any time before or on the expiry date. In contrast, a European style option can only be exercised by the option-holder on the expiry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A clearing house is an organization responsible for settling trading accounts and clearing transactions for put and call options on common stocks, amongst other securities. The Options Clearing Corporation (the "OCC") is an equity derivatives clearing house that operates under the jurisdiction of the U.S. Securities and Exchange Commission (the "SEC") and the U.S. Commodity Futures Trading Commission. The OCC has been designated as a "systematically important financial market utility" under Title VIII of the </w:t>
      </w:r>
      <w:r>
        <w:rPr>
          <w:rFonts w:ascii="arial" w:eastAsia="arial" w:hAnsi="arial" w:cs="arial"/>
          <w:i/>
          <w:color w:val="000000"/>
          <w:sz w:val="20"/>
          <w:lang w:val="en-US" w:eastAsia="en-US" w:bidi="ar-SA"/>
        </w:rPr>
        <w:t>Dodd-Frank Act</w:t>
      </w:r>
      <w:r>
        <w:rPr>
          <w:rFonts w:ascii="arial" w:eastAsia="arial" w:hAnsi="arial" w:cs="arial"/>
          <w:color w:val="000000"/>
          <w:sz w:val="20"/>
          <w:lang w:val="en-US" w:eastAsia="en-US" w:bidi="ar-SA"/>
        </w:rPr>
        <w:t xml:space="preserve"> in the United States. The OCC is responsible for settling or clearing transactions for put and call options, amongst other securities, and guaranteeing that the obligations of the options contracts it clears are fulfilled. The OCC provides these clearing and settlement services to its various members, who are generally comprised of broker-dealers, futures commission merchants, and non-U.S. securities firms who place trades on behalf of investors.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TD Waterhouse is a member of the OCC.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Margin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December 20, 2013, Mr. Turkson completed and signed a written discount brokerage account application with TD Waterhouse for a Canadian margin account and a United States margin account (the "First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Turkson indicated in the First Application that he had experience with stocks, bonds, mutual funds, options and short selling. Mr. Turkson also indicated in the First Application that he had both an annual income and net worth in excess of $250,000.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Mr. Turkson signed the First Application, acknowledging that he had read and understood the application and the information in it. Additionally, Mr. Turkson acknowledged that he had read the appropriate sections in the booklet entitled </w:t>
      </w:r>
      <w:r>
        <w:rPr>
          <w:rFonts w:ascii="arial" w:eastAsia="arial" w:hAnsi="arial" w:cs="arial"/>
          <w:i/>
          <w:color w:val="000000"/>
          <w:sz w:val="20"/>
          <w:lang w:val="en-US" w:eastAsia="en-US" w:bidi="ar-SA"/>
        </w:rPr>
        <w:t>Account and Service Agreements and Disclosure Documents</w:t>
      </w:r>
      <w:r>
        <w:rPr>
          <w:rFonts w:ascii="arial" w:eastAsia="arial" w:hAnsi="arial" w:cs="arial"/>
          <w:color w:val="000000"/>
          <w:sz w:val="20"/>
          <w:lang w:val="en-US" w:eastAsia="en-US" w:bidi="ar-SA"/>
        </w:rPr>
        <w:t xml:space="preserve"> (the "Booklet") and he agreed to be bound by the terms contained therein, including various subsidiary agreements referenced in the Booklet.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First Application emphasized that TD Waterhouse would not be giving investment advice to Mr. Turkson. Mr. Turkson's signature appears immediately below the following bolded warning and acknowledgement in the First Application: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 acknowledge that TD Waterhouse Discount Brokerage does not give personal or client specific or tailored investment advice or recommendations to you and does not accept any responsibility to advise you on the suitability of any of your investment decisions or transactions. You acknowledge that you are responsible for your investment decisions as well as for any profits or losses that may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subsidiary agreements referred to in the Booklet included the Cash Account Agreement, which applied to all accounts, and a Margin Account Agreement. In paragraph 14 of the Cash Account Agreement, the above warning and acknowledgement is repeated.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Pursuant to the Margin Account Agreement, Mr. Turkson was required to maintain a margin requirement -- that is, the excess margin balance required by TD Waterhouse to cover the amount of his margin loan -- in order to buy and sell securities on margin. The Margin Account Agreement is a detailed agreement and gives significant rights to TD Waterhouse in relation to Mr. Turkson's account, along with a corresponding waiver by Mr. Turkson of certain of his rights in relation to the account. I would summarize the relevant provisions as follows:</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TD Waterhouse could cancel access to margin in its sole discretion (para. 1);</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TD Waterhouse could require that margin be maintained and that any debit balances be paid, in its absolute discretion. If a margin call was not met promptly, TD Waterhouse could, in its sole discretion, take any step "necessary to protect [TD Waterhouse's] interest" by buying and selling shares represented by options in the account or buy any options as TD Waterhouse deemed necessary to fully protect it (para. 3);</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TD Waterhouse considered it "advisable for [its] protection" and without having made a margin call, TD Waterhouse could, in its discretion, and without prior demand or notice, buy or sell any securities or contracts in the account (para. 3);</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demand for payment of margin was to be paid immediately following demand (para. 4);</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TD Waterhouse could require the posting of additional collateral in the form of marginable securities or cash which was to be delivered immediately after demand. All deposits and securities held in the accounts stand as collateral for the margin (para. 5); and</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Turkson acknowledged that his use of the margin was solely within his discretion and that he was solely and wholly responsible for the consequences of his use of the margin (para.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Turkson opened a balance in his margin account on January 7, 2014 and began trading in the account shortly thereafter.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Options Trading Added to the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April 4, 2014, Mr. Turkson signed a second written application (the "Second Application") in order to add options trading and short-selling features to his margin trading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the Second Application, Mr. Turkson indicated that he was employed as the manager of an investment firm, Anglo American Banctrust. Further, Mr. Turkson indicated that he had 26 years of experience in dealing with stocks, bonds, mutual funds, options, short selling, segregated funds and alternative investments. He indicated both an annual income and net worth of $200,000.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As part of the Second Application, Mr. Turkson again acknowledged that he had read the appropriate sections in the Booklet and agreed to be bound by the terms contained therein and in the relevant subsidiary agreements. This included the Cash Account Agreement and the Margin Account Agreement referred to above. The Booklet also contained additional agreements relevant to Mr. Turkson's account because he had added options trading and short-selling features; specifically, the Options Trading Agreement and the Risk Disclosure Statement for Futures and Options.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Second Application specifically referred to portions of the Booklet that set out the "special risks" involved in trading on margin and in trading option contracts. The Options Trading Agreement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risk of loss in trading exchange option contracts can be substantial. You should therefore carefully consider whether such trading is suitable for you in light of your financial condition. In considering whether to trade, you should be aware that if you purchase an exchange option or an exchange futures option you may sustain a total loss of the premium and all transaction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Risk Disclosure Statement for Futures and Options similarly stated numerous times that transacting in options carried a "high degree of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Turkson signed the Second Application in three places, acknowledging he had read the appropriate sections of the Booklet relating to margin trading, option trading or short selling; that he was aware of the risks involved in options trading as outlined in the Booklet; and that he was willing to take those risks.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order to obtain options trading privileges for a margin account, TD Waterhouse requires investors to answer knowledge-testing questions regarding options. On April 15, 2014, Mr. Turkson satisfactorily answered the knowledge-testing questions posed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On May 16, 2014, TD Waterhouse confirmed in writing to Mr. Turkson that options trading privileges had been added to his account. After that time, Mr. Turkson only wrote put options, not call options, with his account.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Put Options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 June 12, 2014, Mr. Turkson wrote (or sold) 30 put option contracts, each for 100 shares of GT Advanced Technologies ("GTAT") with a strike price of US$20.00, at the price of $4.90 per option (the "Options"). The Options had an expiry date of January 17,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As a discount brokerage firm, TD Waterhouse served only as the broker for Mr. Turkson's sale of these put options. The transaction resulted in Mr. Turkson earning a gross premium of US$14,700, less TD Waterhouse's commission of US$47.49 plus tax.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By writing the Options, Mr. Turkson acquired the obligation to purchase the GTAT shares underlying the Options at the specified strike price if the buyer chose to exercise the Options prior to the expiry date. That is, he would have to purchase the GTAT shares underlying the Options at a price of $20 per share on the date that the buyer chose to exercise the Options.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Turkson did not pay or deposit US$60,000 to TD Waterhouse to secure the price of the GTAT shares underlying the Options. However, Mr. Turkson was required to maintain sufficient margin in his account for the Options.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On October 6, 2014, GTAT, a public company listed on the NASDAQ, filed for creditor protection under Chapter 11 of the United States </w:t>
      </w:r>
      <w:r>
        <w:rPr>
          <w:rFonts w:ascii="arial" w:eastAsia="arial" w:hAnsi="arial" w:cs="arial"/>
          <w:i/>
          <w:color w:val="000000"/>
          <w:sz w:val="20"/>
          <w:lang w:val="en-US" w:eastAsia="en-US" w:bidi="ar-SA"/>
        </w:rPr>
        <w:t>Bankruptcy Code</w:t>
      </w:r>
      <w:r>
        <w:rPr>
          <w:rFonts w:ascii="arial" w:eastAsia="arial" w:hAnsi="arial" w:cs="arial"/>
          <w:color w:val="000000"/>
          <w:sz w:val="20"/>
          <w:lang w:val="en-US" w:eastAsia="en-US" w:bidi="ar-SA"/>
        </w:rPr>
        <w:t>. By the time of the market closing that same day, the GTAT share price had fallen to US$0.80 per share.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Dahl described the consequences of GTAT's insolvency filing on Mr. Turkson's margin account: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 ... as the seller of the Options, Mr. Turkson has an ongoing obligation to purchase the shares at the strike price of $20 per share, despite the decrease in value of the stock, should a buyer exercise the right to buy the Options prior to the expiry date. In order for Mr. Turkson to make a profit from selling the Options, the shares would have to be trading at or above the strike price at the time the Options were exercised. Where the shares are trading below the strike price, Mr. Turkson would be in a short position since he would be obligated to pay more than the shares were worth and buy the shares at a loss. The lower the trading price of the shares relative to the strike price, the larger the sum he would be out of pocket. This is treated as a liability in the margin account. Accordingly, as the GTAT shares fell, the value of the Options as collateral for Mr. Turkson's margin loan decreased, and the amount of the liability owed by Mr. Turkson under the Options increased. Since the value of the Options as collateral decreased, Mr. Turkson had insufficient margin in his account to cover his liabilities.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As of September 30, 2014, Mr. Turkson had in his account: US$238,389 cash, 1,000 common shares in Yahoo, Inc. ("Yahoo") with a market value of US$40,750, and various options with a negative value of approximately US$126,600. His net portfolio value had a market value of US$152,529.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Margin Call / Account Restriction and 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 October 14, 2014, TD Waterhouse determined that Mr. Turkson had insufficient margin in his account. Mr. Dahl indicates that, in accordance with the First Application and Second Application, TD Waterhouse made a number of transactions as part of a credit sellout to ensure Mr. Turkson's account met the margin requirement. As part of these transactions, TD Waterhouse sold the Yahoo shares held in Mr. Turkson's account and credited the account with the amount of US$37,397. It appears that this sale of the Yahoo shares took place without any notice to Mr. Turkson.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On October 16, 2014, NASDAQ suspended trading in GTAT's common stock. On or about the same date, GTAT's common stock began trading on the OTC Markets Group exchange, a "pink sheet" or "over the counter" exchange (the "OTC"), under the symbol GTATQ. The "Q" had been added to the end of the symbol to indicate that GTAT was involved in insolvency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As of October 31, 2014, Mr. Turkson had in his account: US$279,709 cash and various options with a negative value of approximately $146,235, leaving a net portfolio market value of US$133,474.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On November 5, 2014, Mr. Turkson sent a letter by registered mail to Domenic Di Paola, an executive of TD Waterhouse, regarding his Options and the underlying GTAT shares. Mr. Turkson instructed TD Waterhouse to reject any assignment of the GTAT shares pursuant to the Options, and to cancel the Options on the basis that GTAT was bankrupt and that the Options did not apply to a bankrupt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On November 24, 2014, Anthony DeLisi, a trading associate at TD Waterhouse, telephoned and emailed Mr. Turkson to address his letter. He explained to Mr. Turkson that he remained obligated to purchase the GTAT shares underlying the Options at the specified strike price if the buyer chose to exercise the Options prior to the expiry date. Mr. DeLisi forwarded to Mr. Turkson an internet link from the OCC website which explained the consequences arising from the Options on the GTAT stock becoming "non-standard".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On November 28, 2014, Mr. DeLisi again telephoned Mr. Turkson to follow up and ask Mr. Turkson if he had any further questions regarding the information in the OCC link. Mr. Turkson responded by suggesting that it would illegal if TD Waterhouse acted to honour the Options. Mr. Turkson demanded his money back relating to the GTAT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On November 30, 2014, Mr. Turkson emailed Mr. DeLisi and again demanded that TD Waterhouse credit his account with US$60,000 (for the Options). At that time, the Options had not yet been exercised, and no amount had been debited by TD Waterhouse from Mr. Turkson's account for the purchase of the underlying GTAT shares. At this time, Mr. Turkson also demanded that TD Waterhouse reimburse him in the amount of US$45,000 for the "unreasonable margin 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On December 2, 2014, TD Waterhouse's Risk Management department revoked Mr. Turkson's options trading privileges. Mr. Dahl states that Mr. Turkson was restricted from opening new options positions, but retained the ability to close his existing options positions. Mr. Turkson acknowledges having been advised of restrictions in his account by mid-December 2014. In addition, TD Waterhouse's counsel advises that she personally advised him to that effect on January 13, 2015 at the court hearing before Justice Watchuk.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Dahl gave evidence as to the reason why Mr. Turkson's options trading privileges were revoked in his affidavit #2. However, this evidence was hearsay and not admissible on the summary trial (nor, of course, relevant to the application as to whether Mr. Turkson has disclosed a reasonable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On January 22, 2015, following the exercise of the Options, TD Waterhouse delivered 3,000 shares of GTATQ into Mr. Turkson's account, in accordance with the terms set out in the First Application, the Second Application, and the Booklet. TD Waterhouse took the position that Mr. Turkson was obligated to purchase the underlying 3,000 shares of GTATQ from the buyer of the Options at the strike price of US$20 per share, for a total cost of US$60,000. Mr. Turkson's account was debited for this amount, along with a US$43 commission to TD Waterhouse for the assignment.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By January 31, 2015, Mr. Turkson's account held: US$158,208 cash, various common shares (including GTATQ) with a market value of US$13,760, and two options with a negative value of approximately US$77,000, leaving a net portfolio market value of US$94,973.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On May 5, 2015, Mr. Turkson transferred all of his holdings out of his TD Waterhouse margin accounts, including the 3,000 GTATQ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History of the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history of these proceedings is, in my view, relevant to the disposition of the matter. I will therefore address it briefly.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Turkson commenced this action by petition on December 5, 2014, shortly after the Options/GTAT share issue arose and his options trading privileges were revoked. The relief sought by him at that time was the release of US$60,000 and US$45,000, being amounts relating to the GTAT shares and the margin call. Mr. Turkson has subsequently raised a number of new allegations against TD Waterhouse.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On January 13, 2015, Watchuk J. granted Mr. Turkson leave to convert the petition to a notice of civil claim in order to allow Mr. Turkson to advance these further allegations, such as fraud and breach of fiduciary duty, which could not properly be dealt with by way of petition. On February 4, 2015, Watchuk J. settled her previous order and imposed a deadline on Mr. Turkson to either amend his petition or file a notice of civil claim by February 25,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On February 25, 2015, Mr. Turkson converted his petition by filing a notice of civil claim. He sought the return and disgorgement of US$67,500, US$60,000 and US$49,000. The notice of civil claim makes no mention of any damages other than these amounts.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On March 17, 2015, TD Waterhouse filed its response to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On August 31, 2015, TD Waterhouse filed a notice of application for this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On September 30, 2015, Mr. Turkson filed his response to this application, by which he raised new issues and causes of action not properly pleaded in his notice of civil claim, along with a lengthy affidavit to which TD Waterhouse objected.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On October 15, 2015, the parties appeared before Justice Myers for the hearing of this application. The Court ordered that certain affidavits filed by Mr. Turkson were not properly sworn or were inadmissible. Further, the Court adjourned the hearing in order to provide Mr. Turkson with additional time to seek assistance from counsel to prepare and file new affidavit materials.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On December 14, 2015, Mr. Turkson filed and served his affidavit #2 and #4, along with an amended notice of civil claim and an amended reply to this application. The evidence of Mr. Turkson, on this application, now consists of the four affidavits he has sworn in December 2014, October 2015 and December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TD Waterhouse relies on seven affidavits of Mr. Dahl.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summary, Mr. Turkson has now, with the indulgence of the Court, amended his claim twice: firstly, by converting the petition to a notice of civil claim in order to advance additional claims; and, secondly, by amending his notice of civil claim in the face of this application. Mr. Turkson acknowledges that he accomplished this and filed his various affidavits after receiving limited legal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 there a Reasonable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TD Waterhouse applies under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Rule 9-5(1), to strike Mr. Turkson's pleadings as disclosing no reasonable claim. Rule 9-5(1) and (2) provide: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Scandalous, frivolous or vexatious matters</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 pleading, petition or other document on the ground that</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 court may pronounce judgment or order the proceeding to be stayed or dismissed and may order the costs of the application to be paid as special costs.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Admissibility of evidence</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 evidence is admissible on an application under subrule (1)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Ari v. Insurance Corporation of British Columbia</w:t>
      </w:r>
      <w:r>
        <w:rPr>
          <w:rFonts w:ascii="arial" w:eastAsia="arial" w:hAnsi="arial" w:cs="arial"/>
          <w:color w:val="000000"/>
          <w:sz w:val="20"/>
          <w:lang w:val="en-US" w:eastAsia="en-US" w:bidi="ar-SA"/>
        </w:rPr>
        <w:t xml:space="preserve">, </w:t>
      </w:r>
      <w:hyperlink r:id="rId834" w:history="1">
        <w:r>
          <w:rPr>
            <w:rFonts w:ascii="arial" w:eastAsia="arial" w:hAnsi="arial" w:cs="arial"/>
            <w:i/>
            <w:color w:val="0077CC"/>
            <w:sz w:val="20"/>
            <w:u w:val="single"/>
            <w:shd w:val="clear" w:color="auto" w:fill="FFFFFF"/>
            <w:lang w:val="en-US" w:eastAsia="en-US" w:bidi="ar-SA"/>
          </w:rPr>
          <w:t>2015 BCCA 468</w:t>
        </w:r>
      </w:hyperlink>
      <w:r>
        <w:rPr>
          <w:rFonts w:ascii="arial" w:eastAsia="arial" w:hAnsi="arial" w:cs="arial"/>
          <w:color w:val="000000"/>
          <w:sz w:val="20"/>
          <w:lang w:val="en-US" w:eastAsia="en-US" w:bidi="ar-SA"/>
        </w:rPr>
        <w:t>, the Court recently summarized the applicable test under Rule 9-5(1):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 ... the legal test for striking a claim is whether it is plain and obvious, assuming the facts pleaded are true, that the pleadings disclose no reasonable cause of action. In support of this proposition, she relied on the well-known cases of </w:t>
      </w: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at 980 and </w:t>
      </w:r>
      <w:r>
        <w:rPr>
          <w:rFonts w:ascii="arial" w:eastAsia="arial" w:hAnsi="arial" w:cs="arial"/>
          <w:i/>
          <w:color w:val="000000"/>
          <w:sz w:val="20"/>
          <w:lang w:val="en-US" w:eastAsia="en-US" w:bidi="ar-SA"/>
        </w:rPr>
        <w:t>R. v. Imperial Tobacco Canada Ltd</w:t>
      </w:r>
      <w:r>
        <w:rPr>
          <w:rFonts w:ascii="arial" w:eastAsia="arial" w:hAnsi="arial" w:cs="arial"/>
          <w:color w:val="000000"/>
          <w:sz w:val="20"/>
          <w:lang w:val="en-US" w:eastAsia="en-US" w:bidi="ar-SA"/>
        </w:rPr>
        <w:t xml:space="preserve">., </w:t>
      </w:r>
      <w:hyperlink r:id="rId77" w:history="1">
        <w:r>
          <w:rPr>
            <w:rFonts w:ascii="arial" w:eastAsia="arial" w:hAnsi="arial" w:cs="arial"/>
            <w:i/>
            <w:color w:val="0077CC"/>
            <w:sz w:val="20"/>
            <w:u w:val="single"/>
            <w:shd w:val="clear" w:color="auto" w:fill="FFFFFF"/>
            <w:lang w:val="en-US" w:eastAsia="en-US" w:bidi="ar-SA"/>
          </w:rPr>
          <w:t>2011 SCC 42</w:t>
        </w:r>
      </w:hyperlink>
      <w:r>
        <w:rPr>
          <w:rFonts w:ascii="arial" w:eastAsia="arial" w:hAnsi="arial" w:cs="arial"/>
          <w:color w:val="000000"/>
          <w:sz w:val="20"/>
          <w:lang w:val="en-US" w:eastAsia="en-US" w:bidi="ar-SA"/>
        </w:rPr>
        <w:t xml:space="preserve"> at para. 17. She also relied on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 xml:space="preserve"> for the proposition that the approach to striking pleadings "must be generous and err on the side of permitting a novel but arguable claim to proceed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Arising from later submissions, TD Waterhouse conceded that many of the claims advanced by Mr. Turkson could only be addressed based on a consideration of the evidence adduced in the summary trial. Accordingly, I will specify the basis upon which I have considered and decided the various issues raised by Mr. Turkson.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Suitability for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I am aware of the factors to be considered in deciding whether a summary trial is appropriate, arising from </w:t>
      </w:r>
      <w:r>
        <w:rPr>
          <w:rFonts w:ascii="arial" w:eastAsia="arial" w:hAnsi="arial" w:cs="arial"/>
          <w:i/>
          <w:color w:val="000000"/>
          <w:sz w:val="20"/>
          <w:lang w:val="en-US" w:eastAsia="en-US" w:bidi="ar-SA"/>
        </w:rPr>
        <w:t>Inspiration Management Ltd. v. McDermid St. Lawrence Ltd.</w:t>
      </w:r>
      <w:r>
        <w:rPr>
          <w:rFonts w:ascii="arial" w:eastAsia="arial" w:hAnsi="arial" w:cs="arial"/>
          <w:color w:val="000000"/>
          <w:sz w:val="20"/>
          <w:lang w:val="en-US" w:eastAsia="en-US" w:bidi="ar-SA"/>
        </w:rPr>
        <w:t xml:space="preserve"> </w:t>
      </w:r>
      <w:hyperlink r:id="rId835"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(C.A.), and the many cases that have followed. Those authorities indicate that, in considering whether it would be unjust to proceed summarily, the courts have typically considered the complexity of the matter, any urgency and prejudice likely to arise by reason of delay, the cost of taking the case forward to a conventional trial in relation to the amount involved, the course of the proceedings, whether credibility is a critical factor in the determination of the dispute, whether the summary trial may create an unnecessary complexity in the resolution of the dispute, and whether the application would result in litigating in slices.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As I have indicated above, the summary trial application was filed by TD Waterhouse in August 2015, some seven months ago.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Since that time, Mr. Turkson has filed a number of affidavits to supplement his original affidavit. He has also amended his notice of civil claim, as he was allowed to do after the October 2015 hearing. He claims to have consulted with various lawyers and, in particular, he received some legal advice in relation to his affidavit #4 sworn December 14,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am also advised that document discovery between the parties has been completed. No examinations for discovery have been conducted because neither party has sought to do so. On May 10, 2015, Mr. Turkson specifically advised TD Waterhouse's counsel that he had no intention of examining TD Waterhouse's documents or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Turkson's position on the suitability of a summary trial was, unfortunately, contradictory. At the outset, he indicated that he objected to the matter proceeding by way of summary trial. His written materials refer to there being voluminous materials; that this is a factual complex case involving novel issues; and that cross examination is necessary to determine the facts. Yet, at the hearing, he indicated that he was seeking an expedited hearing of his claims, which I understood to arise because of his current strained financial circumstances. When asked about Mr. Dahl's evidence, Mr. Turkson indicated that he had no intention of cross-examining Mr. Dahl.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At bottom, Mr. Turkson's position was that a summary trial was appropriate if he was given some leeway in terms of his evidence and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It is well-established that a party cannot avoid a summary trial by claiming that pre-trial steps are necessary, where they have not made reasonable efforts to complete those steps in advance of the summary trial: </w:t>
      </w:r>
      <w:r>
        <w:rPr>
          <w:rFonts w:ascii="arial" w:eastAsia="arial" w:hAnsi="arial" w:cs="arial"/>
          <w:i/>
          <w:color w:val="000000"/>
          <w:sz w:val="20"/>
          <w:lang w:val="en-US" w:eastAsia="en-US" w:bidi="ar-SA"/>
        </w:rPr>
        <w:t>Anglo Canadian Shipping Co. v. Pulp, Paper &amp; Woodworkers of Canada, Local 8</w:t>
      </w:r>
      <w:r>
        <w:rPr>
          <w:rFonts w:ascii="arial" w:eastAsia="arial" w:hAnsi="arial" w:cs="arial"/>
          <w:color w:val="000000"/>
          <w:sz w:val="20"/>
          <w:lang w:val="en-US" w:eastAsia="en-US" w:bidi="ar-SA"/>
        </w:rPr>
        <w:t xml:space="preserve"> </w:t>
      </w:r>
      <w:hyperlink r:id="rId836" w:history="1">
        <w:r>
          <w:rPr>
            <w:rFonts w:ascii="arial" w:eastAsia="arial" w:hAnsi="arial" w:cs="arial"/>
            <w:i/>
            <w:color w:val="0077CC"/>
            <w:sz w:val="20"/>
            <w:u w:val="single"/>
            <w:shd w:val="clear" w:color="auto" w:fill="FFFFFF"/>
            <w:lang w:val="en-US" w:eastAsia="en-US" w:bidi="ar-SA"/>
          </w:rPr>
          <w:t>(1988), 27 B.C.L.R. (2d) 378</w:t>
        </w:r>
      </w:hyperlink>
      <w:r>
        <w:rPr>
          <w:rFonts w:ascii="arial" w:eastAsia="arial" w:hAnsi="arial" w:cs="arial"/>
          <w:color w:val="000000"/>
          <w:sz w:val="20"/>
          <w:lang w:val="en-US" w:eastAsia="en-US" w:bidi="ar-SA"/>
        </w:rPr>
        <w:t xml:space="preserve"> (C.A.) at 382. Here, Mr. Turkson has been given ample opportunity to finalize his pleadings and his evidence. He has not indicated that he wishes to introduce any further evidence; rather, he states that his affidavits are sufficient to establish 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TD Waterhouse concedes that there are various conflicts in the affidavits. However, they argue that there is sufficient evidence to allow the Court to make findings of fact in order to resolve the issues in dispute: Rule 9-7(15)(a)(i). It is well-established that such conflicts in the evidence do not preclude the matter being heard by way of summary trial, although issues of credibility are generally considered a factor weighing against such a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agree that there are various difficulties with Mr. Turkson's evidence. Much of his evidence is argument, law, or irrelevant information. However, after now having reviewed his affidavits and corresponding argument in some detail, generally speaking, I do not consider such difficulties are determinative of this application. I consider that I have understood the facts in his evidence sufficiently to understand the issues and comprehend how he describes the relevant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Turkson's unrepresented status does cause some concern. However, his lack of legal counsel must be considered in the context of the Court having already afforded him indulgences in putting his pleadings and evidence in order. Nevertheless, I have attempted to address Mr. Turkson's claims on this application in light of his status and his lack of legal training. I also note that Mr. Turkson has sought and obtained some limited legal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At some point, even unrepresented litigants must be put to the task of meeting applications before the Court. As a matter of fairness, giving leeway to an unrepresented litigant must be balanced against the interests of the other party. In </w:t>
      </w:r>
      <w:r>
        <w:rPr>
          <w:rFonts w:ascii="arial" w:eastAsia="arial" w:hAnsi="arial" w:cs="arial"/>
          <w:i/>
          <w:color w:val="000000"/>
          <w:sz w:val="20"/>
          <w:lang w:val="en-US" w:eastAsia="en-US" w:bidi="ar-SA"/>
        </w:rPr>
        <w:t>Shannahan v. Fraser Health Authority</w:t>
      </w:r>
      <w:r>
        <w:rPr>
          <w:rFonts w:ascii="arial" w:eastAsia="arial" w:hAnsi="arial" w:cs="arial"/>
          <w:color w:val="000000"/>
          <w:sz w:val="20"/>
          <w:lang w:val="en-US" w:eastAsia="en-US" w:bidi="ar-SA"/>
        </w:rPr>
        <w:t xml:space="preserve">, </w:t>
      </w:r>
      <w:hyperlink r:id="rId837" w:history="1">
        <w:r>
          <w:rPr>
            <w:rFonts w:ascii="arial" w:eastAsia="arial" w:hAnsi="arial" w:cs="arial"/>
            <w:i/>
            <w:color w:val="0077CC"/>
            <w:sz w:val="20"/>
            <w:u w:val="single"/>
            <w:shd w:val="clear" w:color="auto" w:fill="FFFFFF"/>
            <w:lang w:val="en-US" w:eastAsia="en-US" w:bidi="ar-SA"/>
          </w:rPr>
          <w:t>2010 BCSC 144</w:t>
        </w:r>
      </w:hyperlink>
      <w:r>
        <w:rPr>
          <w:rFonts w:ascii="arial" w:eastAsia="arial" w:hAnsi="arial" w:cs="arial"/>
          <w:color w:val="000000"/>
          <w:sz w:val="20"/>
          <w:lang w:val="en-US" w:eastAsia="en-US" w:bidi="ar-SA"/>
        </w:rPr>
        <w:t>,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 In considering whether it is just to give judgment under Rule 18A, the fact that one party is not represented by counsel may be a significant consideration. The nature of an 18A application, requiring as it does careful preparation of written material, may put an unrepresented party at a considerable disadvantage and the Court must be careful not to unfairly deprive a party of a full hearing.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 However, the fact that one party is unrepresented is not a complete bar to a judgment under Rule 18A. Judgment may be given against an unrepresented party where it is clear that that party has failed to adduce the evidence necessary to prove his or her case, having been given a reasonable opportunity to do so, and there appears to be no prospect of such evidence being available at a later trial. In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cases, expert evidence is typically of paramount importance. Such actions have been dismissed under Rule 18A where an unrepresented plaintiff has failed to adduce the necessary expert evidence: </w:t>
      </w:r>
      <w:r>
        <w:rPr>
          <w:rFonts w:ascii="arial" w:eastAsia="arial" w:hAnsi="arial" w:cs="arial"/>
          <w:i/>
          <w:color w:val="000000"/>
          <w:sz w:val="20"/>
          <w:lang w:val="en-US" w:eastAsia="en-US" w:bidi="ar-SA"/>
        </w:rPr>
        <w:t>Crnkovic v. Stockdill</w:t>
      </w:r>
      <w:r>
        <w:rPr>
          <w:rFonts w:ascii="arial" w:eastAsia="arial" w:hAnsi="arial" w:cs="arial"/>
          <w:color w:val="000000"/>
          <w:sz w:val="20"/>
          <w:lang w:val="en-US" w:eastAsia="en-US" w:bidi="ar-SA"/>
        </w:rPr>
        <w:t xml:space="preserve">, </w:t>
      </w:r>
      <w:hyperlink r:id="rId838" w:history="1">
        <w:r>
          <w:rPr>
            <w:rFonts w:ascii="arial" w:eastAsia="arial" w:hAnsi="arial" w:cs="arial"/>
            <w:i/>
            <w:color w:val="0077CC"/>
            <w:sz w:val="20"/>
            <w:u w:val="single"/>
            <w:shd w:val="clear" w:color="auto" w:fill="FFFFFF"/>
            <w:lang w:val="en-US" w:eastAsia="en-US" w:bidi="ar-SA"/>
          </w:rPr>
          <w:t>1998 CanLII 6703</w:t>
        </w:r>
      </w:hyperlink>
      <w:r>
        <w:rPr>
          <w:rFonts w:ascii="arial" w:eastAsia="arial" w:hAnsi="arial" w:cs="arial"/>
          <w:color w:val="000000"/>
          <w:sz w:val="20"/>
          <w:lang w:val="en-US" w:eastAsia="en-US" w:bidi="ar-SA"/>
        </w:rPr>
        <w:t xml:space="preserve"> (B.C.S.C.); and </w:t>
      </w:r>
      <w:r>
        <w:rPr>
          <w:rFonts w:ascii="arial" w:eastAsia="arial" w:hAnsi="arial" w:cs="arial"/>
          <w:i/>
          <w:color w:val="000000"/>
          <w:sz w:val="20"/>
          <w:lang w:val="en-US" w:eastAsia="en-US" w:bidi="ar-SA"/>
        </w:rPr>
        <w:t>Zeledon v. Kelowna General Hospital</w:t>
      </w:r>
      <w:r>
        <w:rPr>
          <w:rFonts w:ascii="arial" w:eastAsia="arial" w:hAnsi="arial" w:cs="arial"/>
          <w:color w:val="000000"/>
          <w:sz w:val="20"/>
          <w:lang w:val="en-US" w:eastAsia="en-US" w:bidi="ar-SA"/>
        </w:rPr>
        <w:t xml:space="preserve">, </w:t>
      </w:r>
      <w:hyperlink r:id="rId839" w:history="1">
        <w:r>
          <w:rPr>
            <w:rFonts w:ascii="arial" w:eastAsia="arial" w:hAnsi="arial" w:cs="arial"/>
            <w:i/>
            <w:color w:val="0077CC"/>
            <w:sz w:val="20"/>
            <w:u w:val="single"/>
            <w:shd w:val="clear" w:color="auto" w:fill="FFFFFF"/>
            <w:lang w:val="en-US" w:eastAsia="en-US" w:bidi="ar-SA"/>
          </w:rPr>
          <w:t>1996 CanLII 8662</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Further, and importantly, Mr. Turkson concedes that his relationship with TD Waterhouse is governed by the documentation he signed, including the Booklet and the various agreements I have referred to above. If such agreements are dispositive of the issues raised by Mr. Turkson, as TD Waterhouse contends, then a summary trial can be appropriate: see </w:t>
      </w:r>
      <w:r>
        <w:rPr>
          <w:rFonts w:ascii="arial" w:eastAsia="arial" w:hAnsi="arial" w:cs="arial"/>
          <w:i/>
          <w:color w:val="000000"/>
          <w:sz w:val="20"/>
          <w:lang w:val="en-US" w:eastAsia="en-US" w:bidi="ar-SA"/>
        </w:rPr>
        <w:t>Dahl v. Royal Bank of Canada</w:t>
      </w:r>
      <w:r>
        <w:rPr>
          <w:rFonts w:ascii="arial" w:eastAsia="arial" w:hAnsi="arial" w:cs="arial"/>
          <w:color w:val="000000"/>
          <w:sz w:val="20"/>
          <w:lang w:val="en-US" w:eastAsia="en-US" w:bidi="ar-SA"/>
        </w:rPr>
        <w:t xml:space="preserve">, </w:t>
      </w:r>
      <w:hyperlink r:id="rId840" w:history="1">
        <w:r>
          <w:rPr>
            <w:rFonts w:ascii="arial" w:eastAsia="arial" w:hAnsi="arial" w:cs="arial"/>
            <w:i/>
            <w:color w:val="0077CC"/>
            <w:sz w:val="20"/>
            <w:u w:val="single"/>
            <w:shd w:val="clear" w:color="auto" w:fill="FFFFFF"/>
            <w:lang w:val="en-US" w:eastAsia="en-US" w:bidi="ar-SA"/>
          </w:rPr>
          <w:t>2005 BCSC 1263</w:t>
        </w:r>
      </w:hyperlink>
      <w:r>
        <w:rPr>
          <w:rFonts w:ascii="arial" w:eastAsia="arial" w:hAnsi="arial" w:cs="arial"/>
          <w:color w:val="000000"/>
          <w:sz w:val="20"/>
          <w:lang w:val="en-US" w:eastAsia="en-US" w:bidi="ar-SA"/>
        </w:rPr>
        <w:t xml:space="preserve"> at paras. 22-26. In that event, any conflicts in the evidence may not need to be considered and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conclude that a summary trial is appropriate in the circumstances. Mr. Turkson has been given ample time to prepare his response to this application, both in terms of his pleadings and evidence. He indicates an intention to have this matter heard as soon as possible. Further, as I have stated, he does not intend to introduce any other evidence in support of his claims. I do not consider that Mr. Turkson's evidence would be materially different than that to be adduced at a regular trial. Mr. Turkson also has no intention of challenging the evidence of TD Waterhouse. Significantly, the Court has been provided with the extensive agreements that govern the relationship between the parties. I do not consider that it is unjust to decide the issues in a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 Trial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TD Waterhouse seeks dismissal of Mr. Turkson's claims relating to the IMMR shares (see below), the Options, the margin call and the restrictions on the account on the basis of the summary trial only. I will address each of Mr. Turkson's allegations separately below.</w:t>
      </w:r>
      <w:r>
        <w:rPr>
          <w:rFonts w:ascii="arial" w:eastAsia="arial" w:hAnsi="arial" w:cs="arial"/>
          <w:sz w:val="20"/>
          <w:lang w:val="en-US" w:eastAsia="en-US" w:bidi="ar-SA"/>
        </w:rPr>
        <w:cr/>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Assignment of the IMMR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July 2014, Mr. Turkson wrote (or sold) 30 put option contracts, each for 100 shares of Immersion Corporation ("IMMR"), with a strike price of US$22.50 and an expiry date of February 20,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On August 28, 2014, TD Waterhouse recorded the assignment of 3,000 shares of IMMR into Mr. Turkson's account at the strike price, resulting in a debit to his account in the amount of US$67,543.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As indicated above, an option may be American style or European style. The TD Waterhouse documentation executed by Mr. Turkson discussed the distinction: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Specifications of options are fixed by the recognized market on which they are traded. These specifications may include such items as trading units, exercise prices, expiration dates, last day of trading, and the time for determining settlement values.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option may have either an American style exercise or European style exercise irrespective of where the recognized market is located. An American style option can be exercised by the purchaser at any time before the expiration. ... A European style option may only be exercised by the purchaser on a specified date.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seller of an American style option has no control over when he might be assigned an exercise notice. He should assume that an exercise notice will be assigned to him in circumstances where the seller may incur a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Mr. Turkson alleges in his pleadings that the IMMR options were European-style options, which can only be exercised on their expiry date. As such, Mr. Turkson alleges that TD Waterhouse's "early" assignment of the IMMR shares to him (and the corresponding debit to his account) was unlawful.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TD Waterhouse contends that Mr. Turkson's allegations display an erroneous conception of options trading.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Mr. Dahl states that an option derives its value from the underlying asset it is tied to. Where an option derives its value from an underlying equity share or stock in a publicly-traded company, it is known as an "equity option". In contrast, where an option derives its value from a stock index, which can be thought of as a basket or portfolio of different stocks, it is known as an "index option".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Further, Mr. Dahl states that all exchange-traded equity options are American-style options, while index options tend to be European-style options. This statement is confirmed by information on NASDAQ's website, which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this point in time all stock options traded on the marketplace are American-style. This means that the option holder can exercise the option at any time from purchase until the expiration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IMMR is a stock listed on the NASDAQ and as such, is an equity share.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Mr. Turkson was unable to point to any evidence in support of his contention that he wrote European-style options for IMMR. His only argument, albeit a weak one, was that the Second Application he signed indicated that the primary purpose of his margin and options trading account was for "long-term investment".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 accept Mr. Dahl's evidence that Mr. Turkson's options for IMMR shares were for exchange-traded equity options and that, accordingly, Mr. Turkson could only have written American-style options for IMMR. It follows, therefore, that the purchaser of the IMMR options had the ability to exercise them at any time prior to the expiry date. This is exactly what happened when the IMMR options were lawfully exercised on August 28, 2014, and the underlying shares were delivered to Mr. Turkson to satisfy his obligation under the put options he wrote to purchase those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Accordingly, all claims of Mr. Turkson relating to the IMMR shares are dismissed after summary trial.</w:t>
      </w:r>
      <w:r>
        <w:rPr>
          <w:rFonts w:ascii="arial" w:eastAsia="arial" w:hAnsi="arial" w:cs="arial"/>
          <w:sz w:val="20"/>
          <w:lang w:val="en-US" w:eastAsia="en-US" w:bidi="ar-SA"/>
        </w:rPr>
        <w:cr/>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Options / Assignment of GTAT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Mr. Turkson submits that TD Waterhouse is liable for damages arising from the assignment of the GTAT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It is quite evident that Mr. Turkson was caught in circumstances which he, and no doubt many others, could not have anticipated. When he wrote the Options in June 2014, GTAT's prospects looked bright. The news of GTAT's filing for creditor protection only months later, in October 2014, appears to have shocked the market. Mr. Turkson was able to point to a class action lawsuit in the U.S. alleging securities fraud which was filed on behalf of investors who purchased securities in the period from November 5, 2013 to October 6, 2014. He describes what happened to GTAT as a "spectacular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Given that Mr. Turkson was not assigned the GTAT shares until January 2015, he was not eligible to participate in this class-action lawsuit.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TD Waterhouse alleges that Mr. Turkson's complaint is, again, indicative of his erroneous conception of options trading.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Mr. Turkson says that this claim is not about a decline in the value of the GTAT stock. Rather, he points to the de-listing of the shares on NASDAQ on October 16, 2014. He, therefore, contends that there can be no further trading of the shares; that TD Waterhouse was then unable to deliver the GTAT shares as they "no longer exist"; and, that TD Waterhouse was not able to substitute GTATQ stock which was trading on the OTC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Mr. Turkson's allegation that he was not contractually obliged to purchase the GTATQ shares in these circumstances, by taking an assignment of them, is not supported by any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Indeed, Mr. Dahl's evidence, which I accept, is directly to the contrary. He states that when a stock is de-listed from an exchange and moved to the OTC with a "Q" designation, nothing has changed with respect to the shares themselves. This statement is consistent with an SEC publication on the effect of a company's Chapter 11 filing and the effect on trading in stocks and bonds. Further, an OTC publication on the internet that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an investor owns a stock that has been delisted from an exchange and is now quoted on OTC Link ATS, nothing has changed with the shares themselves. Investors are still the beneficial owner of the stock and may trade it through the broker-dealer of their choice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Mr. Dahl also states that, by writing a put option contract, Mr. Turkson agreed that for a period of time, he would undertake to purchase the stock if it was put to him at the specified strike price. Mr. Turkson was obligated to purchase the stock at the agreed upon strike price even when the stock was trading below the strike price, since there are typically no restrictions on the exercise of such options even where there is a bankruptcy or insolvency filing.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Again, Mr. Dahl's evidence is supported by a publication by the Options Industry Council (the "OIC") which is an industry co-operative formed by various stock exchanges, and is dedicated to providing education about exchange-listed equity options. An OIC publication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What happens to the options on an equity if that company files for bankruptcy? Do the options keep trading until expiration date?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 company files for bankruptcy and the shares still trade or are halted from trading but continue to exist, the options will settle for the underlying shares. If trading in the underlying stock has been halted, trading on the options will be halted as well. Quite often, the shares begin trading on the Pink Sheets or over-the-counter if delisted from the national stock exchange where they are listed. When they do, the options exchanges usually announce that the options are eligible for closing only transactions and prohibit opening positions. Generally, there are no exercise restrictions.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if the courts cancel the shares, whereby common shareholders receive nothing, calls will become worthless and an investor who exercises a put would receive 100 times the strike price and deliver nothing.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Consistent with this statement, while trading of the GTAT shares on NASDAQ was halted, trading on the OTC was allowed, such that the closing of the Options was allowed. This resulted in the purchaser of the Options exercising them, such that payment to the purchaser was required in accordance with the transaction (i.e. US$60,000, being 30 put options for 100 shares each at the strike price) and 3,000 shares of GTATQ were delivered to Mr. Turkson's margin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Mr. Dahl's description of Mr. Turkson's obligations arising from the Options (as above) is consistent with the description of options trading found in </w:t>
      </w:r>
      <w:r>
        <w:rPr>
          <w:rFonts w:ascii="arial" w:eastAsia="arial" w:hAnsi="arial" w:cs="arial"/>
          <w:i/>
          <w:color w:val="000000"/>
          <w:sz w:val="20"/>
          <w:lang w:val="en-US" w:eastAsia="en-US" w:bidi="ar-SA"/>
        </w:rPr>
        <w:t>Secord v. Global Securities Corp.</w:t>
      </w:r>
      <w:r>
        <w:rPr>
          <w:rFonts w:ascii="arial" w:eastAsia="arial" w:hAnsi="arial" w:cs="arial"/>
          <w:color w:val="000000"/>
          <w:sz w:val="20"/>
          <w:lang w:val="en-US" w:eastAsia="en-US" w:bidi="ar-SA"/>
        </w:rPr>
        <w:t xml:space="preserve">, </w:t>
      </w:r>
      <w:hyperlink r:id="rId841" w:history="1">
        <w:r>
          <w:rPr>
            <w:rFonts w:ascii="arial" w:eastAsia="arial" w:hAnsi="arial" w:cs="arial"/>
            <w:i/>
            <w:color w:val="0077CC"/>
            <w:sz w:val="20"/>
            <w:u w:val="single"/>
            <w:shd w:val="clear" w:color="auto" w:fill="FFFFFF"/>
            <w:lang w:val="en-US" w:eastAsia="en-US" w:bidi="ar-SA"/>
          </w:rPr>
          <w:t>2003 BCCA 85</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The case with a Put option contract is not so clear. In this type of contract, the investor has agreed that for a period of time he will undertake to purchase the stock if it is "Put" to him at a specified price. As pointed out by Messrs. Semple and Tassone in their evidence, </w:t>
      </w:r>
      <w:r>
        <w:rPr>
          <w:rFonts w:ascii="arial" w:eastAsia="arial" w:hAnsi="arial" w:cs="arial"/>
          <w:color w:val="000000"/>
          <w:sz w:val="20"/>
          <w:u w:val="single"/>
          <w:lang w:val="en-US" w:eastAsia="en-US" w:bidi="ar-SA"/>
        </w:rPr>
        <w:t>the theory underlying this type of option contract is that an individual makes a decision that he wishes to own a certain stock and is prepared to buy it at the Strike Price as set out in the option agreement.</w:t>
      </w:r>
      <w:r>
        <w:rPr>
          <w:rFonts w:ascii="arial" w:eastAsia="arial" w:hAnsi="arial" w:cs="arial"/>
          <w:color w:val="000000"/>
          <w:sz w:val="20"/>
          <w:lang w:val="en-US" w:eastAsia="en-US" w:bidi="ar-SA"/>
        </w:rPr>
        <w:t xml:space="preserve"> Thus, if one wants to obtain a stock that is currently trading at a market level say of $60.00 for the sum of $50.00 and agrees to the stock being "Put" to him in future at the price of $50.00, </w:t>
      </w:r>
      <w:r>
        <w:rPr>
          <w:rFonts w:ascii="arial" w:eastAsia="arial" w:hAnsi="arial" w:cs="arial"/>
          <w:color w:val="000000"/>
          <w:sz w:val="20"/>
          <w:u w:val="single"/>
          <w:lang w:val="en-US" w:eastAsia="en-US" w:bidi="ar-SA"/>
        </w:rPr>
        <w:t>he undertakes an obligation to buy it at that price even though perhaps in future, at the time the "Put" is exercised, the stock might be trading at only $30.00 or $40.00. In those circumstances, he is obligated to buy the stock at the Strike Price even though it may then be trading well below the Strike Price.</w:t>
      </w:r>
      <w:r>
        <w:rPr>
          <w:rFonts w:ascii="arial" w:eastAsia="arial" w:hAnsi="arial" w:cs="arial"/>
          <w:color w:val="000000"/>
          <w:sz w:val="20"/>
          <w:lang w:val="en-US" w:eastAsia="en-US" w:bidi="ar-SA"/>
        </w:rPr>
        <w:t xml:space="preserve"> Of course, as I have noted, this is a stock that, by definition, the individual has decided he wishes to hold in his portfolio. He presumably hopes that even if it is below the Strike Price temporarily, it will recover later to a more satisfactory level. Thus, even if he has to buy it at a time when it is trading at a lower price on the market, he is prepared to buy it as he feels it is a suitable investment at the Strike Price. As in the case with Call options, if the stock does not during the term of the option decline to the Strike Price, the investor retains, as profit, the sum paid by the other party for the Put option. Thus, this strategy can also be a method of generating profit in an investment portfolio.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Mr. Turkson has no support for his argument that he was no longer obligated to purchase the GTAT shares underlying the Options he wrote as a result of their substantial decline in value. Mr. Turkson describes the working of the markets in these circumstances as "rules" he was not aware of. He alleges that it is beyond his means to research and know these "rules", and that TD Waterhouse was obliged to disclose all relevant rules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This argument is without merit. I have already described the extensive agreements signed by Mr. Turkson which confirm that he is solely responsible for making the investment decisions in the account. TD Waterhouse neither agreed to give, nor did any of its representatives give any advice to Mr. Turkson. The various agreements also confirm, consistent with the knowledge Mr. Turkson professed to know of the markets and how they worked, that he understood the nature of the market instruments to which he was a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Firstly, the Cash Account Agreement provided: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 understand all transaction made for your account will be subject to the rules governing the exchanges or markets and clearing houses (if any) where the orders are executed, and you agree to comply with these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Secondly, the Options Trading Agreement provided: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Each transaction will be subject to the by-laws, regulations, rules, ruling and customs ... of the clearing corporation issuing the Option, the exchange on which the Option trades and any other regulatory body which may have jurisdiction. Each transaction will also be subject to our rules, regulations and customs for Options trading. You have read the Risk Disclosure Statement for Futures and Options or the Disclosure Document for Recognized Market Options, as applicable.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Finally, in addition to confirming the many written warnings concerning the risks in trading in options, paragraph 3 of the Risk Disclosure Statement for Futures and Options provided: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Selling ("writing" or "granting") an option generally entails considerably greater risk than purchasing options. Although the premium received by the seller is fixed, the seller may sustain a loss well in excess of that amount. </w:t>
      </w:r>
      <w:r>
        <w:rPr>
          <w:rFonts w:ascii="arial" w:eastAsia="arial" w:hAnsi="arial" w:cs="arial"/>
          <w:color w:val="000000"/>
          <w:sz w:val="20"/>
          <w:u w:val="single"/>
          <w:lang w:val="en-US" w:eastAsia="en-US" w:bidi="ar-SA"/>
        </w:rPr>
        <w:t>The seller will be liable for additional margin to maintain the position if the market moves unfavourably. The seller will also be exposed to the risk of the purchaser exercising the option and the seller will be obligated either to settle the option in cash or to acquire or deliver the underlying interest</w:t>
      </w:r>
      <w:r>
        <w:rPr>
          <w:rFonts w:ascii="arial" w:eastAsia="arial" w:hAnsi="arial" w:cs="arial"/>
          <w:color w:val="000000"/>
          <w:sz w:val="20"/>
          <w:lang w:val="en-US" w:eastAsia="en-US" w:bidi="ar-SA"/>
        </w:rPr>
        <w: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Paciorka v. TD Waterhouse</w:t>
      </w:r>
      <w:r>
        <w:rPr>
          <w:rFonts w:ascii="arial" w:eastAsia="arial" w:hAnsi="arial" w:cs="arial"/>
          <w:color w:val="000000"/>
          <w:sz w:val="20"/>
          <w:lang w:val="en-US" w:eastAsia="en-US" w:bidi="ar-SA"/>
        </w:rPr>
        <w:t xml:space="preserve">, </w:t>
      </w:r>
      <w:hyperlink r:id="rId842" w:history="1">
        <w:r>
          <w:rPr>
            <w:rFonts w:ascii="arial" w:eastAsia="arial" w:hAnsi="arial" w:cs="arial"/>
            <w:i/>
            <w:color w:val="0077CC"/>
            <w:sz w:val="20"/>
            <w:u w:val="single"/>
            <w:shd w:val="clear" w:color="auto" w:fill="FFFFFF"/>
            <w:lang w:val="en-US" w:eastAsia="en-US" w:bidi="ar-SA"/>
          </w:rPr>
          <w:t>2007 CanLII 28749</w:t>
        </w:r>
      </w:hyperlink>
      <w:r>
        <w:rPr>
          <w:rFonts w:ascii="arial" w:eastAsia="arial" w:hAnsi="arial" w:cs="arial"/>
          <w:color w:val="000000"/>
          <w:sz w:val="20"/>
          <w:lang w:val="en-US" w:eastAsia="en-US" w:bidi="ar-SA"/>
        </w:rPr>
        <w:t xml:space="preserve"> (O.N.S.C.), the Court considered the same account agreements in relation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advanced against TD Waterhouse. The Court found that the standard of care must be considered in light of the risks the investor agreed to assume in relation to margin trading, and that TD Waterhouse was not providing any advice in relation to those transactions: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[54] It has been determined that the standard of care owed by an investment advisor is concordant with the services that the advisor undertakes to provide, that is, whether the customer is provided with advice as opposed to mere information or whether the advisor was given discretion to trade on behalf of the customer. In the case before me, the facts and conduct of the parties demonstrates a lower standard of care, similar to that applied in </w:t>
      </w:r>
      <w:r>
        <w:rPr>
          <w:rFonts w:ascii="arial" w:eastAsia="arial" w:hAnsi="arial" w:cs="arial"/>
          <w:i/>
          <w:color w:val="000000"/>
          <w:sz w:val="20"/>
          <w:lang w:val="en-US" w:eastAsia="en-US" w:bidi="ar-SA"/>
        </w:rPr>
        <w:t>Srivastava,</w:t>
      </w:r>
      <w:r>
        <w:rPr>
          <w:rFonts w:ascii="arial" w:eastAsia="arial" w:hAnsi="arial" w:cs="arial"/>
          <w:color w:val="000000"/>
          <w:sz w:val="20"/>
          <w:lang w:val="en-US" w:eastAsia="en-US" w:bidi="ar-SA"/>
        </w:rPr>
        <w:t xml:space="preserve"> </w:t>
      </w:r>
      <w:hyperlink r:id="rId843" w:history="1">
        <w:r>
          <w:rPr>
            <w:rFonts w:ascii="arial" w:eastAsia="arial" w:hAnsi="arial" w:cs="arial"/>
            <w:i/>
            <w:color w:val="0077CC"/>
            <w:sz w:val="20"/>
            <w:u w:val="single"/>
            <w:shd w:val="clear" w:color="auto" w:fill="FFFFFF"/>
            <w:lang w:val="en-US" w:eastAsia="en-US" w:bidi="ar-SA"/>
          </w:rPr>
          <w:t>[2003] O.J. No. 3279</w:t>
        </w:r>
      </w:hyperlink>
      <w:r>
        <w:rPr>
          <w:rFonts w:ascii="arial" w:eastAsia="arial" w:hAnsi="arial" w:cs="arial"/>
          <w:color w:val="000000"/>
          <w:sz w:val="20"/>
          <w:lang w:val="en-US" w:eastAsia="en-US" w:bidi="ar-SA"/>
        </w:rPr>
        <w:t xml:space="preserve"> should be imposed on TD Waterhouse. Mr. Paciorka had, by virtue of his experience in trading and his understanding of the market, as well as his own view of himself as a sophisticated investor, an appreciation of the market in which he chose to operate. He was aware when he signed the agreement with TD Waterhouse that he would not receive advice or recommendations from it and in fact, he did not seek advice from TD Waterhouse. In addition, I find that Mr. Paciorka was aware of the risks associated with margin trading when he established the trading account. This is the standard against which the conduct of TD Waterhouse must be measured to determine whether they acted negligently.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Labricciosa v. TD Waterhouse Investor Services (Canada) Inc.</w:t>
      </w:r>
      <w:r>
        <w:rPr>
          <w:rFonts w:ascii="arial" w:eastAsia="arial" w:hAnsi="arial" w:cs="arial"/>
          <w:color w:val="000000"/>
          <w:sz w:val="20"/>
          <w:lang w:val="en-US" w:eastAsia="en-US" w:bidi="ar-SA"/>
        </w:rPr>
        <w:t xml:space="preserve">, </w:t>
      </w:r>
      <w:hyperlink r:id="rId844" w:history="1">
        <w:r>
          <w:rPr>
            <w:rFonts w:ascii="arial" w:eastAsia="arial" w:hAnsi="arial" w:cs="arial"/>
            <w:i/>
            <w:color w:val="0077CC"/>
            <w:sz w:val="20"/>
            <w:u w:val="single"/>
            <w:shd w:val="clear" w:color="auto" w:fill="FFFFFF"/>
            <w:lang w:val="en-US" w:eastAsia="en-US" w:bidi="ar-SA"/>
          </w:rPr>
          <w:t>2004 CanLII 27606</w:t>
        </w:r>
      </w:hyperlink>
      <w:r>
        <w:rPr>
          <w:rFonts w:ascii="arial" w:eastAsia="arial" w:hAnsi="arial" w:cs="arial"/>
          <w:color w:val="000000"/>
          <w:sz w:val="20"/>
          <w:lang w:val="en-US" w:eastAsia="en-US" w:bidi="ar-SA"/>
        </w:rPr>
        <w:t xml:space="preserve"> (O.N.S.C.).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 agree with TD Waterhouse that the evidence confirms that by writing the Options, Mr. Turkson agreed that, for a period of time, he would purchase the GTAT stock if it was put to him at the specified strike price. Even when the stock was trading below the strike price, he was still obligated to purchase the stock at the agreed upon strike price. In the circumstances, it was incumbent on Mr. Turkson to understand and weigh the risks of entering into the Options. The fact that he may not have done so, or has conveniently disavowed such knowledge now, is not the responsibility of TD Waterhouse.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It must be kept in mind that the purchaser of or counter-party to the Options who ultimately delivered the GTAT shares to Mr. Turkson is a completely independent party to TD Waterhouse. TD Waterhouse was not the buyer of the Options sold by Mr. Turkson. Rather, TD Waterhouse simply acted as the discount brokerage in facilitating the transactions to which Mr. Turkson agreed.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While one might feel some sympathy for Mr. Turkson in these circumstances, his arguments advanced on this issue are clearly driven by hindsight in an attempt to avoid the financial consequences of the agreements he made. However, his arguments essentially amount to saying that TD Waterhouse should bear the burden of his decisions and the later failure of GTAT. In my view, there is no legal basis for placing this financial burden with TD Waterhouse. TD Waterhouse does not stand as a guarantor for the solvency of GTAT in respect of its share value - or, for that matter, any other company whose stocks or options Mr. Turkson might acquire.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Accordingly, all claims of Mr. Turkson relating to the Options and the GTAT shares are dismissed after summary trial.</w:t>
      </w:r>
      <w:r>
        <w:rPr>
          <w:rFonts w:ascii="arial" w:eastAsia="arial" w:hAnsi="arial" w:cs="arial"/>
          <w:sz w:val="20"/>
          <w:lang w:val="en-US" w:eastAsia="en-US" w:bidi="ar-SA"/>
        </w:rPr>
        <w:cr/>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Margin 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Mr. Dahl's evidence confirms that, on October 14, 2014, TD Waterhouse took steps in relation to Mr. Turkson's account in accordance with the First Application and Second Application. He states that there was insufficient margin in Mr. Turkson's account, largely arising from the sudden decrease in value of the GTAT shares underlying the Options. Therefore, TD Waterhouse made a number of transactions as part of a credit sellout to ensure Mr. Turkson's account met the margin requirement. As part of these transactions, TD Waterhouse sold the Yahoo shares held in Mr. Turkson's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Mr. Turkson alleges that the sale of his Yahoo shares was unlawful. In particular, he alleges that his margin account contained sufficient equity to satisfy the margin requirements based on his calculations. Mr. Turkson has provided some handwritten calculations that suggest that, as of October 2014, the account had a total value of US$390,918 (US$238,389 as "cash in hand" plus US$152,529 in "securities"). He then argues that he was required to post US$222,750 in security, such that TD Waterhouse still had US$168,168 value in excess of his exposure.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TD Waterhouse denies that the credit sellout was unlawful, and submits that Mr. Turkson's calculation of the margin requirement is incorrect.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Mr. Dahl explains that, while Mr. Turkson's portfolio had a balance of approximately $238,389 in October 2014, based on the industry-wide calculation of the margin requirement on October 14, 2014, there was insufficient equity in Mr. Turkson's account to satisfy all potential obligations he might have had to secure his margin loan. This is primarily because Mr. Turkson's predominant trading strategy was to sell in-the-money uncovered put options. Mr. Turkson had acquired a number of options where he would be obligated to purchase the shares at the specified strike price if or when the option-holder chose to exercise the options, even if the underlying shares had declined substantially in value. This exposed him to significant potential obligations, and he did not cover these positions to offset this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Mr. Dahl further indicates that Mr. Turkson did not have sufficient equity to secure the margin loan advanced to him. Margin requirements are calculated daily using the same formula on an industry-wide basis, using the values of the options contracts and the underlying securities from the stock exchanges. The formula is complex. It takes into consideration the option premium and the margin rate for each security in order to determine the margin requirement.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margin calculation completed by TD Waterhouse on October 14, 2014, indicated that the account had a negative margin (which required a margin call) of CDN$18,294.09.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Mr. Turkson's pleadings and evidence indicates that TD Waterhouse did make a margin call for US$15,000. Despite his arguments that TD Waterhouse had "excess cash" of US$168,000, Mr. Turkson paid TD Waterhouse another US$11,000 in response to the margin 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As best I can tell, Mr. Turkson contends that TD Waterhouse was using the wrong margin rates (or what he describes as "unfair" margin rates) in doing the calculations in respect of the specific securities or options held by him in the account. Arising from his other calculations as to what the margin should have been, he sets out that there was US$70,389 excess value after covering TD Waterhouse for the margin.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Nevertheless, TD Waterhouse publishes its guidelines relating to margin requirements and information on how to calculate the margin on its website. Mr. Turkson either would have been well aware of these guidelines and information even before opening the account, or he should have been.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Further, I agree with TD Waterhouse that the terms of the agreements executed by Mr. Turkson, which he acknowledges are binding upon him, are a complete defence to this allegation.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By those agreements, all property in the account held by Mr. Turkson stood as "Collateral" for a lien in favour of TD Waterhouse. In other words, TD Waterhouse held security against all assets in the account in relation to the indebtedness owing in the margin account. The Cash Account Agreement provided:</w:t>
      </w:r>
      <w:r>
        <w:rPr>
          <w:rFonts w:ascii="arial" w:eastAsia="arial" w:hAnsi="arial" w:cs="arial"/>
          <w:sz w:val="20"/>
          <w:lang w:val="en-US" w:eastAsia="en-US" w:bidi="ar-SA"/>
        </w:rPr>
        <w:cr/>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Security Interest</w:t>
      </w:r>
      <w:r>
        <w:rPr>
          <w:rFonts w:ascii="arial" w:eastAsia="arial" w:hAnsi="arial" w:cs="arial"/>
          <w:color w:val="000000"/>
          <w:sz w:val="20"/>
          <w:lang w:val="en-US" w:eastAsia="en-US" w:bidi="ar-SA"/>
        </w:rPr>
        <w:t>: Any and all property, including credit balances held or carried in any of your accounts for any purpose, and including any property in which you have an interest (the "Collateral"), shall be subject to a lien in favour of us. The Collateral will be held as security by us for repayment of your liabilities to us. We may transfer any of the Collateral in any of your accounts from or to any of your accounts. We may deliver all or any part of the Collateral when we consider it necessary for our protection. In enforcing our lien, we may close, without notice, transactions in your account (a) if we consider there to be inadequate security for your liabilities to us, or (b) upon the occurrence of any event which in our opinion jeopardizes your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TD Waterhouse was given absolute discretion to set the margin calculation and to exercise its rights in relation to the securities in the account to address any deficiency. This included selling the Yahoo shares, just as it did in October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Options Trading Agreement provided:</w:t>
      </w:r>
      <w:r>
        <w:rPr>
          <w:rFonts w:ascii="arial" w:eastAsia="arial" w:hAnsi="arial" w:cs="arial"/>
          <w:sz w:val="20"/>
          <w:lang w:val="en-US" w:eastAsia="en-US" w:bidi="ar-SA"/>
        </w:rPr>
        <w:cr/>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Margin</w:t>
      </w:r>
      <w:r>
        <w:rPr>
          <w:rFonts w:ascii="arial" w:eastAsia="arial" w:hAnsi="arial" w:cs="arial"/>
          <w:color w:val="000000"/>
          <w:sz w:val="20"/>
          <w:lang w:val="en-US" w:eastAsia="en-US" w:bidi="ar-SA"/>
        </w:rPr>
        <w:t>: You will, at all times, maintain such margin as we may require from time to time. You will promptly meet all margin calls.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Also, the Margin Account Agreement provided:</w:t>
      </w:r>
      <w:r>
        <w:rPr>
          <w:rFonts w:ascii="arial" w:eastAsia="arial" w:hAnsi="arial" w:cs="arial"/>
          <w:sz w:val="20"/>
          <w:lang w:val="en-US" w:eastAsia="en-US" w:bidi="ar-SA"/>
        </w:rPr>
        <w:cr/>
      </w:r>
    </w:p>
    <w:p>
      <w:pPr>
        <w:numPr>
          <w:numId w:val="2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Obligation to Maintain Margin</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You will maintain such margin and pay any debit balance owing in any of your accounts, as we may in our absolute discretion require from time to time</w:t>
      </w:r>
      <w:r>
        <w:rPr>
          <w:rFonts w:ascii="arial" w:eastAsia="arial" w:hAnsi="arial" w:cs="arial"/>
          <w:color w:val="000000"/>
          <w:sz w:val="20"/>
          <w:lang w:val="en-US" w:eastAsia="en-US" w:bidi="ar-SA"/>
        </w:rPr>
        <w:t>. If you do not meet our margin calls promptly, we can in our sole discretion, and without notice to you:</w:t>
      </w:r>
    </w:p>
    <w:p>
      <w:pPr>
        <w:numPr>
          <w:numId w:val="2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take any step necessary to protect our interest in connection with put and/or call option transactions made for your account, including the right to buy or sell for your account and risk any part or all of the shares represented by options made by us for your account, or</w:t>
      </w:r>
    </w:p>
    <w:p>
      <w:pPr>
        <w:numPr>
          <w:numId w:val="2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buy for your account and risk any put and/or call options as we may deem necessary to fully protect us.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We may at any time in our discretion if we consider it advisable for our protection (without the necessity of a margin call) and, without prior demand, tender and without any notice of the time or place of sale, all of which are expressly waived by you:</w:t>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sell any or all securities or contracts relating thereto which may be in our possession, or which we may be carrying for you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Such sale or purchase may be made at our discretion on any exchange</w:t>
      </w:r>
      <w:r>
        <w:rPr>
          <w:rFonts w:ascii="arial" w:eastAsia="arial" w:hAnsi="arial" w:cs="arial"/>
          <w:color w:val="000000"/>
          <w:sz w:val="20"/>
          <w:lang w:val="en-US" w:eastAsia="en-US" w:bidi="ar-SA"/>
        </w:rPr>
        <w:t xml:space="preserve"> or other market where such business is then transacted, or at public sale or private sale, with or without advertising. Neither any demands, calls, tenders or notices which we may make or give in any one or more instances, nor any prior course of conduct or dealings between us shall invalidate these waivers on your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TD Waterhouse argues that the authorities establish that a brokerage firm, such as TD Waterhouse, has no obligation to co-speculate with the investor and may close out any margin account without notice where there is a margin deficiency, particularly where they are entitled to do so by the account agreement. Further, it argues that a brokerage firm is not required to wait until a margin account has negative equity, and may sell out a margin account even where there is net equity in the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In support, TD Waterhouse cites </w:t>
      </w:r>
      <w:r>
        <w:rPr>
          <w:rFonts w:ascii="arial" w:eastAsia="arial" w:hAnsi="arial" w:cs="arial"/>
          <w:i/>
          <w:color w:val="000000"/>
          <w:sz w:val="20"/>
          <w:lang w:val="en-US" w:eastAsia="en-US" w:bidi="ar-SA"/>
        </w:rPr>
        <w:t>Paciorka,</w:t>
      </w:r>
      <w:r>
        <w:rPr>
          <w:rFonts w:ascii="arial" w:eastAsia="arial" w:hAnsi="arial" w:cs="arial"/>
          <w:color w:val="000000"/>
          <w:sz w:val="20"/>
          <w:lang w:val="en-US" w:eastAsia="en-US" w:bidi="ar-SA"/>
        </w:rPr>
        <w:t xml:space="preserve"> at paras. 62-65. In that case, the Court reviewed various authorities concerning the rights of a brokerage firm to make a margin call, including </w:t>
      </w:r>
      <w:r>
        <w:rPr>
          <w:rFonts w:ascii="arial" w:eastAsia="arial" w:hAnsi="arial" w:cs="arial"/>
          <w:i/>
          <w:color w:val="000000"/>
          <w:sz w:val="20"/>
          <w:lang w:val="en-US" w:eastAsia="en-US" w:bidi="ar-SA"/>
        </w:rPr>
        <w:t>George v. Dominick Corporation of Canada</w:t>
      </w:r>
      <w:r>
        <w:rPr>
          <w:rFonts w:ascii="arial" w:eastAsia="arial" w:hAnsi="arial" w:cs="arial"/>
          <w:color w:val="000000"/>
          <w:sz w:val="20"/>
          <w:lang w:val="en-US" w:eastAsia="en-US" w:bidi="ar-SA"/>
        </w:rPr>
        <w:t xml:space="preserve">, </w:t>
      </w:r>
      <w:hyperlink r:id="rId845" w:history="1">
        <w:r>
          <w:rPr>
            <w:rFonts w:ascii="arial" w:eastAsia="arial" w:hAnsi="arial" w:cs="arial"/>
            <w:i/>
            <w:color w:val="0077CC"/>
            <w:sz w:val="20"/>
            <w:u w:val="single"/>
            <w:shd w:val="clear" w:color="auto" w:fill="FFFFFF"/>
            <w:lang w:val="en-US" w:eastAsia="en-US" w:bidi="ar-SA"/>
          </w:rPr>
          <w:t>[1973] S.C.R. 97</w:t>
        </w:r>
      </w:hyperlink>
      <w:r>
        <w:rPr>
          <w:rFonts w:ascii="arial" w:eastAsia="arial" w:hAnsi="arial" w:cs="arial"/>
          <w:color w:val="000000"/>
          <w:sz w:val="20"/>
          <w:lang w:val="en-US" w:eastAsia="en-US" w:bidi="ar-SA"/>
        </w:rPr>
        <w:t>. The Court upheld the paramountcy of the agreements between the parties by which margin calls were authorized,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[62] ... The Canadian authorities have upheld a brokerage firm's contractual right to take market action when sufficient margin is not posted. Courts have also established that rights in relation to making a margin call are governed by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Even if Mr. Turkson is correct in his position that his account was not in a negative position, </w:t>
      </w:r>
      <w:r>
        <w:rPr>
          <w:rFonts w:ascii="arial" w:eastAsia="arial" w:hAnsi="arial" w:cs="arial"/>
          <w:i/>
          <w:color w:val="000000"/>
          <w:sz w:val="20"/>
          <w:lang w:val="en-US" w:eastAsia="en-US" w:bidi="ar-SA"/>
        </w:rPr>
        <w:t>Paciorka</w:t>
      </w:r>
      <w:r>
        <w:rPr>
          <w:rFonts w:ascii="arial" w:eastAsia="arial" w:hAnsi="arial" w:cs="arial"/>
          <w:color w:val="000000"/>
          <w:sz w:val="20"/>
          <w:lang w:val="en-US" w:eastAsia="en-US" w:bidi="ar-SA"/>
        </w:rPr>
        <w:t xml:space="preserve"> stands for the proposition that even so, the discretion afforded to the brokerage firm under the relevant agreements is absolute: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[66] On behalf of Mr. Paciorka it was argued that a different approach must apply in circumstances where the account is in negative equity, in contrast with those situations where the account has a net equity. Mr. Paciorka's account was not in a negative equity position when the sales were made by TD Waterhouse. The case law relied on by TD Waterhouse addressing the broker's right to take immediate action to sell-out a margin account involved circumstances where the account was in a negative equity position. It was submitted that when the account is not in negative equity, notice and reasonable time should be extended to the client. I disagree with this position. There is nothing in the case law that suggests that the obligations between the parties should be altered depending on whether the account is in negative equity or not. Rather, the courts which have considered this issue have focused their emphasis on the language of the margin agreement between the parties which has been characterized as "ironclad" in setting out the duties between the parties. Apart from the agreement, there are strong policy reasons that favour the broker's right to take immediate action to sell-out the margin account as discussed above. These policy concerns are not extinguished by virtue of the account having a net equity. Such a position would be erroneous, as it would have the effect of requiring the brokerage to wait until an account is in negative equity before taking action. This would only work to increase the amount of debt owing to the brokerage by the customer and require the brokerage to become a co-speculator.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Paciorka</w:t>
      </w:r>
      <w:r>
        <w:rPr>
          <w:rFonts w:ascii="arial" w:eastAsia="arial" w:hAnsi="arial" w:cs="arial"/>
          <w:color w:val="000000"/>
          <w:sz w:val="20"/>
          <w:lang w:val="en-US" w:eastAsia="en-US" w:bidi="ar-SA"/>
        </w:rPr>
        <w:t xml:space="preserve"> was expressly adopted and followed by this Court in </w:t>
      </w:r>
      <w:r>
        <w:rPr>
          <w:rFonts w:ascii="arial" w:eastAsia="arial" w:hAnsi="arial" w:cs="arial"/>
          <w:i/>
          <w:color w:val="000000"/>
          <w:sz w:val="20"/>
          <w:lang w:val="en-US" w:eastAsia="en-US" w:bidi="ar-SA"/>
        </w:rPr>
        <w:t>Edwards v. BMO Nesbitt Burns Inc.</w:t>
      </w:r>
      <w:r>
        <w:rPr>
          <w:rFonts w:ascii="arial" w:eastAsia="arial" w:hAnsi="arial" w:cs="arial"/>
          <w:color w:val="000000"/>
          <w:sz w:val="20"/>
          <w:lang w:val="en-US" w:eastAsia="en-US" w:bidi="ar-SA"/>
        </w:rPr>
        <w:t xml:space="preserve">, </w:t>
      </w:r>
      <w:hyperlink r:id="rId846" w:history="1">
        <w:r>
          <w:rPr>
            <w:rFonts w:ascii="arial" w:eastAsia="arial" w:hAnsi="arial" w:cs="arial"/>
            <w:i/>
            <w:color w:val="0077CC"/>
            <w:sz w:val="20"/>
            <w:u w:val="single"/>
            <w:shd w:val="clear" w:color="auto" w:fill="FFFFFF"/>
            <w:lang w:val="en-US" w:eastAsia="en-US" w:bidi="ar-SA"/>
          </w:rPr>
          <w:t>2010 BCSC 1108</w:t>
        </w:r>
      </w:hyperlink>
      <w:r>
        <w:rPr>
          <w:rFonts w:ascii="arial" w:eastAsia="arial" w:hAnsi="arial" w:cs="arial"/>
          <w:color w:val="000000"/>
          <w:sz w:val="20"/>
          <w:lang w:val="en-US" w:eastAsia="en-US" w:bidi="ar-SA"/>
        </w:rPr>
        <w:t xml:space="preserve"> at paras. 111-119, where the Court upheld the ability of the brokerage firm to act in accordance with agreements dealing with margin requirements. I agree that the comments of the Court in </w:t>
      </w:r>
      <w:r>
        <w:rPr>
          <w:rFonts w:ascii="arial" w:eastAsia="arial" w:hAnsi="arial" w:cs="arial"/>
          <w:i/>
          <w:color w:val="000000"/>
          <w:sz w:val="20"/>
          <w:lang w:val="en-US" w:eastAsia="en-US" w:bidi="ar-SA"/>
        </w:rPr>
        <w:t>Paciorka</w:t>
      </w:r>
      <w:r>
        <w:rPr>
          <w:rFonts w:ascii="arial" w:eastAsia="arial" w:hAnsi="arial" w:cs="arial"/>
          <w:color w:val="000000"/>
          <w:sz w:val="20"/>
          <w:lang w:val="en-US" w:eastAsia="en-US" w:bidi="ar-SA"/>
        </w:rPr>
        <w:t xml:space="preserve"> are equally relevant here and should be followed.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 find that TD Waterhouse conducted itself in accordance with the terms of the First Application, the Second Application, and the underlying agreements set out in the Booklet. As he acknowledges, Mr. Turkson was bound by these agreements. As such, TD Waterhouse was entitled to exercise its discretion to make the margin call and, in doing so, act in its own self-interest in relation to the indebtedness owing by Mr. Turkson.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Accordingly, all claims of Mr. Turkson relating to the margin call and the sell-off of the various securities, including Yahoo, are dismissed after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As with the other claims above, this claim is dismissed whether it is advanced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breach of contract.</w:t>
      </w:r>
      <w:r>
        <w:rPr>
          <w:rFonts w:ascii="arial" w:eastAsia="arial" w:hAnsi="arial" w:cs="arial"/>
          <w:sz w:val="20"/>
          <w:lang w:val="en-US" w:eastAsia="en-US" w:bidi="ar-SA"/>
        </w:rPr>
        <w:cr/>
      </w:r>
    </w:p>
    <w:p>
      <w:pPr>
        <w:numPr>
          <w:numId w:val="3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Restricting and Closing of the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Mr. Turkson alleges that TD Waterhouse, abruptly and without notice, closed his account in early December 2014. He alleges that he was entitled to notice and that as a result, he suffered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 terms of the Cash Account Agreement are relevant. Those provisions provide that TD Waterhouse may terminate the account agreement: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may, at our sole discretion, terminate your account agreement(s) with us and require that you close or transfer your account(s) to another broker within a limited time set by us. ... You agree that we are not liable to you in any way with respect to the termination, closure, transfer or liquidation of your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However, Mr. Dahl's evidence in his affidavit #5 is that at no time did TD Waterhouse terminate Mr. Turkson's margin account or threaten to liquidate or liquidate his account. I accept Mr. Dahl's evidence that at no time did TD Waterhouse terminate the margin account, with or without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Mr. Dahl also states that, from the time of the restricting of the account in early December 2014, until the time that Mr. Turkson transferred out his securities in May 2015, Mr. Turkson was not prohibited from closing his existing options positions. The only restriction was in writing </w:t>
      </w:r>
      <w:r>
        <w:rPr>
          <w:rFonts w:ascii="arial" w:eastAsia="arial" w:hAnsi="arial" w:cs="arial"/>
          <w:i/>
          <w:color w:val="000000"/>
          <w:sz w:val="20"/>
          <w:lang w:val="en-US" w:eastAsia="en-US" w:bidi="ar-SA"/>
        </w:rPr>
        <w:t>new</w:t>
      </w:r>
      <w:r>
        <w:rPr>
          <w:rFonts w:ascii="arial" w:eastAsia="arial" w:hAnsi="arial" w:cs="arial"/>
          <w:color w:val="000000"/>
          <w:sz w:val="20"/>
          <w:lang w:val="en-US" w:eastAsia="en-US" w:bidi="ar-SA"/>
        </w:rPr>
        <w:t xml:space="preserve"> positions on options. Mr. Dahl says that it remained open to Mr. Turkson to close his outstanding positions by calling one of TD Waterhouse's representatives. Further, Mr. Dahl states that, at all material times, Mr. Turkson had access to his account and the assets in the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Mr. Turkson's evidence is that he discovered that his options privileges had been revoked around December 13, 2014. In his argument, Mr. Turkson says that he repeatedly called TD Waterhouse about the "restoration" of his account. He indicates he raised this issue before Watchuk J. at the January 2015 hearing. He is unable to give any details of the dates of his alleged calls to TD Waterhouse or who he spoke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Nevertheless, Mr. Dahl's evidence is that TD Waterhouse's records indicate that Mr. Turkson's last phone call to TD Waterhouse was on December 16, 2014, at which time he enquired as to why he did not have any accounts eligible for options. After December 16, 2014, TD Waterhouse has no records of any calls from Mr. Turkson to any of its representatives to close out his outstanding positions. Further, at no time between January and May 2015, did Mr. Turkson conduct any further trading in his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 find that, effective in early December 2014, Mr. Turkson's ability to write or open new options was restricted by TD Waterhouse. However, he was not prevented from closing his existing positions. This restriction was expressly authorized under the Options Trading Agreement, which states:</w:t>
      </w:r>
      <w:r>
        <w:rPr>
          <w:rFonts w:ascii="arial" w:eastAsia="arial" w:hAnsi="arial" w:cs="arial"/>
          <w:sz w:val="20"/>
          <w:lang w:val="en-US" w:eastAsia="en-US" w:bidi="ar-SA"/>
        </w:rPr>
        <w:cr/>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Discretion</w:t>
      </w:r>
      <w:r>
        <w:rPr>
          <w:rFonts w:ascii="arial" w:eastAsia="arial" w:hAnsi="arial" w:cs="arial"/>
          <w:color w:val="000000"/>
          <w:sz w:val="20"/>
          <w:lang w:val="en-US" w:eastAsia="en-US" w:bidi="ar-SA"/>
        </w:rPr>
        <w:t>: We will have sole discretion to determine whether or not to accept any order from you for a trade in an Option.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Further, I find that, at no time, was Mr. Turkson restricted from taking any other action in relation to the existing positions in his account after early December 2014. Any lack of activity in the account was solely as a result of Mr. Turkson's decision to refrain from taking any action to liquidate any of his positions that existed after the account was restricted and up to the time that he closed the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Accordingly, all claims of Mr. Turkson relating to the restrictions placed by TD Waterhouse on his account are dismissed after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A final word about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Although it is somewhat vague, Mr. Turkson appears to indicate that he knew, by early December 2014, that there were issues with his account. Mr. Turkson contends that it took him until late April 2015 to make arrangements to transfer the assets in his account from TD Waterhouse. In support of the reasonableness of that delay, he argues that it took six months for TD Waterhouse to set up his account in the first place. However, the account opening documents indicate that it took approximately 20 days to set up his margin account, and just over five weeks to set up the options trading privileges in his account. Even so, there is no evidence about Mr. Turkson making any efforts to move his account over to a new brokerage firm after December 2014, save for the statement that it couldn't be completed until April 30,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In addition, even assuming that Mr. Turkson was prevented from trading options on his account until the transfer, there are issues with Mr. Turkson's calculations of damages over the six-month period. The figure claimed arises simply by a mathematical comparison of the portfolio balances as between December 2, 2014 and April 30, 2015 (approximately US$130,000) added to his actual gains in a three-month period (April-June 2014) multiplied by two (approximately US$376,500). For obvious reasons, these calculations are divorced from any reality as to what trades and profit Mr. Turkson could have achieved if he had had full access to his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Accordingly, I conclude that even had Mr. Turkson established any liability on the part of TD Waterhouse for the restriction on his account, TD Waterhouse has proved that Mr. Turkson failed to take reasonable steps to mitigate his loss and that he has failed to prove any damages on a balance of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Other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In addition to the issues arising on the summary trial, TD Waterhouse argues that other claims advanced by Mr. Turkson are not reasonable claims or, alternatively, should be dismissed on the summary trial.</w:t>
      </w:r>
      <w:r>
        <w:rPr>
          <w:rFonts w:ascii="arial" w:eastAsia="arial" w:hAnsi="arial" w:cs="arial"/>
          <w:sz w:val="20"/>
          <w:lang w:val="en-US" w:eastAsia="en-US" w:bidi="ar-SA"/>
        </w:rPr>
        <w:cr/>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Fiduciary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Mr. Turkson's pleadings set out various alleged facts about TD Waterhouse's actions in relation to his account, as I have set out above. After doing so, he pleads under "Legal Basis" that TD Waterhouse breached fiduciary duties owed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Mr. Turkson's pleadings are lacking in properly setting out this allegation. He fails to allege that TD Waterhouse owed him a fiduciary duty, what that duty entailed, how TD Waterhouse breached that duty and what damages resulted. Rather, the pleadings simply contain the bald assertion that TD Waterhouse was in breach of such obligations.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 am reluctant to dismiss such claims on the basis of Rule 9-5(1) when Mr. Turkson could theoretically amend his pleadings to resolve these issues. In any event, taken as a whole, I consider that Mr. Turkson's pleadings are such that he alleges that the various actions taken by TD Waterhouse (in relation to the IMMR shares, the Options, the margin call, and the restriction on the account) were in breach of its fiduciary obligation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I, therefore, will deal with the allegation on its merits and in the context of the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TD Waterhouse submits that this claim must fail because it was not a fiduciary or trustee to Mr. Turkson. TD Waterhouse submits that its relationship with Mr. Turkson can only be properly characterized as a contractual relationship, defined by the terms of the executed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In my view, there is considerable merit to TD Waterhouse's position given the facts that I have set out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xml:space="preserve">  It is well-established that a broker-client relationship is not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xml:space="preserve"> a fiduciary relationship. A fiduciary relationship only arises where the elements of trust, confidence and reliance on skill, knowledge and advice are present. Where a broker merely serves as an "order-taker" and a conduit of information, as here, the relationship does not give rise to a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Hodgkinson v. Simms</w:t>
      </w:r>
      <w:r>
        <w:rPr>
          <w:rFonts w:ascii="arial" w:eastAsia="arial" w:hAnsi="arial" w:cs="arial"/>
          <w:color w:val="000000"/>
          <w:sz w:val="20"/>
          <w:lang w:val="en-US" w:eastAsia="en-US" w:bidi="ar-SA"/>
        </w:rPr>
        <w:t xml:space="preserve">, </w:t>
      </w:r>
      <w:hyperlink r:id="rId847" w:history="1">
        <w:r>
          <w:rPr>
            <w:rFonts w:ascii="arial" w:eastAsia="arial" w:hAnsi="arial" w:cs="arial"/>
            <w:i/>
            <w:color w:val="0077CC"/>
            <w:sz w:val="20"/>
            <w:u w:val="single"/>
            <w:shd w:val="clear" w:color="auto" w:fill="FFFFFF"/>
            <w:lang w:val="en-US" w:eastAsia="en-US" w:bidi="ar-SA"/>
          </w:rPr>
          <w:t>[1994] 3 S.C.R. 377</w:t>
        </w:r>
      </w:hyperlink>
      <w:r>
        <w:rPr>
          <w:rFonts w:ascii="arial" w:eastAsia="arial" w:hAnsi="arial" w:cs="arial"/>
          <w:color w:val="000000"/>
          <w:sz w:val="20"/>
          <w:lang w:val="en-US" w:eastAsia="en-US" w:bidi="ar-SA"/>
        </w:rPr>
        <w:t xml:space="preserve">, the Court discussed when fiduciary duties may arise in a broker/client relationship. At 419, Justice La Forest cites with approval the test set out in </w:t>
      </w:r>
      <w:r>
        <w:rPr>
          <w:rFonts w:ascii="arial" w:eastAsia="arial" w:hAnsi="arial" w:cs="arial"/>
          <w:i/>
          <w:color w:val="000000"/>
          <w:sz w:val="20"/>
          <w:lang w:val="en-US" w:eastAsia="en-US" w:bidi="ar-SA"/>
        </w:rPr>
        <w:t>Varcoe v. Sterling</w:t>
      </w:r>
      <w:r>
        <w:rPr>
          <w:rFonts w:ascii="arial" w:eastAsia="arial" w:hAnsi="arial" w:cs="arial"/>
          <w:color w:val="000000"/>
          <w:sz w:val="20"/>
          <w:lang w:val="en-US" w:eastAsia="en-US" w:bidi="ar-SA"/>
        </w:rPr>
        <w:t xml:space="preserve"> </w:t>
      </w:r>
      <w:hyperlink r:id="rId848" w:history="1">
        <w:r>
          <w:rPr>
            <w:rFonts w:ascii="arial" w:eastAsia="arial" w:hAnsi="arial" w:cs="arial"/>
            <w:i/>
            <w:color w:val="0077CC"/>
            <w:sz w:val="20"/>
            <w:u w:val="single"/>
            <w:shd w:val="clear" w:color="auto" w:fill="FFFFFF"/>
            <w:lang w:val="en-US" w:eastAsia="en-US" w:bidi="ar-SA"/>
          </w:rPr>
          <w:t>(1992), 7 O.R. (3d) 204</w:t>
        </w:r>
      </w:hyperlink>
      <w:r>
        <w:rPr>
          <w:rFonts w:ascii="arial" w:eastAsia="arial" w:hAnsi="arial" w:cs="arial"/>
          <w:color w:val="000000"/>
          <w:sz w:val="20"/>
          <w:lang w:val="en-US" w:eastAsia="en-US" w:bidi="ar-SA"/>
        </w:rPr>
        <w:t xml:space="preserve"> (Gen. Div.):</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relationship of broker and client is not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xml:space="preserve"> a fiduciary relationship. ... Where the elements of trust and confidence and reliance on skill and knowledge and advice are present, the relationship is fiduciary and the obligations that attach are fiduciary. On the other hand, if those elements are not present, the fiduciary relationship does not exist. ... The circumstances can cover the whole spectrum from total reliance to total independence.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Justice La Forest states at 410: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relation to the advisory context, then, there must be something more than a simple undertaking by one party to provide information and execute orders for the other for a relationship to be enforced as fiduciary. For example, most everyday transactions between a bank customer and banker are conducted on a creditor-debtor basis ... </w:t>
      </w:r>
      <w:r>
        <w:rPr>
          <w:rFonts w:ascii="arial" w:eastAsia="arial" w:hAnsi="arial" w:cs="arial"/>
          <w:color w:val="000000"/>
          <w:sz w:val="20"/>
          <w:u w:val="single"/>
          <w:lang w:val="en-US" w:eastAsia="en-US" w:bidi="ar-SA"/>
        </w:rPr>
        <w:t>Similarly, the relationship of an investor to his or her discount broker will not likely give rise to a fiduciary duty, where the broker is simply a conduit of information and an order taker.</w:t>
      </w:r>
      <w:r>
        <w:rPr>
          <w:rFonts w:ascii="arial" w:eastAsia="arial" w:hAnsi="arial" w:cs="arial"/>
          <w:color w:val="000000"/>
          <w:sz w:val="20"/>
          <w:lang w:val="en-US" w:eastAsia="en-US" w:bidi="ar-SA"/>
        </w:rPr>
        <w:t xml:space="preserv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Similarly, in </w:t>
      </w:r>
      <w:r>
        <w:rPr>
          <w:rFonts w:ascii="arial" w:eastAsia="arial" w:hAnsi="arial" w:cs="arial"/>
          <w:i/>
          <w:color w:val="000000"/>
          <w:sz w:val="20"/>
          <w:lang w:val="en-US" w:eastAsia="en-US" w:bidi="ar-SA"/>
        </w:rPr>
        <w:t>Kent v. May</w:t>
      </w:r>
      <w:r>
        <w:rPr>
          <w:rFonts w:ascii="arial" w:eastAsia="arial" w:hAnsi="arial" w:cs="arial"/>
          <w:color w:val="000000"/>
          <w:sz w:val="20"/>
          <w:lang w:val="en-US" w:eastAsia="en-US" w:bidi="ar-SA"/>
        </w:rPr>
        <w:t xml:space="preserve"> </w:t>
      </w:r>
      <w:hyperlink r:id="rId849" w:history="1">
        <w:r>
          <w:rPr>
            <w:rFonts w:ascii="arial" w:eastAsia="arial" w:hAnsi="arial" w:cs="arial"/>
            <w:i/>
            <w:color w:val="0077CC"/>
            <w:sz w:val="20"/>
            <w:u w:val="single"/>
            <w:shd w:val="clear" w:color="auto" w:fill="FFFFFF"/>
            <w:lang w:val="en-US" w:eastAsia="en-US" w:bidi="ar-SA"/>
          </w:rPr>
          <w:t>(2001), 298 A.R. 71</w:t>
        </w:r>
      </w:hyperlink>
      <w:r>
        <w:rPr>
          <w:rFonts w:ascii="arial" w:eastAsia="arial" w:hAnsi="arial" w:cs="arial"/>
          <w:color w:val="000000"/>
          <w:sz w:val="20"/>
          <w:lang w:val="en-US" w:eastAsia="en-US" w:bidi="ar-SA"/>
        </w:rPr>
        <w:t xml:space="preserve"> (A.B.Q.B), the Court noted:</w:t>
      </w:r>
      <w:r>
        <w:rPr>
          <w:rFonts w:ascii="arial" w:eastAsia="arial" w:hAnsi="arial" w:cs="arial"/>
          <w:sz w:val="20"/>
          <w:lang w:val="en-US" w:eastAsia="en-US" w:bidi="ar-SA"/>
        </w:rPr>
        <w:cr/>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...[O]ne should consider the broker-client relationship to be a spectrum. At one end is a relationship of full trust and advice. The broker effectively makes all the decisions because of the great reliance and trust reposed in him or her by the client . . . . This is exacerbated where the account is discretionary, such that the broker has the authority to make trades without the client's consent or even knowledge . . . Obviously, there is a fiduciary relationship at this end of the spectrum . . .</w:t>
      </w:r>
    </w:p>
    <w:p>
      <w:pPr>
        <w:numPr>
          <w:numId w:val="3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At the other end is a relationship where the broker is merely an "order-taker" for the client, the client does not rely on any advice from the broker, and the broker had no discretion. This was the case in </w:t>
      </w:r>
      <w:r>
        <w:rPr>
          <w:rFonts w:ascii="arial" w:eastAsia="arial" w:hAnsi="arial" w:cs="arial"/>
          <w:i/>
          <w:color w:val="000000"/>
          <w:sz w:val="20"/>
          <w:u w:val="single"/>
          <w:lang w:val="en-US" w:eastAsia="en-US" w:bidi="ar-SA"/>
        </w:rPr>
        <w:t>Varcoe</w:t>
      </w:r>
      <w:r>
        <w:rPr>
          <w:rFonts w:ascii="arial" w:eastAsia="arial" w:hAnsi="arial" w:cs="arial"/>
          <w:color w:val="000000"/>
          <w:sz w:val="20"/>
          <w:u w:val="single"/>
          <w:lang w:val="en-US" w:eastAsia="en-US" w:bidi="ar-SA"/>
        </w:rPr>
        <w:t xml:space="preserve"> itself. Relationships at this end of the spectrum lack the elements of a fiduciary relationship.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Hunt v. TD Securities Inc.,</w:t>
      </w:r>
      <w:r>
        <w:rPr>
          <w:rFonts w:ascii="arial" w:eastAsia="arial" w:hAnsi="arial" w:cs="arial"/>
          <w:color w:val="000000"/>
          <w:sz w:val="20"/>
          <w:lang w:val="en-US" w:eastAsia="en-US" w:bidi="ar-SA"/>
        </w:rPr>
        <w:t xml:space="preserve"> </w:t>
      </w:r>
      <w:hyperlink r:id="rId850" w:history="1">
        <w:r>
          <w:rPr>
            <w:rFonts w:ascii="arial" w:eastAsia="arial" w:hAnsi="arial" w:cs="arial"/>
            <w:i/>
            <w:color w:val="0077CC"/>
            <w:sz w:val="20"/>
            <w:u w:val="single"/>
            <w:shd w:val="clear" w:color="auto" w:fill="FFFFFF"/>
            <w:lang w:val="en-US" w:eastAsia="en-US" w:bidi="ar-SA"/>
          </w:rPr>
          <w:t>66 O.R. (3d) 481</w:t>
        </w:r>
      </w:hyperlink>
      <w:r>
        <w:rPr>
          <w:rFonts w:ascii="arial" w:eastAsia="arial" w:hAnsi="arial" w:cs="arial"/>
          <w:color w:val="000000"/>
          <w:sz w:val="20"/>
          <w:lang w:val="en-US" w:eastAsia="en-US" w:bidi="ar-SA"/>
        </w:rPr>
        <w:t xml:space="preserve"> (C.A.), the Court noted, at para. 53, that the simple fact that an account is non-discretionary is not dispositive of the issue. For example, if the broker acts without instruction, despite the account being non-discretionary, a fiduciary relationship might arise. In that event, the other factors discussed in </w:t>
      </w:r>
      <w:r>
        <w:rPr>
          <w:rFonts w:ascii="arial" w:eastAsia="arial" w:hAnsi="arial" w:cs="arial"/>
          <w:i/>
          <w:color w:val="000000"/>
          <w:sz w:val="20"/>
          <w:lang w:val="en-US" w:eastAsia="en-US" w:bidi="ar-SA"/>
        </w:rPr>
        <w:t>Hodgkinson</w:t>
      </w:r>
      <w:r>
        <w:rPr>
          <w:rFonts w:ascii="arial" w:eastAsia="arial" w:hAnsi="arial" w:cs="arial"/>
          <w:color w:val="000000"/>
          <w:sz w:val="20"/>
          <w:lang w:val="en-US" w:eastAsia="en-US" w:bidi="ar-SA"/>
        </w:rPr>
        <w:t>, namely vulnerability, reliance, and discretion, must be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xml:space="preserve">  Allegations of breach of fiduciary duty were also raised in </w:t>
      </w:r>
      <w:r>
        <w:rPr>
          <w:rFonts w:ascii="arial" w:eastAsia="arial" w:hAnsi="arial" w:cs="arial"/>
          <w:i/>
          <w:color w:val="000000"/>
          <w:sz w:val="20"/>
          <w:lang w:val="en-US" w:eastAsia="en-US" w:bidi="ar-SA"/>
        </w:rPr>
        <w:t>Paciorka</w:t>
      </w:r>
      <w:r>
        <w:rPr>
          <w:rFonts w:ascii="arial" w:eastAsia="arial" w:hAnsi="arial" w:cs="arial"/>
          <w:color w:val="000000"/>
          <w:sz w:val="20"/>
          <w:lang w:val="en-US" w:eastAsia="en-US" w:bidi="ar-SA"/>
        </w:rPr>
        <w:t xml:space="preserve"> and discussed at paras. 71-74. The Court considered the factors set out in </w:t>
      </w:r>
      <w:r>
        <w:rPr>
          <w:rFonts w:ascii="arial" w:eastAsia="arial" w:hAnsi="arial" w:cs="arial"/>
          <w:i/>
          <w:color w:val="000000"/>
          <w:sz w:val="20"/>
          <w:lang w:val="en-US" w:eastAsia="en-US" w:bidi="ar-SA"/>
        </w:rPr>
        <w:t>Hodgkinson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Varcoe</w:t>
      </w:r>
      <w:r>
        <w:rPr>
          <w:rFonts w:ascii="arial" w:eastAsia="arial" w:hAnsi="arial" w:cs="arial"/>
          <w:color w:val="000000"/>
          <w:sz w:val="20"/>
          <w:lang w:val="en-US" w:eastAsia="en-US" w:bidi="ar-SA"/>
        </w:rPr>
        <w:t xml:space="preserve"> and concluded that no fiduciary duties arose: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[74] Mr. Paciorka, like the client in </w:t>
      </w:r>
      <w:r>
        <w:rPr>
          <w:rFonts w:ascii="arial" w:eastAsia="arial" w:hAnsi="arial" w:cs="arial"/>
          <w:i/>
          <w:color w:val="000000"/>
          <w:sz w:val="20"/>
          <w:lang w:val="en-US" w:eastAsia="en-US" w:bidi="ar-SA"/>
        </w:rPr>
        <w:t>Varcoe v. Sterling,</w:t>
      </w:r>
      <w:r>
        <w:rPr>
          <w:rFonts w:ascii="arial" w:eastAsia="arial" w:hAnsi="arial" w:cs="arial"/>
          <w:color w:val="000000"/>
          <w:sz w:val="20"/>
          <w:lang w:val="en-US" w:eastAsia="en-US" w:bidi="ar-SA"/>
        </w:rPr>
        <w:t xml:space="preserve"> was a knowledgeable investor with over 20 years experience in investing in the stock market. On his application form that he completed in 1992 he described himself as a sophisticated, wealthy and experienced investor. He was by no means vulnerable to the investment world. Further, the margin account that he maintained did not impose an obligation on TD Waterhouse or any of its employees to provide him with investment advice. Thus, he relied on TD Waterhouse for information respecting his margin account with an awareness that advice would not be extended as part of the nature of the account. Overall, the relationship created by the margin account did not create the requisite degree of trust, confidence or reliance to elevate it to one that could be characterized as being fiduciary. Thus, TD Waterhouse was not in breach of any fiduciary obligation to Mr. Paciorka.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TD Waterhouse submits, and I agree, that Mr. Turkson is in a similar position to Mr. Paciorka. Based on the information he relayed in the First and Second Application, Mr. Turkson is a knowledgeable investor with some 26 years of experience. There is no aspect of vulnerability here. Further, the First and Second Application make clear that TD Waterhouse would not be providing Mr. Turkson with any investment advice such that he would rely on TD Waterhouse's judgment and advice. There is no evidence that TD Waterhouse provided him with any investment advice. In addition, there is no evidence that Mr. Turkson reposed any trust in TD Waterhouse or relied on TD Waterhouse, in any way, in respect of his transactions in the account. He accepted sole responsibility for the trades he made, and acknowledged numerous times in the various agreements that TD Waterhouse would not be providing him with any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The consequences of Mr. Turkson's investment decisions are governed by the agreements he executed in favour of TD Waterhouse and also by the various markets in which he participated.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Finally, to the extent that TD Waterhouse had discretion to buy or sell securities in connection with Mr. Turkson's margin account, it was expressly permitted to do so in accordance with the First Application, the Second Application, the Booklet, and the underlying agreements. Further, pursuant to these agreements, Mr. Turkson agreed that the equity in his account was collateral for his margin loans, and he authorized TD Waterhouse to make margin calls without notice. The only discretion TD Waterhouse had over Mr. Turkson's account was to protect its own self-interest in respect of the margin loans. This was an authority Mr. Turkson expressly conferred on TD Waterhouse. In these circumstances, Mr. Turkson could have not relied on or reposed his trust in TD Waterhouse, in any way, to act in his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I conclude that no fiduciary relationship arose between Mr. Turkson and TD Waterhouse.</w:t>
      </w:r>
      <w:r>
        <w:rPr>
          <w:rFonts w:ascii="arial" w:eastAsia="arial" w:hAnsi="arial" w:cs="arial"/>
          <w:sz w:val="20"/>
          <w:lang w:val="en-US" w:eastAsia="en-US" w:bidi="ar-SA"/>
        </w:rPr>
        <w:cr/>
      </w:r>
    </w:p>
    <w:p>
      <w:pPr>
        <w:numPr>
          <w:numId w:val="3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Breach of Trust/Fraud/Wilful Concealment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In addition to the causes of action discussed above, Mr. Turkson advances more serious allegations against TD Waterhouse in his pleadings and evidence. Claims found in his pleadings include:</w:t>
      </w:r>
      <w:r>
        <w:rPr>
          <w:rFonts w:ascii="arial" w:eastAsia="arial" w:hAnsi="arial" w:cs="arial"/>
          <w:sz w:val="20"/>
          <w:lang w:val="en-US" w:eastAsia="en-US" w:bidi="ar-SA"/>
        </w:rPr>
        <w:cr/>
      </w:r>
    </w:p>
    <w:p>
      <w:pPr>
        <w:numPr>
          <w:numId w:val="3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TD Waterhouse stole his money and earnings while trading in his account at least 12 times (Statement of Facts, para. 28) and that he lost US$50,000 by this "cheating and stealing" (Relief Sought, para. 4);</w:t>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various actions of TD Waterhouse (re the IMMR shares, the Options, the margin call and the restriction on the account) constitute "Wilful Concealment" and fraud (Legal Basis, para. 2); and</w:t>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further Legal Basis for his claims includes "Civil Fraud" and "Breach of Trust" (para.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The cheating and stealing allegation arises from Mr. Turkson's contention that when a trade cannot be made online, he is required to go to a TD Waterhouse broker to complete it. Mr. Turkson alleges that on 12 occasions he made trades where the "broker" pocketed a difference in pricing, such that the broker obtained a profit to which Mr. Turkson says he was entitled.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No further details are provided by Mr. Turkson in relation to this issue, including the name of the broker with whom he dealt, the particulars of the trades, and the loss which he suffered. As such, Mr. Turkson has failed to establish any such claim on a balance of probabilities. I would dismiss this claim on the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xml:space="preserve">  Wilful concealment is not a cause of action of which I am aware. Mr. Turkson appears to have adopted this concept from wording found in limitation legislation, as discussed in </w:t>
      </w:r>
      <w:r>
        <w:rPr>
          <w:rFonts w:ascii="arial" w:eastAsia="arial" w:hAnsi="arial" w:cs="arial"/>
          <w:i/>
          <w:color w:val="000000"/>
          <w:sz w:val="20"/>
          <w:lang w:val="en-US" w:eastAsia="en-US" w:bidi="ar-SA"/>
        </w:rPr>
        <w:t>Cimolai v. Hall</w:t>
      </w:r>
      <w:r>
        <w:rPr>
          <w:rFonts w:ascii="arial" w:eastAsia="arial" w:hAnsi="arial" w:cs="arial"/>
          <w:color w:val="000000"/>
          <w:sz w:val="20"/>
          <w:lang w:val="en-US" w:eastAsia="en-US" w:bidi="ar-SA"/>
        </w:rPr>
        <w:t xml:space="preserve">, </w:t>
      </w:r>
      <w:hyperlink r:id="rId851" w:history="1">
        <w:r>
          <w:rPr>
            <w:rFonts w:ascii="arial" w:eastAsia="arial" w:hAnsi="arial" w:cs="arial"/>
            <w:i/>
            <w:color w:val="0077CC"/>
            <w:sz w:val="20"/>
            <w:u w:val="single"/>
            <w:shd w:val="clear" w:color="auto" w:fill="FFFFFF"/>
            <w:lang w:val="en-US" w:eastAsia="en-US" w:bidi="ar-SA"/>
          </w:rPr>
          <w:t>2005 BCSC 31</w:t>
        </w:r>
      </w:hyperlink>
      <w:r>
        <w:rPr>
          <w:rFonts w:ascii="arial" w:eastAsia="arial" w:hAnsi="arial" w:cs="arial"/>
          <w:color w:val="000000"/>
          <w:sz w:val="20"/>
          <w:lang w:val="en-US" w:eastAsia="en-US" w:bidi="ar-SA"/>
        </w:rPr>
        <w:t xml:space="preserve"> at para. 355. I fail to see the relevance.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Indeed, the allegation of wilful concealment, similar to the fraud and civil fraud allegations, seems to be principally tied to the allegation that TD Waterhouse failed to advise Mr. Turkson of the applicable "rules" in relation to the exercise of the Options. His pleadings also suggest that the fraud allegations relate to the IMMR shares, the margin call and the restriction on the account. These are claims I have already dismissed at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Rule 3-7(18)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When particulars necessary</w:t>
      </w:r>
    </w:p>
    <w:p>
      <w:pPr>
        <w:numPr>
          <w:numId w:val="4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party pleading relies on misrepresentation, </w:t>
      </w:r>
      <w:r>
        <w:rPr>
          <w:rFonts w:ascii="arial" w:eastAsia="arial" w:hAnsi="arial" w:cs="arial"/>
          <w:color w:val="000000"/>
          <w:sz w:val="20"/>
          <w:u w:val="single"/>
          <w:lang w:val="en-US" w:eastAsia="en-US" w:bidi="ar-SA"/>
        </w:rPr>
        <w:t>fraud, breach of trust</w:t>
      </w:r>
      <w:r>
        <w:rPr>
          <w:rFonts w:ascii="arial" w:eastAsia="arial" w:hAnsi="arial" w:cs="arial"/>
          <w:color w:val="000000"/>
          <w:sz w:val="20"/>
          <w:lang w:val="en-US" w:eastAsia="en-US" w:bidi="ar-SA"/>
        </w:rPr>
        <w:t>, wilful default or undue influence, or if particulars may be necessary, full particulars, with dates and items if applicable, must be stated in the pleading.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xml:space="preserve">  Contrary to Rule 3-7(18), Mr. Turkson's pleadings, beyond a bare allegation of fraud and civil fraud, do not set out the constituent elements of the allegation (a false representation by the defendant; some level of knowledge of the falsehood of the representation; the false representation caused the plaintiff to act; and the plaintiff's actions resulted in a loss: see </w:t>
      </w:r>
      <w:r>
        <w:rPr>
          <w:rFonts w:ascii="arial" w:eastAsia="arial" w:hAnsi="arial" w:cs="arial"/>
          <w:i/>
          <w:color w:val="000000"/>
          <w:sz w:val="20"/>
          <w:lang w:val="en-US" w:eastAsia="en-US" w:bidi="ar-SA"/>
        </w:rPr>
        <w:t>Hryniak v. Mauldin</w:t>
      </w:r>
      <w:r>
        <w:rPr>
          <w:rFonts w:ascii="arial" w:eastAsia="arial" w:hAnsi="arial" w:cs="arial"/>
          <w:color w:val="000000"/>
          <w:sz w:val="20"/>
          <w:lang w:val="en-US" w:eastAsia="en-US" w:bidi="ar-SA"/>
        </w:rPr>
        <w:t xml:space="preserve">, </w:t>
      </w:r>
      <w:hyperlink r:id="rId852" w:history="1">
        <w:r>
          <w:rPr>
            <w:rFonts w:ascii="arial" w:eastAsia="arial" w:hAnsi="arial" w:cs="arial"/>
            <w:i/>
            <w:color w:val="0077CC"/>
            <w:sz w:val="20"/>
            <w:u w:val="single"/>
            <w:shd w:val="clear" w:color="auto" w:fill="FFFFFF"/>
            <w:lang w:val="en-US" w:eastAsia="en-US" w:bidi="ar-SA"/>
          </w:rPr>
          <w:t>2014 SCC 7</w:t>
        </w:r>
      </w:hyperlink>
      <w:r>
        <w:rPr>
          <w:rFonts w:ascii="arial" w:eastAsia="arial" w:hAnsi="arial" w:cs="arial"/>
          <w:color w:val="000000"/>
          <w:sz w:val="20"/>
          <w:lang w:val="en-US" w:eastAsia="en-US" w:bidi="ar-SA"/>
        </w:rPr>
        <w:t xml:space="preserve"> at para. 87).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Accordingly, the claims of wilful concealment, fraud and civil fraud are dismissed based on my conclusion that Mr. Turkson's pleadings do not disclose a reasonable claim; alternatively, all claims of wilful concealment, fraud and civil fraud in relation to the IMMR shares, the Options, the margin call, and the restriction on the account are dismissed at summary trial based on my reasoning set out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The final allegation is that TD Waterhouse is liable for "breach of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Mr. Turkson alleges that TD Waterhouse was a trustee, although this allegation principally arises from his argument and not from his pleadings. This claim has also not been properly pled or particularized in accordance with Rule 3-7(18). On this basis, the claim should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In the alternative, TD Waterhouse submits that its relationship with Mr. Turkson is not as trustee and that the account is not a legal trust. I agree with TD Waterhouse that it is not a trustee and Mr. Turkson's assets in the account are not held in trust. Again, the nature of the relationship of the parties is evidenced by the agreements between them. In particular, paragraph 4 of the Cash Account Agreement (cited above) indicated that the property in the account is not trust property; that provision expressly provides that the securities and cash in Mr. Turkson's accounts are held as collateral by TD Waterhouse to secure the margin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Further, paragraph 22 of the Cash Account Agreement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Whenever there is a credit balance in your account, the credit balance need not be segregated or held separately. A credit balance may be commingled with our general funds or deposited in trust and used for the general purposes or benefit of our business and/or that of any of our affiliates, including earning an interest rate spread. A credit balance will be considered to be an item in a debtor and creditor account between you and us. You will rely on our liability in respect of the credit balance.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xml:space="preserve">  Accordingly, similar to the well-settled law that a credit balance in a bank account creates a debtor-creditor relationship rather than a trust relationship, the cash balances in Mr. Turkson's account were held by TD Waterhouse as his creditor, not his trustee. Similarly, since the securities in Mr. Turkson's account are held by TD Waterhouse as collateral or security, they can only be held by TD Waterhouse as a creditor in relation to the margin loan, and not trustee. As noted in </w:t>
      </w:r>
      <w:r>
        <w:rPr>
          <w:rFonts w:ascii="arial" w:eastAsia="arial" w:hAnsi="arial" w:cs="arial"/>
          <w:i/>
          <w:color w:val="000000"/>
          <w:sz w:val="20"/>
          <w:lang w:val="en-US" w:eastAsia="en-US" w:bidi="ar-SA"/>
        </w:rPr>
        <w:t>Paciorka</w:t>
      </w:r>
      <w:r>
        <w:rPr>
          <w:rFonts w:ascii="arial" w:eastAsia="arial" w:hAnsi="arial" w:cs="arial"/>
          <w:color w:val="000000"/>
          <w:sz w:val="20"/>
          <w:lang w:val="en-US" w:eastAsia="en-US" w:bidi="ar-SA"/>
        </w:rPr>
        <w:t>, a brokerage is entitled to act in its own self-interest to protect the money it advanced to the investor as a margin loan. Accordingly, there is no basis in law to suggest that TD Waterhouse is obligated to act in the best interests of Mr. Turkson, as would be expected of a fiduciary or a trustee.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Accordingly, the claim of breach of trust is dismissed based on my conclusion that it is not a reasonable claim. Alternatively, the claim of breach of trust is dismissed at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Finally, I will briefly address another serious allegation advanced by Mr. Turkson in his reply to this application and in argument. Mr. Turkson levelled certain accusations that TD Waterhouse's counsel had acted improperly regarding the manner in which Watchuk J.'s order of January 13, 2015 was later settled on February 4, 2015. He claims solicitor and client costs against TD Waterhouse, being his outstanding legal costs of $5,751, plus $1,000 for his personal costs, and the sum of $5 million, which I took to mean as punitive damages. There is absolutely no merit to this allegation. I would also note that Mr. Turkson was represented at the time and no allegation of improper conduct and corresponding costs claim was advanced.</w:t>
      </w:r>
      <w:r>
        <w:rPr>
          <w:rFonts w:ascii="arial" w:eastAsia="arial" w:hAnsi="arial" w:cs="arial"/>
          <w:sz w:val="20"/>
          <w:lang w:val="en-US" w:eastAsia="en-US" w:bidi="ar-SA"/>
        </w:rPr>
        <w:cr/>
      </w:r>
    </w:p>
    <w:p>
      <w:pPr>
        <w:numPr>
          <w:numId w:val="4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Breach of Privacy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Mr. Turkson alleges that TD Waterhouse invaded his privacy by tape recording his conversations with its representatives without his consent, and by publishing the transcript of those conversations without his consent or a court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Mr. Turkson's petition (Factual Basis, paragraph 1) expressly refers to TD Waterhouse's response to his November 5, 2014 demand letter that the monies debited for the GTAT shares be returned to him. Mr. Turkson's affidavit #1 sworn in December 2014 also contained certain allegations against TD Waterhouse concerning their response to the GTAT share issue: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...I've been contacting [TD Waterhouse] throughout October and November 2014, being ignored and given no info. I contacted [TD Waterhouse] by Registered Mail, demanding action and service. ... They've always avoided giving me any explanation in writing but on the phone, they stated, I can't have the money in deposit with them and must buy the stock on or before the agreed closing date. When I asked [TD Waterhouse] again to give it to me in writing, they directed me to various websites of the Options Board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In response to this allegation, Mr. Dahl attached two transcripts to his affidavit #1 sworn in December 2014. These transcripts evidence recorded conversations between Mr. Turkson and Mr. DeLisi on November 24 and 28,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xml:space="preserve">  The first observation I would make is that there is no reasonable claim advanced here as there is no common law tort for breach of privacy in British Columbia: </w:t>
      </w:r>
      <w:r>
        <w:rPr>
          <w:rFonts w:ascii="arial" w:eastAsia="arial" w:hAnsi="arial" w:cs="arial"/>
          <w:i/>
          <w:color w:val="000000"/>
          <w:sz w:val="20"/>
          <w:lang w:val="en-US" w:eastAsia="en-US" w:bidi="ar-SA"/>
        </w:rPr>
        <w:t>Hung v. Gardiner</w:t>
      </w:r>
      <w:r>
        <w:rPr>
          <w:rFonts w:ascii="arial" w:eastAsia="arial" w:hAnsi="arial" w:cs="arial"/>
          <w:color w:val="000000"/>
          <w:sz w:val="20"/>
          <w:lang w:val="en-US" w:eastAsia="en-US" w:bidi="ar-SA"/>
        </w:rPr>
        <w:t xml:space="preserve">, </w:t>
      </w:r>
      <w:hyperlink r:id="rId853" w:history="1">
        <w:r>
          <w:rPr>
            <w:rFonts w:ascii="arial" w:eastAsia="arial" w:hAnsi="arial" w:cs="arial"/>
            <w:i/>
            <w:color w:val="0077CC"/>
            <w:sz w:val="20"/>
            <w:u w:val="single"/>
            <w:shd w:val="clear" w:color="auto" w:fill="FFFFFF"/>
            <w:lang w:val="en-US" w:eastAsia="en-US" w:bidi="ar-SA"/>
          </w:rPr>
          <w:t>2002 BCSC 1234</w:t>
        </w:r>
      </w:hyperlink>
      <w:r>
        <w:rPr>
          <w:rFonts w:ascii="arial" w:eastAsia="arial" w:hAnsi="arial" w:cs="arial"/>
          <w:color w:val="000000"/>
          <w:sz w:val="20"/>
          <w:lang w:val="en-US" w:eastAsia="en-US" w:bidi="ar-SA"/>
        </w:rPr>
        <w:t xml:space="preserve"> at para. 110; </w:t>
      </w:r>
      <w:r>
        <w:rPr>
          <w:rFonts w:ascii="arial" w:eastAsia="arial" w:hAnsi="arial" w:cs="arial"/>
          <w:i/>
          <w:color w:val="000000"/>
          <w:sz w:val="20"/>
          <w:lang w:val="en-US" w:eastAsia="en-US" w:bidi="ar-SA"/>
        </w:rPr>
        <w:t>Ari</w:t>
      </w:r>
      <w:r>
        <w:rPr>
          <w:rFonts w:ascii="arial" w:eastAsia="arial" w:hAnsi="arial" w:cs="arial"/>
          <w:color w:val="000000"/>
          <w:sz w:val="20"/>
          <w:lang w:val="en-US" w:eastAsia="en-US" w:bidi="ar-SA"/>
        </w:rPr>
        <w:t xml:space="preserve"> at para. 9. The contrary authority cited by Mr. Turkson, </w:t>
      </w:r>
      <w:r>
        <w:rPr>
          <w:rFonts w:ascii="arial" w:eastAsia="arial" w:hAnsi="arial" w:cs="arial"/>
          <w:i/>
          <w:color w:val="000000"/>
          <w:sz w:val="20"/>
          <w:lang w:val="en-US" w:eastAsia="en-US" w:bidi="ar-SA"/>
        </w:rPr>
        <w:t>Jones v. Tsige</w:t>
      </w:r>
      <w:r>
        <w:rPr>
          <w:rFonts w:ascii="arial" w:eastAsia="arial" w:hAnsi="arial" w:cs="arial"/>
          <w:color w:val="000000"/>
          <w:sz w:val="20"/>
          <w:lang w:val="en-US" w:eastAsia="en-US" w:bidi="ar-SA"/>
        </w:rPr>
        <w:t xml:space="preserve">, </w:t>
      </w:r>
      <w:hyperlink r:id="rId854" w:history="1">
        <w:r>
          <w:rPr>
            <w:rFonts w:ascii="arial" w:eastAsia="arial" w:hAnsi="arial" w:cs="arial"/>
            <w:i/>
            <w:color w:val="0077CC"/>
            <w:sz w:val="20"/>
            <w:u w:val="single"/>
            <w:shd w:val="clear" w:color="auto" w:fill="FFFFFF"/>
            <w:lang w:val="en-US" w:eastAsia="en-US" w:bidi="ar-SA"/>
          </w:rPr>
          <w:t>2012 ONCA 32</w:t>
        </w:r>
      </w:hyperlink>
      <w:r>
        <w:rPr>
          <w:rFonts w:ascii="arial" w:eastAsia="arial" w:hAnsi="arial" w:cs="arial"/>
          <w:color w:val="000000"/>
          <w:sz w:val="20"/>
          <w:lang w:val="en-US" w:eastAsia="en-US" w:bidi="ar-SA"/>
        </w:rPr>
        <w:t>, is not the controlling authority in this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Mr. Turkson has also failed to plead any damages in relation to the alleged breach of privacy in his amended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xml:space="preserve">  In argument, Mr. Turkson advanced a new allegation that there was a breach of his privacy in violation of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373</w:t>
      </w:r>
      <w:r>
        <w:rPr>
          <w:rFonts w:ascii="arial" w:eastAsia="arial" w:hAnsi="arial" w:cs="arial"/>
          <w:color w:val="000000"/>
          <w:sz w:val="20"/>
          <w:lang w:val="en-US" w:eastAsia="en-US" w:bidi="ar-SA"/>
        </w:rPr>
        <w:t>. No such claim is advanced in the amended notice of civil claim. TD Waterhouse strenuously objected to the new argument, given the substantial opportunities that Mr. Turkson has had to properly advance such a claim. There is some merit to TD Waterhouse's position, as I agree that Mr. Turkson has been given ample time to put his pleadings in order so that this application may now proceed. However, I am mindful that Mr. Turkson is self-represented and that, ideally, the matter should be decided on the merits rather than based on defective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With that approach in mind, I will consider the breach of privacy claim on its merits and in light of the summary trial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creates a statutory cause of action. Section 1 provides:</w:t>
      </w:r>
      <w:r>
        <w:rPr>
          <w:rFonts w:ascii="arial" w:eastAsia="arial" w:hAnsi="arial" w:cs="arial"/>
          <w:sz w:val="20"/>
          <w:lang w:val="en-US" w:eastAsia="en-US" w:bidi="ar-SA"/>
        </w:rPr>
        <w:cr/>
      </w:r>
    </w:p>
    <w:p>
      <w:pPr>
        <w:numPr>
          <w:numId w:val="4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a tort, actionable without proof of damage, for a person, wilfully and without a claim of right, to violate the privacy of another.</w:t>
      </w:r>
    </w:p>
    <w:p>
      <w:pPr>
        <w:numPr>
          <w:numId w:val="4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and degree of privacy to which a person is entitled in a situation or in relation to a matter is that which is reasonable in the circumstances, giving due regard to the lawful interests of others.</w:t>
      </w:r>
    </w:p>
    <w:p>
      <w:pPr>
        <w:numPr>
          <w:numId w:val="4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determining whether the act or conduct of a person is a violation of another's privacy, regard must be given to the nature, incidence and occasion of the act or conduct and to any domestic or other relationship between the parties.</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limiting subsections (1) to (3), privacy may be violated by eavesdropping or surveillance, whether or not accomplished by trespass.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xml:space="preserve">  Further,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contains numerous exceptions to the statutory cause of action. Section 2 provides:</w:t>
      </w:r>
      <w:r>
        <w:rPr>
          <w:rFonts w:ascii="arial" w:eastAsia="arial" w:hAnsi="arial" w:cs="arial"/>
          <w:sz w:val="20"/>
          <w:lang w:val="en-US" w:eastAsia="en-US" w:bidi="ar-SA"/>
        </w:rPr>
        <w:cr/>
      </w:r>
    </w:p>
    <w:p>
      <w:pPr>
        <w:numPr>
          <w:numId w:val="4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this section: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"court"</w:t>
      </w:r>
      <w:r>
        <w:rPr>
          <w:rFonts w:ascii="arial" w:eastAsia="arial" w:hAnsi="arial" w:cs="arial"/>
          <w:color w:val="000000"/>
          <w:sz w:val="20"/>
          <w:lang w:val="en-US" w:eastAsia="en-US" w:bidi="ar-SA"/>
        </w:rPr>
        <w:t xml:space="preserve"> includes a person authorized by law to administer an oath for taking evidence when acting for the purpose for which the person is authorized to take evidence;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act or conduct is not a violation of privacy if any of the following applies:</w:t>
      </w:r>
    </w:p>
    <w:p>
      <w:pPr>
        <w:numPr>
          <w:numId w:val="4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consented to by some person entitled to consent;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 or conduct was authorized or required under a law in force in British Columbia, by a court or by any process of a court;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In these circumstances, it is difficult to see that Mr. Turkson could have any expectation of privacy in the recording of these discussions, given that he expressly consented to it. Contrary to Mr. Turkson's allegations, paragraph 2 of the Cash Account Agreement executed by him expressly provided: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You acknowledge and agree that your calls with us may be taped to enhance the overall quality of your client experience and to record the details of our conversations, including your trading instructions.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xml:space="preserve">  The exception in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s. 2(2)(a) applies such that whatever entitlement of privacy Mr. Turkson may have had, he waived any such entitlement by expressly consenting and agreeing to the recording of these conversations.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Further, Mr. Turkson's petition, and his first affidavit, clearly put his discussions with TD Waterhouse's representatives concerning the GTAT matter in issue. As such, TD Waterhouse was entitled to put the recordings of these conversations into evidence in order to support its position at the hearing of the petition: Rule 16-1. Even after the petition was converted into a notice of civil claim, the allegations remained and TD Waterhouse would have been required to list these transcripts as documents in its possession that could be used at trial to prove or disprove a material fact: Rule 7-1(1).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xml:space="preserve">  Accordingly, TD Waterhouse's introduction of the transcripts into evidence engages the exception in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s. 2(2)(c), since it was an act authorized or required under a law in force in British Columbia and by the process of this Court: see </w:t>
      </w:r>
      <w:r>
        <w:rPr>
          <w:rFonts w:ascii="arial" w:eastAsia="arial" w:hAnsi="arial" w:cs="arial"/>
          <w:i/>
          <w:color w:val="000000"/>
          <w:sz w:val="20"/>
          <w:lang w:val="en-US" w:eastAsia="en-US" w:bidi="ar-SA"/>
        </w:rPr>
        <w:t>Reischer v. Love</w:t>
      </w:r>
      <w:r>
        <w:rPr>
          <w:rFonts w:ascii="arial" w:eastAsia="arial" w:hAnsi="arial" w:cs="arial"/>
          <w:color w:val="000000"/>
          <w:sz w:val="20"/>
          <w:lang w:val="en-US" w:eastAsia="en-US" w:bidi="ar-SA"/>
        </w:rPr>
        <w:t xml:space="preserve">, </w:t>
      </w:r>
      <w:hyperlink r:id="rId855" w:history="1">
        <w:r>
          <w:rPr>
            <w:rFonts w:ascii="arial" w:eastAsia="arial" w:hAnsi="arial" w:cs="arial"/>
            <w:i/>
            <w:color w:val="0077CC"/>
            <w:sz w:val="20"/>
            <w:u w:val="single"/>
            <w:shd w:val="clear" w:color="auto" w:fill="FFFFFF"/>
            <w:lang w:val="en-US" w:eastAsia="en-US" w:bidi="ar-SA"/>
          </w:rPr>
          <w:t>2005 BCSC 580</w:t>
        </w:r>
      </w:hyperlink>
      <w:r>
        <w:rPr>
          <w:rFonts w:ascii="arial" w:eastAsia="arial" w:hAnsi="arial" w:cs="arial"/>
          <w:color w:val="000000"/>
          <w:sz w:val="20"/>
          <w:lang w:val="en-US" w:eastAsia="en-US" w:bidi="ar-SA"/>
        </w:rPr>
        <w:t xml:space="preserve"> at para. 55 (although decided under the previous Rules of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In summary, there is no merit to Mr. Turkson's claims for breach of privacy and all claims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Mr. Turkson purported to be an experienced investor who understood the significant risks in the market and that he had sufficient capital to withstand the vagaries (and potential downturn) of the market if his investment decisions did not pan out. He went into this situation with his eyes open and was either well-aware or should have been aware of TD Waterhouse's rights under the various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When the market turned against him, he sought to place the consequences of his poor investment decisions on TD Waterhouse. He willingly engaged in an inherently speculative and risky management strategy with what seems to be the last of his family savings. While I appreciate that Mr. Turkson's reversal of fortune has resulted in significant financial loss and some resulting health and family issues, he has only himself to blame.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The action is dismissed. The dismissal of the serious allegations levelled against TD Waterhouse, such as fraud, cheating and stealing, would normally attract a higher level of costs. Nevertheless, TD Waterhouse seeks only party and party costs, which I award against Mr. Turkson on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S.C. FITZPATRICK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5" style="position:absolute;z-index:2518026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56"/>
          <w:headerReference w:type="default" r:id="rId857"/>
          <w:footerReference w:type="even" r:id="rId858"/>
          <w:footerReference w:type="default" r:id="rId859"/>
          <w:headerReference w:type="first" r:id="rId860"/>
          <w:footerReference w:type="first" r:id="rId86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62" w:history="1">
        <w:r>
          <w:rPr>
            <w:rFonts w:ascii="arial" w:eastAsia="arial" w:hAnsi="arial" w:cs="arial"/>
            <w:b/>
            <w:bCs/>
            <w:i/>
            <w:color w:val="0077CC"/>
            <w:kern w:val="32"/>
            <w:sz w:val="28"/>
            <w:szCs w:val="32"/>
            <w:u w:val="single"/>
            <w:shd w:val="clear" w:color="auto" w:fill="FFFFFF"/>
            <w:lang w:val="en-US" w:eastAsia="en-US" w:bidi="ar-SA"/>
          </w:rPr>
          <w:t>Williamsburg Water Utility Co. v. Water Rights-Water Management Branch, [2019] B.C.J. No. 2308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 Matthews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13,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2,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S174298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2308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2069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Williamsburg Water Utility Co. Ltd., Plaintiff, and Comptroller of Water Rights-Water Management Branch; Glenn Davidson, Comptroller; Pieter Bekker, Deputy Comptroller and Rick Couroux, Associate Deputy Comptroller,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(68 paras.)</w:t>
      </w:r>
    </w:p>
    <w:p>
      <w:pPr>
        <w:jc w:val="both"/>
        <w:rPr>
          <w:rFonts w:ascii="arial" w:eastAsia="arial" w:hAnsi="arial" w:cs="arial"/>
          <w:sz w:val="20"/>
          <w:lang w:val="en-US" w:eastAsia="en-US" w:bidi="ar-SA"/>
        </w:rPr>
      </w:pPr>
      <w:bookmarkStart w:id="138" w:name="Counsel_41"/>
      <w:bookmarkEnd w:id="13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6" style="position:absolute;z-index:2517022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G. Douvelos.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A. Glen.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9" w:name="Judgment_41"/>
      <w:bookmarkEnd w:id="139"/>
      <w:r>
        <w:pict>
          <v:line id="_x0000_s1167" style="position:absolute;z-index:25175347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0" w:name="S. MATTHEWS J."/>
            <w:bookmarkEnd w:id="140"/>
            <w:r>
              <w:rPr>
                <w:rFonts w:ascii="arial" w:eastAsia="arial" w:hAnsi="arial" w:cs="arial"/>
                <w:b/>
                <w:color w:val="000000"/>
                <w:sz w:val="30"/>
                <w:lang w:val="en-US" w:eastAsia="en-US" w:bidi="ar-SA"/>
              </w:rPr>
              <w:t>S. MATTHEWS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Williamsburg Water Utility Co. Ltd. is a private water utility that services a residential neighbourhood in Chilliwack. In 2014, disputes arose between it and some of its customers. As a result of these disputes, Williamsburg Water Utility shut off the water service to those customers on December 31, 2014. The customers complained to the Comptroller of Water Rights. The Comptroller of Water Rights issued a decision in which he concluded that because Williamsburg Water Utility had disconnected service, the four impacted homeowners did not require Williamsburg Water Utility's consent to dig private wells.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this action, Williamsburg Water Utility claims that Comptroller of Water Rights and the individually named defendants who are the Comptroller, Deputy Comptroller and Associate Deputy Comptroller were negligent, breached a contract and engaged in an act of misfeasance in public office in making this decision. I will refer to the defendants collectively as the Comptroller.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On this application, the Comptroller applies to strike or dismiss the action brought by Williamsburg Water Utility pursuant to Rule 9-5(1)(a)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as not disclosing a cause of action or pursuant to Rule 9-5(1)(d) as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At the outset of the hearing of this application, Williamsburg Water Utility consented to an order striking its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 but seeks to proceed with its claim for damages for misfeasance in public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Williamsburg Water Utility also pursued a claim against Magdy Conyd, one of the customers involved in the dispute. Mr. Conyd filed a counterclaim, naming the defendants in this action as defendants by counterclaim. The counterclaim against the Comptroller was dismissed: </w:t>
      </w:r>
      <w:r>
        <w:rPr>
          <w:rFonts w:ascii="arial" w:eastAsia="arial" w:hAnsi="arial" w:cs="arial"/>
          <w:i/>
          <w:color w:val="000000"/>
          <w:sz w:val="20"/>
          <w:lang w:val="en-US" w:eastAsia="en-US" w:bidi="ar-SA"/>
        </w:rPr>
        <w:t>Williamsburg Water Utility Co. Ltd. v. Conyd</w:t>
      </w:r>
      <w:r>
        <w:rPr>
          <w:rFonts w:ascii="arial" w:eastAsia="arial" w:hAnsi="arial" w:cs="arial"/>
          <w:color w:val="000000"/>
          <w:sz w:val="20"/>
          <w:lang w:val="en-US" w:eastAsia="en-US" w:bidi="ar-SA"/>
        </w:rPr>
        <w:t xml:space="preserve">, </w:t>
      </w:r>
      <w:hyperlink r:id="rId863" w:history="1">
        <w:r>
          <w:rPr>
            <w:rFonts w:ascii="arial" w:eastAsia="arial" w:hAnsi="arial" w:cs="arial"/>
            <w:i/>
            <w:color w:val="0077CC"/>
            <w:sz w:val="20"/>
            <w:u w:val="single"/>
            <w:shd w:val="clear" w:color="auto" w:fill="FFFFFF"/>
            <w:lang w:val="en-US" w:eastAsia="en-US" w:bidi="ar-SA"/>
          </w:rPr>
          <w:t>2017 BCSC 24</w:t>
        </w:r>
      </w:hyperlink>
      <w:r>
        <w:rPr>
          <w:rFonts w:ascii="arial" w:eastAsia="arial" w:hAnsi="arial" w:cs="arial"/>
          <w:color w:val="000000"/>
          <w:sz w:val="20"/>
          <w:lang w:val="en-US" w:eastAsia="en-US" w:bidi="ar-SA"/>
        </w:rPr>
        <w:t xml:space="preserve">. Mr. Conyd succeeded against Williamsburg Water Utility: </w:t>
      </w:r>
      <w:r>
        <w:rPr>
          <w:rFonts w:ascii="arial" w:eastAsia="arial" w:hAnsi="arial" w:cs="arial"/>
          <w:i/>
          <w:color w:val="000000"/>
          <w:sz w:val="20"/>
          <w:lang w:val="en-US" w:eastAsia="en-US" w:bidi="ar-SA"/>
        </w:rPr>
        <w:t>Williamsburg Water Utility Co. Ltd. v. Conyd</w:t>
      </w:r>
      <w:r>
        <w:rPr>
          <w:rFonts w:ascii="arial" w:eastAsia="arial" w:hAnsi="arial" w:cs="arial"/>
          <w:color w:val="000000"/>
          <w:sz w:val="20"/>
          <w:lang w:val="en-US" w:eastAsia="en-US" w:bidi="ar-SA"/>
        </w:rPr>
        <w:t xml:space="preserve">, </w:t>
      </w:r>
      <w:hyperlink r:id="rId864" w:history="1">
        <w:r>
          <w:rPr>
            <w:rFonts w:ascii="arial" w:eastAsia="arial" w:hAnsi="arial" w:cs="arial"/>
            <w:i/>
            <w:color w:val="0077CC"/>
            <w:sz w:val="20"/>
            <w:u w:val="single"/>
            <w:shd w:val="clear" w:color="auto" w:fill="FFFFFF"/>
            <w:lang w:val="en-US" w:eastAsia="en-US" w:bidi="ar-SA"/>
          </w:rPr>
          <w:t>2018 BCSC 284</w:t>
        </w:r>
      </w:hyperlink>
      <w:r>
        <w:rPr>
          <w:rFonts w:ascii="arial" w:eastAsia="arial" w:hAnsi="arial" w:cs="arial"/>
          <w:color w:val="000000"/>
          <w:sz w:val="20"/>
          <w:lang w:val="en-US" w:eastAsia="en-US" w:bidi="ar-SA"/>
        </w:rPr>
        <w:t xml:space="preserve">. The second of these decisions is most germane to the issues raised by this application. I will refer it as </w:t>
      </w:r>
      <w:r>
        <w:rPr>
          <w:rFonts w:ascii="arial" w:eastAsia="arial" w:hAnsi="arial" w:cs="arial"/>
          <w:i/>
          <w:color w:val="000000"/>
          <w:sz w:val="20"/>
          <w:lang w:val="en-US" w:eastAsia="en-US" w:bidi="ar-SA"/>
        </w:rPr>
        <w:t>Conyd</w:t>
      </w:r>
      <w:r>
        <w:rPr>
          <w:rFonts w:ascii="arial" w:eastAsia="arial" w:hAnsi="arial" w:cs="arial"/>
          <w:color w:val="000000"/>
          <w:sz w:val="20"/>
          <w:lang w:val="en-US" w:eastAsia="en-US" w:bidi="ar-SA"/>
        </w:rPr>
        <w:t xml:space="preserve">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Comptroller argues this claim is an abuse of process as a collateral attack on the Comptroller's decision because instead of seeking a reconsideration of the Comptroller's decision or appealing the decision to an appropriate court, as it was entitled to do under the governing legislation, Williamsburg Water Utility brought this action. The Comptroller argues that the claims are also an abuse of process because they attempt to re-litigate matters already decided by the Comptroller and in </w:t>
      </w:r>
      <w:r>
        <w:rPr>
          <w:rFonts w:ascii="arial" w:eastAsia="arial" w:hAnsi="arial" w:cs="arial"/>
          <w:i/>
          <w:color w:val="000000"/>
          <w:sz w:val="20"/>
          <w:lang w:val="en-US" w:eastAsia="en-US" w:bidi="ar-SA"/>
        </w:rPr>
        <w:t>Conyd #2</w:t>
      </w:r>
      <w:r>
        <w:rPr>
          <w:rFonts w:ascii="arial" w:eastAsia="arial" w:hAnsi="arial" w:cs="arial"/>
          <w:color w:val="000000"/>
          <w:sz w:val="20"/>
          <w:lang w:val="en-US" w:eastAsia="en-US" w:bidi="ar-SA"/>
        </w:rPr>
        <w:t>. Further, the Comptroller submits that Williamsburg Water Utility has not pleaded that the Comptroller unlawfully and deliberately reached a decision with the knowledge that it was unlawful and would harm Williamsburg Water Utility, as it must, to properly plead misfeasance in public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Williamsburg Water Utility argues that the claim is neither a collateral attack nor an abuse of process as an attempt to re-litigate because it seeks damages. Williamsburg Water Utility argues that its pleadings in relation to its claim in misfeasance in public office are adequate.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Abuse of Process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Collateral Attack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Williamsburg Water Utility is operated by William Robert Schellenberg and Linda Rose Schellenberg. It services 29 lots in a residential development located in Chilliwack.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Until May 29, 2014, the Comptroller was appointed under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483</w:t>
      </w:r>
      <w:r>
        <w:rPr>
          <w:rFonts w:ascii="arial" w:eastAsia="arial" w:hAnsi="arial" w:cs="arial"/>
          <w:color w:val="000000"/>
          <w:sz w:val="20"/>
          <w:lang w:val="en-US" w:eastAsia="en-US" w:bidi="ar-SA"/>
        </w:rPr>
        <w:t xml:space="preserve">. The Comptroller is now appointed under the </w:t>
      </w:r>
      <w:r>
        <w:rPr>
          <w:rFonts w:ascii="arial" w:eastAsia="arial" w:hAnsi="arial" w:cs="arial"/>
          <w:i/>
          <w:color w:val="000000"/>
          <w:sz w:val="20"/>
          <w:lang w:val="en-US" w:eastAsia="en-US" w:bidi="ar-SA"/>
        </w:rPr>
        <w:t>Water Sustainability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2014, c. 15</w:t>
      </w:r>
      <w:r>
        <w:rPr>
          <w:rFonts w:ascii="arial" w:eastAsia="arial" w:hAnsi="arial" w:cs="arial"/>
          <w:color w:val="000000"/>
          <w:sz w:val="20"/>
          <w:lang w:val="en-US" w:eastAsia="en-US" w:bidi="ar-SA"/>
        </w:rPr>
        <w:t xml:space="preserve">. Under the </w:t>
      </w:r>
      <w:r>
        <w:rPr>
          <w:rFonts w:ascii="arial" w:eastAsia="arial" w:hAnsi="arial" w:cs="arial"/>
          <w:i/>
          <w:color w:val="000000"/>
          <w:sz w:val="20"/>
          <w:lang w:val="en-US" w:eastAsia="en-US" w:bidi="ar-SA"/>
        </w:rPr>
        <w:t>Water Utility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485</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Utilities Commission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473</w:t>
      </w:r>
      <w:r>
        <w:rPr>
          <w:rFonts w:ascii="arial" w:eastAsia="arial" w:hAnsi="arial" w:cs="arial"/>
          <w:color w:val="000000"/>
          <w:sz w:val="20"/>
          <w:lang w:val="en-US" w:eastAsia="en-US" w:bidi="ar-SA"/>
        </w:rPr>
        <w:t>, the Comptroller has certain powers and jurisdiction to regulate privately owned water utilities, such as Williamsburg Water Utility. These powers parallel those vested in the British Columbia Utilities Commission with regard to public utilities.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Among other things, the Comptroller receives complaints from private utility customers, and attempts to resolve them when they are within the Comptroller's jurisdiction. When doing so, the Comptroller is concerned with whether the private utility is following an approved water tariff, which acts as a contract with its customers, and with any applicable provisions of the legislative regime. Williamsburg Water Utility operated pursuant to a water tariff that was registered with the Comptroller.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When Williamsburg Water shut off water service to customers with whom it had a dispute on December 31, 2014, some of the customers dug wells to obtain water. They also complained to the Comptroller. On June 22, 2015, the Comptroller issued its decision regarding the complaints. Among other things, the Comptroller concluded that because Williamsburg Water Utility had disconnected service to the private utility's water system, the customers' private wells "posed no threat of contamination". The customers were not contravening the water tariff in that regard and did not require Williamsburg Water Utility's consent to dig private wells.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Conyd</w:t>
      </w:r>
      <w:r>
        <w:rPr>
          <w:rFonts w:ascii="arial" w:eastAsia="arial" w:hAnsi="arial" w:cs="arial"/>
          <w:color w:val="000000"/>
          <w:sz w:val="20"/>
          <w:lang w:val="en-US" w:eastAsia="en-US" w:bidi="ar-SA"/>
        </w:rPr>
        <w:t xml:space="preserve"> #2, Mr. Justice Brown also found that the water tariff did not require Mr. Conyd to obtain the consent of Williamsburg Water Utility to drill a well on his property and that the well that Mr. Conyd drilled on his property did not pose any risk to Williamsburg Water Utility.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Section 4(b) of the </w:t>
      </w:r>
      <w:r>
        <w:rPr>
          <w:rFonts w:ascii="arial" w:eastAsia="arial" w:hAnsi="arial" w:cs="arial"/>
          <w:i/>
          <w:color w:val="000000"/>
          <w:sz w:val="20"/>
          <w:lang w:val="en-US" w:eastAsia="en-US" w:bidi="ar-SA"/>
        </w:rPr>
        <w:t>Water Utility Act</w:t>
      </w:r>
      <w:r>
        <w:rPr>
          <w:rFonts w:ascii="arial" w:eastAsia="arial" w:hAnsi="arial" w:cs="arial"/>
          <w:color w:val="000000"/>
          <w:sz w:val="20"/>
          <w:lang w:val="en-US" w:eastAsia="en-US" w:bidi="ar-SA"/>
        </w:rPr>
        <w:t xml:space="preserve"> identifies certain sections of the </w:t>
      </w:r>
      <w:r>
        <w:rPr>
          <w:rFonts w:ascii="arial" w:eastAsia="arial" w:hAnsi="arial" w:cs="arial"/>
          <w:i/>
          <w:color w:val="000000"/>
          <w:sz w:val="20"/>
          <w:lang w:val="en-US" w:eastAsia="en-US" w:bidi="ar-SA"/>
        </w:rPr>
        <w:t>Utilities Commission Act</w:t>
      </w:r>
      <w:r>
        <w:rPr>
          <w:rFonts w:ascii="arial" w:eastAsia="arial" w:hAnsi="arial" w:cs="arial"/>
          <w:color w:val="000000"/>
          <w:sz w:val="20"/>
          <w:lang w:val="en-US" w:eastAsia="en-US" w:bidi="ar-SA"/>
        </w:rPr>
        <w:t xml:space="preserve"> that apply to the Comptroller and its decision making authority. Pursuant to s. 99 of the </w:t>
      </w:r>
      <w:r>
        <w:rPr>
          <w:rFonts w:ascii="arial" w:eastAsia="arial" w:hAnsi="arial" w:cs="arial"/>
          <w:i/>
          <w:color w:val="000000"/>
          <w:sz w:val="20"/>
          <w:lang w:val="en-US" w:eastAsia="en-US" w:bidi="ar-SA"/>
        </w:rPr>
        <w:t>Utilities Commission Act</w:t>
      </w:r>
      <w:r>
        <w:rPr>
          <w:rFonts w:ascii="arial" w:eastAsia="arial" w:hAnsi="arial" w:cs="arial"/>
          <w:color w:val="000000"/>
          <w:sz w:val="20"/>
          <w:lang w:val="en-US" w:eastAsia="en-US" w:bidi="ar-SA"/>
        </w:rPr>
        <w:t xml:space="preserve">, the Comptroller may reconsider a decision it has rendered. The Comptroller may confirm, vary or rescind a reconsidered decision. In addition, depending on the nature of the decision, appeals lie to either the Supreme Court or the Court of Appeal: </w:t>
      </w:r>
      <w:r>
        <w:rPr>
          <w:rFonts w:ascii="arial" w:eastAsia="arial" w:hAnsi="arial" w:cs="arial"/>
          <w:i/>
          <w:color w:val="000000"/>
          <w:sz w:val="20"/>
          <w:lang w:val="en-US" w:eastAsia="en-US" w:bidi="ar-SA"/>
        </w:rPr>
        <w:t>Utilities Commission Act</w:t>
      </w:r>
      <w:r>
        <w:rPr>
          <w:rFonts w:ascii="arial" w:eastAsia="arial" w:hAnsi="arial" w:cs="arial"/>
          <w:color w:val="000000"/>
          <w:sz w:val="20"/>
          <w:lang w:val="en-US" w:eastAsia="en-US" w:bidi="ar-SA"/>
        </w:rPr>
        <w:t>, s. 101(1).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Section 105 of the </w:t>
      </w:r>
      <w:r>
        <w:rPr>
          <w:rFonts w:ascii="arial" w:eastAsia="arial" w:hAnsi="arial" w:cs="arial"/>
          <w:i/>
          <w:color w:val="000000"/>
          <w:sz w:val="20"/>
          <w:lang w:val="en-US" w:eastAsia="en-US" w:bidi="ar-SA"/>
        </w:rPr>
        <w:t>Utilities Commission Act</w:t>
      </w:r>
      <w:r>
        <w:rPr>
          <w:rFonts w:ascii="arial" w:eastAsia="arial" w:hAnsi="arial" w:cs="arial"/>
          <w:color w:val="000000"/>
          <w:sz w:val="20"/>
          <w:lang w:val="en-US" w:eastAsia="en-US" w:bidi="ar-SA"/>
        </w:rPr>
        <w:t xml:space="preserve"> outlines the Comptroller's exclusive jurisdiction:</w:t>
      </w:r>
      <w:r>
        <w:rPr>
          <w:rFonts w:ascii="arial" w:eastAsia="arial" w:hAnsi="arial" w:cs="arial"/>
          <w:sz w:val="20"/>
          <w:lang w:val="en-US" w:eastAsia="en-US" w:bidi="ar-SA"/>
        </w:rPr>
        <w:cr/>
      </w:r>
    </w:p>
    <w:p>
      <w:pPr>
        <w:numPr>
          <w:numId w:val="1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commission has exclusive jurisdiction in all cases and for all matters in which jurisdiction is conferred on it by this or any other Act.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Unless otherwise provided in this Act, an order, decision or proceeding of the commission must not be questioned, reviewed or restrained by or on an application for judicial review or other process or proceeding in any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Williamsburg Water Utility did not seek a reconsideration or appeal the Comptroller's decision. Instead, it brought this claim and a separate action against one of the property owners.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A collateral attack arises when a statutory decision is challenged inappropriately by commencing a civil action instead of seeking judicial review: </w:t>
      </w:r>
      <w:r>
        <w:rPr>
          <w:rFonts w:ascii="arial" w:eastAsia="arial" w:hAnsi="arial" w:cs="arial"/>
          <w:i/>
          <w:color w:val="000000"/>
          <w:sz w:val="20"/>
          <w:lang w:val="en-US" w:eastAsia="en-US" w:bidi="ar-SA"/>
        </w:rPr>
        <w:t>Stewart v. Clark</w:t>
      </w:r>
      <w:r>
        <w:rPr>
          <w:rFonts w:ascii="arial" w:eastAsia="arial" w:hAnsi="arial" w:cs="arial"/>
          <w:color w:val="000000"/>
          <w:sz w:val="20"/>
          <w:lang w:val="en-US" w:eastAsia="en-US" w:bidi="ar-SA"/>
        </w:rPr>
        <w:t xml:space="preserve">, </w:t>
      </w:r>
      <w:hyperlink r:id="rId865" w:history="1">
        <w:r>
          <w:rPr>
            <w:rFonts w:ascii="arial" w:eastAsia="arial" w:hAnsi="arial" w:cs="arial"/>
            <w:i/>
            <w:color w:val="0077CC"/>
            <w:sz w:val="20"/>
            <w:u w:val="single"/>
            <w:shd w:val="clear" w:color="auto" w:fill="FFFFFF"/>
            <w:lang w:val="en-US" w:eastAsia="en-US" w:bidi="ar-SA"/>
          </w:rPr>
          <w:t>2013 BCCA 359</w:t>
        </w:r>
      </w:hyperlink>
      <w:r>
        <w:rPr>
          <w:rFonts w:ascii="arial" w:eastAsia="arial" w:hAnsi="arial" w:cs="arial"/>
          <w:color w:val="000000"/>
          <w:sz w:val="20"/>
          <w:lang w:val="en-US" w:eastAsia="en-US" w:bidi="ar-SA"/>
        </w:rPr>
        <w:t xml:space="preserve"> at para. 39. In </w:t>
      </w:r>
      <w:r>
        <w:rPr>
          <w:rFonts w:ascii="arial" w:eastAsia="arial" w:hAnsi="arial" w:cs="arial"/>
          <w:i/>
          <w:color w:val="000000"/>
          <w:sz w:val="20"/>
          <w:lang w:val="en-US" w:eastAsia="en-US" w:bidi="ar-SA"/>
        </w:rPr>
        <w:t>Greengen Holdings Ltd. v. British Columbia (Ministry of Forests, Lands and Natural Resource Operations)</w:t>
      </w:r>
      <w:r>
        <w:rPr>
          <w:rFonts w:ascii="arial" w:eastAsia="arial" w:hAnsi="arial" w:cs="arial"/>
          <w:color w:val="000000"/>
          <w:sz w:val="20"/>
          <w:lang w:val="en-US" w:eastAsia="en-US" w:bidi="ar-SA"/>
        </w:rPr>
        <w:t xml:space="preserve">, </w:t>
      </w:r>
      <w:hyperlink r:id="rId866" w:history="1">
        <w:r>
          <w:rPr>
            <w:rFonts w:ascii="arial" w:eastAsia="arial" w:hAnsi="arial" w:cs="arial"/>
            <w:i/>
            <w:color w:val="0077CC"/>
            <w:sz w:val="20"/>
            <w:u w:val="single"/>
            <w:shd w:val="clear" w:color="auto" w:fill="FFFFFF"/>
            <w:lang w:val="en-US" w:eastAsia="en-US" w:bidi="ar-SA"/>
          </w:rPr>
          <w:t>2018 BCCA 214</w:t>
        </w:r>
      </w:hyperlink>
      <w:r>
        <w:rPr>
          <w:rFonts w:ascii="arial" w:eastAsia="arial" w:hAnsi="arial" w:cs="arial"/>
          <w:color w:val="000000"/>
          <w:sz w:val="20"/>
          <w:lang w:val="en-US" w:eastAsia="en-US" w:bidi="ar-SA"/>
        </w:rPr>
        <w:t xml:space="preserve"> at para. 31, the Court of Appeal explained that the doctrine of collateral attack is one facet of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A civil action may constitute a collateral attack in two ways. First, when the civil action seeks to invalidate the decision or avoid its consequences; and second, when the plaintiff fails to plead a valid cause of action for damages: </w:t>
      </w:r>
      <w:r>
        <w:rPr>
          <w:rFonts w:ascii="arial" w:eastAsia="arial" w:hAnsi="arial" w:cs="arial"/>
          <w:i/>
          <w:color w:val="000000"/>
          <w:sz w:val="20"/>
          <w:lang w:val="en-US" w:eastAsia="en-US" w:bidi="ar-SA"/>
        </w:rPr>
        <w:t>Greengen</w:t>
      </w:r>
      <w:r>
        <w:rPr>
          <w:rFonts w:ascii="arial" w:eastAsia="arial" w:hAnsi="arial" w:cs="arial"/>
          <w:color w:val="000000"/>
          <w:sz w:val="20"/>
          <w:lang w:val="en-US" w:eastAsia="en-US" w:bidi="ar-SA"/>
        </w:rPr>
        <w:t xml:space="preserve"> at paras. 32-34.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However, a collateral attack does not arise merely because a statutory decision is an issue in a civil claim. In </w:t>
      </w:r>
      <w:r>
        <w:rPr>
          <w:rFonts w:ascii="arial" w:eastAsia="arial" w:hAnsi="arial" w:cs="arial"/>
          <w:i/>
          <w:color w:val="000000"/>
          <w:sz w:val="20"/>
          <w:lang w:val="en-US" w:eastAsia="en-US" w:bidi="ar-SA"/>
        </w:rPr>
        <w:t>Canada (Attorney General) v. TeleZone Inc.</w:t>
      </w:r>
      <w:r>
        <w:rPr>
          <w:rFonts w:ascii="arial" w:eastAsia="arial" w:hAnsi="arial" w:cs="arial"/>
          <w:color w:val="000000"/>
          <w:sz w:val="20"/>
          <w:lang w:val="en-US" w:eastAsia="en-US" w:bidi="ar-SA"/>
        </w:rPr>
        <w:t xml:space="preserve">, </w:t>
      </w:r>
      <w:hyperlink r:id="rId211" w:history="1">
        <w:r>
          <w:rPr>
            <w:rFonts w:ascii="arial" w:eastAsia="arial" w:hAnsi="arial" w:cs="arial"/>
            <w:i/>
            <w:color w:val="0077CC"/>
            <w:sz w:val="20"/>
            <w:u w:val="single"/>
            <w:shd w:val="clear" w:color="auto" w:fill="FFFFFF"/>
            <w:lang w:val="en-US" w:eastAsia="en-US" w:bidi="ar-SA"/>
          </w:rPr>
          <w:t>2010 SCC 62</w:t>
        </w:r>
      </w:hyperlink>
      <w:r>
        <w:rPr>
          <w:rFonts w:ascii="arial" w:eastAsia="arial" w:hAnsi="arial" w:cs="arial"/>
          <w:color w:val="000000"/>
          <w:sz w:val="20"/>
          <w:lang w:val="en-US" w:eastAsia="en-US" w:bidi="ar-SA"/>
        </w:rPr>
        <w:t xml:space="preserve"> at para. 19, Mr. Justice Binnie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if the claimant is content to let the order stand and instead seeks compensation for alleged losses (as here), there is no principled reason why it should be forced to detour to the Federal Court for the extra step of a judicial review application (itself sometimes a costly undertaking) when that is not the relief it seeks. Access to justice requires that the claimant be permitted to pursue its chosen remedy directly and, to the greatest extent possible, without procedural detours.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Superior courts have a residual discretion as part of their inherent jurisdiction to stay a claim for damages "because in its essential character, it is a claim for judicial review with only a thin pretence to a private wrong": </w:t>
      </w:r>
      <w:r>
        <w:rPr>
          <w:rFonts w:ascii="arial" w:eastAsia="arial" w:hAnsi="arial" w:cs="arial"/>
          <w:i/>
          <w:color w:val="000000"/>
          <w:sz w:val="20"/>
          <w:lang w:val="en-US" w:eastAsia="en-US" w:bidi="ar-SA"/>
        </w:rPr>
        <w:t>TeleZone</w:t>
      </w:r>
      <w:r>
        <w:rPr>
          <w:rFonts w:ascii="arial" w:eastAsia="arial" w:hAnsi="arial" w:cs="arial"/>
          <w:color w:val="000000"/>
          <w:sz w:val="20"/>
          <w:lang w:val="en-US" w:eastAsia="en-US" w:bidi="ar-SA"/>
        </w:rPr>
        <w:t xml:space="preserve"> at para. 78. A court must ensure that "artful pleaders" do not abuse its processes: </w:t>
      </w:r>
      <w:r>
        <w:rPr>
          <w:rFonts w:ascii="arial" w:eastAsia="arial" w:hAnsi="arial" w:cs="arial"/>
          <w:i/>
          <w:color w:val="000000"/>
          <w:sz w:val="20"/>
          <w:lang w:val="en-US" w:eastAsia="en-US" w:bidi="ar-SA"/>
        </w:rPr>
        <w:t>Stewart</w:t>
      </w:r>
      <w:r>
        <w:rPr>
          <w:rFonts w:ascii="arial" w:eastAsia="arial" w:hAnsi="arial" w:cs="arial"/>
          <w:color w:val="000000"/>
          <w:sz w:val="20"/>
          <w:lang w:val="en-US" w:eastAsia="en-US" w:bidi="ar-SA"/>
        </w:rPr>
        <w:t xml:space="preserve"> at para. 62.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question is not whether the claim looks like it should be pursued by judicial review. Rather, the inquiry is whether the plaintiff has pleaded a reasonable private cause of action for damages. If so, they should "be allowed to get on with it": </w:t>
      </w:r>
      <w:r>
        <w:rPr>
          <w:rFonts w:ascii="arial" w:eastAsia="arial" w:hAnsi="arial" w:cs="arial"/>
          <w:i/>
          <w:color w:val="000000"/>
          <w:sz w:val="20"/>
          <w:lang w:val="en-US" w:eastAsia="en-US" w:bidi="ar-SA"/>
        </w:rPr>
        <w:t>TeleZone</w:t>
      </w:r>
      <w:r>
        <w:rPr>
          <w:rFonts w:ascii="arial" w:eastAsia="arial" w:hAnsi="arial" w:cs="arial"/>
          <w:color w:val="000000"/>
          <w:sz w:val="20"/>
          <w:lang w:val="en-US" w:eastAsia="en-US" w:bidi="ar-SA"/>
        </w:rPr>
        <w:t xml:space="preserve"> at paras. 76, 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Williamsburg Water Utility pleads that the Comptroller was recklessly indifferent in issuing its decision and failed to discharge a statutory duty by failing to require the property owners to cease digging wells pursuant s. 73 of the </w:t>
      </w:r>
      <w:r>
        <w:rPr>
          <w:rFonts w:ascii="arial" w:eastAsia="arial" w:hAnsi="arial" w:cs="arial"/>
          <w:i/>
          <w:color w:val="000000"/>
          <w:sz w:val="20"/>
          <w:lang w:val="en-US" w:eastAsia="en-US" w:bidi="ar-SA"/>
        </w:rPr>
        <w:t>Utilities Commission Act</w:t>
      </w:r>
      <w:r>
        <w:rPr>
          <w:rFonts w:ascii="arial" w:eastAsia="arial" w:hAnsi="arial" w:cs="arial"/>
          <w:color w:val="000000"/>
          <w:sz w:val="20"/>
          <w:lang w:val="en-US" w:eastAsia="en-US" w:bidi="ar-SA"/>
        </w:rPr>
        <w:t>. It pleads that it suffered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Comptroller argues that the action really is simply a thin pretence to have the decision overturned based on an assertion that it is wrong.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As the Court explained in </w:t>
      </w:r>
      <w:r>
        <w:rPr>
          <w:rFonts w:ascii="arial" w:eastAsia="arial" w:hAnsi="arial" w:cs="arial"/>
          <w:i/>
          <w:color w:val="000000"/>
          <w:sz w:val="20"/>
          <w:lang w:val="en-US" w:eastAsia="en-US" w:bidi="ar-SA"/>
        </w:rPr>
        <w:t>TeleZone</w:t>
      </w:r>
      <w:r>
        <w:rPr>
          <w:rFonts w:ascii="arial" w:eastAsia="arial" w:hAnsi="arial" w:cs="arial"/>
          <w:color w:val="000000"/>
          <w:sz w:val="20"/>
          <w:lang w:val="en-US" w:eastAsia="en-US" w:bidi="ar-SA"/>
        </w:rPr>
        <w:t>, at para. 30, "while Crown liability in tort and the validity of an underlying administrative decision may generate some overlapping considerations, they present distinct and separate justiciable issues." Even though the questions that would be answered in the present action overlap with the issue of the correctness of the decision, the claim for damages is different relief than an order overturning the Comptroller's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Comptroller also argues that while the notice of civil claim asserts a claim for damages as a result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contract and misfeasance in public office, there is no pleading of compensable damages. The Comptroller submits that except for Ms. Schellenberg's statement in an affidavit about loss of revenue, there is no pleading or facts that relate such a loss legally or factually to the causes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difficulty with determining whether the claim is a genuine claim for damages occasioned by wrongdoing by the Comptroller or simply a collateral attack is that the claim for damages is a bare pleading. Williamsburg Water Utility asserts that it suffered damages but provides no material facts or particulars of what damages were suffered and how they were caused by the wrongdoing of the defendants. Counsel for Williamsburg Water Utility, in response to questioning from the Court, asserted that such a bare pleading of damage is adequate and also pointed to Ms. Schellenberg's evidence that the damages are lost revenue.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bare pleading of damages is not adequate but can be addressed through amendments to include material facts and/or particulars of the alleged damages. If the material facts and particulars demonstrate a claim for damages at law, and if the cause of action is properly pleaded, the claim should not be struck as a collateral attack. I will return to the issue of material facts, particulars and the adequacy of the pleadings related to misfeasance in public office below.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Prohibition against Re-litigation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doctrine of abuse of process prohibits re-litigation of matters in circumstances that "violate principles such as judicial economy, consistency, finality and the integrity of the administration of justice"': </w:t>
      </w:r>
      <w:r>
        <w:rPr>
          <w:rFonts w:ascii="arial" w:eastAsia="arial" w:hAnsi="arial" w:cs="arial"/>
          <w:i/>
          <w:color w:val="000000"/>
          <w:sz w:val="20"/>
          <w:lang w:val="en-US" w:eastAsia="en-US" w:bidi="ar-SA"/>
        </w:rPr>
        <w:t>British Columbia (Workers' Compensation Board) v. Figliola</w:t>
      </w:r>
      <w:r>
        <w:rPr>
          <w:rFonts w:ascii="arial" w:eastAsia="arial" w:hAnsi="arial" w:cs="arial"/>
          <w:color w:val="000000"/>
          <w:sz w:val="20"/>
          <w:lang w:val="en-US" w:eastAsia="en-US" w:bidi="ar-SA"/>
        </w:rPr>
        <w:t xml:space="preserve">, </w:t>
      </w:r>
      <w:hyperlink r:id="rId867" w:history="1">
        <w:r>
          <w:rPr>
            <w:rFonts w:ascii="arial" w:eastAsia="arial" w:hAnsi="arial" w:cs="arial"/>
            <w:i/>
            <w:color w:val="0077CC"/>
            <w:sz w:val="20"/>
            <w:u w:val="single"/>
            <w:shd w:val="clear" w:color="auto" w:fill="FFFFFF"/>
            <w:lang w:val="en-US" w:eastAsia="en-US" w:bidi="ar-SA"/>
          </w:rPr>
          <w:t>2011 SCC 52</w:t>
        </w:r>
      </w:hyperlink>
      <w:r>
        <w:rPr>
          <w:rFonts w:ascii="arial" w:eastAsia="arial" w:hAnsi="arial" w:cs="arial"/>
          <w:color w:val="000000"/>
          <w:sz w:val="20"/>
          <w:lang w:val="en-US" w:eastAsia="en-US" w:bidi="ar-SA"/>
        </w:rPr>
        <w:t xml:space="preserve"> at para. 33; </w:t>
      </w:r>
      <w:r>
        <w:rPr>
          <w:rFonts w:ascii="arial" w:eastAsia="arial" w:hAnsi="arial" w:cs="arial"/>
          <w:i/>
          <w:color w:val="000000"/>
          <w:sz w:val="20"/>
          <w:lang w:val="en-US" w:eastAsia="en-US" w:bidi="ar-SA"/>
        </w:rPr>
        <w:t>Toronto (City) v. C.U.P.E.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Local 79</w:t>
      </w:r>
      <w:r>
        <w:rPr>
          <w:rFonts w:ascii="arial" w:eastAsia="arial" w:hAnsi="arial" w:cs="arial"/>
          <w:color w:val="000000"/>
          <w:sz w:val="20"/>
          <w:lang w:val="en-US" w:eastAsia="en-US" w:bidi="ar-SA"/>
        </w:rPr>
        <w:t xml:space="preserve">, </w:t>
      </w:r>
      <w:hyperlink r:id="rId506" w:history="1">
        <w:r>
          <w:rPr>
            <w:rFonts w:ascii="arial" w:eastAsia="arial" w:hAnsi="arial" w:cs="arial"/>
            <w:i/>
            <w:color w:val="0077CC"/>
            <w:sz w:val="20"/>
            <w:u w:val="single"/>
            <w:shd w:val="clear" w:color="auto" w:fill="FFFFFF"/>
            <w:lang w:val="en-US" w:eastAsia="en-US" w:bidi="ar-SA"/>
          </w:rPr>
          <w:t>2003 SCC 63</w:t>
        </w:r>
      </w:hyperlink>
      <w:r>
        <w:rPr>
          <w:rFonts w:ascii="arial" w:eastAsia="arial" w:hAnsi="arial" w:cs="arial"/>
          <w:color w:val="000000"/>
          <w:sz w:val="20"/>
          <w:lang w:val="en-US" w:eastAsia="en-US" w:bidi="ar-SA"/>
        </w:rPr>
        <w:t xml:space="preserve"> at paras. 37; and </w:t>
      </w:r>
      <w:r>
        <w:rPr>
          <w:rFonts w:ascii="arial" w:eastAsia="arial" w:hAnsi="arial" w:cs="arial"/>
          <w:i/>
          <w:color w:val="000000"/>
          <w:sz w:val="20"/>
          <w:lang w:val="en-US" w:eastAsia="en-US" w:bidi="ar-SA"/>
        </w:rPr>
        <w:t>Quinn v. British Columbia</w:t>
      </w:r>
      <w:r>
        <w:rPr>
          <w:rFonts w:ascii="arial" w:eastAsia="arial" w:hAnsi="arial" w:cs="arial"/>
          <w:color w:val="000000"/>
          <w:sz w:val="20"/>
          <w:lang w:val="en-US" w:eastAsia="en-US" w:bidi="ar-SA"/>
        </w:rPr>
        <w:t xml:space="preserve">, </w:t>
      </w:r>
      <w:hyperlink r:id="rId564" w:history="1">
        <w:r>
          <w:rPr>
            <w:rFonts w:ascii="arial" w:eastAsia="arial" w:hAnsi="arial" w:cs="arial"/>
            <w:i/>
            <w:color w:val="0077CC"/>
            <w:sz w:val="20"/>
            <w:u w:val="single"/>
            <w:shd w:val="clear" w:color="auto" w:fill="FFFFFF"/>
            <w:lang w:val="en-US" w:eastAsia="en-US" w:bidi="ar-SA"/>
          </w:rPr>
          <w:t>2018 BCCA 320</w:t>
        </w:r>
      </w:hyperlink>
      <w:r>
        <w:rPr>
          <w:rFonts w:ascii="arial" w:eastAsia="arial" w:hAnsi="arial" w:cs="arial"/>
          <w:color w:val="000000"/>
          <w:sz w:val="20"/>
          <w:lang w:val="en-US" w:eastAsia="en-US" w:bidi="ar-SA"/>
        </w:rPr>
        <w:t xml:space="preserve"> at para. 81.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primary focus of the abuse of process doctrine is avoiding harm to the integrity of the judicial function of the courts. An action should not be automatically dismissed to avoid re-litigation. It must be balanced against fairness and any other circumstances that serve to establish that the integrity of the judicial function will not be damaged by re-litigation such as:</w:t>
      </w:r>
      <w:r>
        <w:rPr>
          <w:rFonts w:ascii="arial" w:eastAsia="arial" w:hAnsi="arial" w:cs="arial"/>
          <w:sz w:val="20"/>
          <w:lang w:val="en-US" w:eastAsia="en-US" w:bidi="ar-SA"/>
        </w:rPr>
        <w:cr/>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first proceeding is tainted by fraud or dishonesty;</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fresh, new evidence, previously unavailable, conclusively impeaches the original results; or</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fairness dictates that the original result should not be binding in the new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w:t>
      </w:r>
      <w:r>
        <w:rPr>
          <w:rFonts w:ascii="arial" w:eastAsia="arial" w:hAnsi="arial" w:cs="arial"/>
          <w:i/>
          <w:color w:val="000000"/>
          <w:sz w:val="20"/>
          <w:lang w:val="en-US" w:eastAsia="en-US" w:bidi="ar-SA"/>
        </w:rPr>
        <w:t>Toronto (City)</w:t>
      </w:r>
      <w:r>
        <w:rPr>
          <w:rFonts w:ascii="arial" w:eastAsia="arial" w:hAnsi="arial" w:cs="arial"/>
          <w:color w:val="000000"/>
          <w:sz w:val="20"/>
          <w:lang w:val="en-US" w:eastAsia="en-US" w:bidi="ar-SA"/>
        </w:rPr>
        <w:t xml:space="preserve"> at para. 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doctrine of abuse of process applies even when more specific doctrines, such as collateral attack or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do not: </w:t>
      </w:r>
      <w:r>
        <w:rPr>
          <w:rFonts w:ascii="arial" w:eastAsia="arial" w:hAnsi="arial" w:cs="arial"/>
          <w:i/>
          <w:color w:val="000000"/>
          <w:sz w:val="20"/>
          <w:lang w:val="en-US" w:eastAsia="en-US" w:bidi="ar-SA"/>
        </w:rPr>
        <w:t>Chingee v. British Columbia</w:t>
      </w:r>
      <w:r>
        <w:rPr>
          <w:rFonts w:ascii="arial" w:eastAsia="arial" w:hAnsi="arial" w:cs="arial"/>
          <w:color w:val="000000"/>
          <w:sz w:val="20"/>
          <w:lang w:val="en-US" w:eastAsia="en-US" w:bidi="ar-SA"/>
        </w:rPr>
        <w:t xml:space="preserve">, </w:t>
      </w:r>
      <w:hyperlink r:id="rId868" w:history="1">
        <w:r>
          <w:rPr>
            <w:rFonts w:ascii="arial" w:eastAsia="arial" w:hAnsi="arial" w:cs="arial"/>
            <w:i/>
            <w:color w:val="0077CC"/>
            <w:sz w:val="20"/>
            <w:u w:val="single"/>
            <w:shd w:val="clear" w:color="auto" w:fill="FFFFFF"/>
            <w:lang w:val="en-US" w:eastAsia="en-US" w:bidi="ar-SA"/>
          </w:rPr>
          <w:t>2016 BCSC 760</w:t>
        </w:r>
      </w:hyperlink>
      <w:r>
        <w:rPr>
          <w:rFonts w:ascii="arial" w:eastAsia="arial" w:hAnsi="arial" w:cs="arial"/>
          <w:color w:val="000000"/>
          <w:sz w:val="20"/>
          <w:lang w:val="en-US" w:eastAsia="en-US" w:bidi="ar-SA"/>
        </w:rPr>
        <w:t xml:space="preserve"> at paras. 123-24, aff'd on other grounds </w:t>
      </w:r>
      <w:hyperlink r:id="rId869" w:history="1">
        <w:r>
          <w:rPr>
            <w:rFonts w:ascii="arial" w:eastAsia="arial" w:hAnsi="arial" w:cs="arial"/>
            <w:i/>
            <w:color w:val="0077CC"/>
            <w:sz w:val="20"/>
            <w:u w:val="single"/>
            <w:shd w:val="clear" w:color="auto" w:fill="FFFFFF"/>
            <w:lang w:val="en-US" w:eastAsia="en-US" w:bidi="ar-SA"/>
          </w:rPr>
          <w:t>2017 BCCA 250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M.Y. Sundae Inc. v. International Dairy Queen, Inc.</w:t>
      </w:r>
      <w:r>
        <w:rPr>
          <w:rFonts w:ascii="arial" w:eastAsia="arial" w:hAnsi="arial" w:cs="arial"/>
          <w:color w:val="000000"/>
          <w:sz w:val="20"/>
          <w:lang w:val="en-US" w:eastAsia="en-US" w:bidi="ar-SA"/>
        </w:rPr>
        <w:t xml:space="preserve">, </w:t>
      </w:r>
      <w:hyperlink r:id="rId870" w:history="1">
        <w:r>
          <w:rPr>
            <w:rFonts w:ascii="arial" w:eastAsia="arial" w:hAnsi="arial" w:cs="arial"/>
            <w:i/>
            <w:color w:val="0077CC"/>
            <w:sz w:val="20"/>
            <w:u w:val="single"/>
            <w:shd w:val="clear" w:color="auto" w:fill="FFFFFF"/>
            <w:lang w:val="en-US" w:eastAsia="en-US" w:bidi="ar-SA"/>
          </w:rPr>
          <w:t>2018 BCSC 744</w:t>
        </w:r>
      </w:hyperlink>
      <w:r>
        <w:rPr>
          <w:rFonts w:ascii="arial" w:eastAsia="arial" w:hAnsi="arial" w:cs="arial"/>
          <w:color w:val="000000"/>
          <w:sz w:val="20"/>
          <w:lang w:val="en-US" w:eastAsia="en-US" w:bidi="ar-SA"/>
        </w:rPr>
        <w:t xml:space="preserve"> at para. 61, aff'd </w:t>
      </w:r>
      <w:hyperlink r:id="rId871" w:history="1">
        <w:r>
          <w:rPr>
            <w:rFonts w:ascii="arial" w:eastAsia="arial" w:hAnsi="arial" w:cs="arial"/>
            <w:i/>
            <w:color w:val="0077CC"/>
            <w:sz w:val="20"/>
            <w:u w:val="single"/>
            <w:shd w:val="clear" w:color="auto" w:fill="FFFFFF"/>
            <w:lang w:val="en-US" w:eastAsia="en-US" w:bidi="ar-SA"/>
          </w:rPr>
          <w:t>2018 BCCA 427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Chingee</w:t>
      </w:r>
      <w:r>
        <w:rPr>
          <w:rFonts w:ascii="arial" w:eastAsia="arial" w:hAnsi="arial" w:cs="arial"/>
          <w:color w:val="000000"/>
          <w:sz w:val="20"/>
          <w:lang w:val="en-US" w:eastAsia="en-US" w:bidi="ar-SA"/>
        </w:rPr>
        <w:t>, there was a statutory decision involved, but the doctrine of collateral attack did not apply on the facts. However, Mr. Justice Verhoeven concluded that seeking compensatory damages after avoiding a statutory consultation process amounted to an abuse of process in the larger sense (at paras. 123-25).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case at bar has the same factual nexus as the Comptroller's decision and </w:t>
      </w:r>
      <w:r>
        <w:rPr>
          <w:rFonts w:ascii="arial" w:eastAsia="arial" w:hAnsi="arial" w:cs="arial"/>
          <w:i/>
          <w:color w:val="000000"/>
          <w:sz w:val="20"/>
          <w:lang w:val="en-US" w:eastAsia="en-US" w:bidi="ar-SA"/>
        </w:rPr>
        <w:t>Conyd</w:t>
      </w:r>
      <w:r>
        <w:rPr>
          <w:rFonts w:ascii="arial" w:eastAsia="arial" w:hAnsi="arial" w:cs="arial"/>
          <w:color w:val="000000"/>
          <w:sz w:val="20"/>
          <w:lang w:val="en-US" w:eastAsia="en-US" w:bidi="ar-SA"/>
        </w:rPr>
        <w:t xml:space="preserve"> #2. That alone does not determine that the current claim is an abuse of process especially if the plaintiff is not advancing an inconsistent factual or legal position: </w:t>
      </w:r>
      <w:r>
        <w:rPr>
          <w:rFonts w:ascii="arial" w:eastAsia="arial" w:hAnsi="arial" w:cs="arial"/>
          <w:i/>
          <w:color w:val="000000"/>
          <w:sz w:val="20"/>
          <w:lang w:val="en-US" w:eastAsia="en-US" w:bidi="ar-SA"/>
        </w:rPr>
        <w:t>Pan Afric Holdings Ltd. v. Athabasca Holdings Ltd.</w:t>
      </w:r>
      <w:r>
        <w:rPr>
          <w:rFonts w:ascii="arial" w:eastAsia="arial" w:hAnsi="arial" w:cs="arial"/>
          <w:color w:val="000000"/>
          <w:sz w:val="20"/>
          <w:lang w:val="en-US" w:eastAsia="en-US" w:bidi="ar-SA"/>
        </w:rPr>
        <w:t xml:space="preserve">, </w:t>
      </w:r>
      <w:hyperlink r:id="rId872" w:history="1">
        <w:r>
          <w:rPr>
            <w:rFonts w:ascii="arial" w:eastAsia="arial" w:hAnsi="arial" w:cs="arial"/>
            <w:i/>
            <w:color w:val="0077CC"/>
            <w:sz w:val="20"/>
            <w:u w:val="single"/>
            <w:shd w:val="clear" w:color="auto" w:fill="FFFFFF"/>
            <w:lang w:val="en-US" w:eastAsia="en-US" w:bidi="ar-SA"/>
          </w:rPr>
          <w:t>2018 BCCA 113</w:t>
        </w:r>
      </w:hyperlink>
      <w:r>
        <w:rPr>
          <w:rFonts w:ascii="arial" w:eastAsia="arial" w:hAnsi="arial" w:cs="arial"/>
          <w:color w:val="000000"/>
          <w:sz w:val="20"/>
          <w:lang w:val="en-US" w:eastAsia="en-US" w:bidi="ar-SA"/>
        </w:rPr>
        <w:t xml:space="preserve"> at para. 34,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However, if the plaintiff is re-litigating a matter that was already determined by the court such that the plaintiff seeks to have the court reach conclusions that challenge a determination made in previous litigation, it is an abuse of process: </w:t>
      </w:r>
      <w:r>
        <w:rPr>
          <w:rFonts w:ascii="arial" w:eastAsia="arial" w:hAnsi="arial" w:cs="arial"/>
          <w:i/>
          <w:color w:val="000000"/>
          <w:sz w:val="20"/>
          <w:lang w:val="en-US" w:eastAsia="en-US" w:bidi="ar-SA"/>
        </w:rPr>
        <w:t>M.Y. Sundae</w:t>
      </w:r>
      <w:r>
        <w:rPr>
          <w:rFonts w:ascii="arial" w:eastAsia="arial" w:hAnsi="arial" w:cs="arial"/>
          <w:color w:val="000000"/>
          <w:sz w:val="20"/>
          <w:lang w:val="en-US" w:eastAsia="en-US" w:bidi="ar-SA"/>
        </w:rPr>
        <w:t xml:space="preserve"> BCCA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Comptroller argues that this action requires re-litigation of two critical findings made by the Comptroller and by Brown J. in </w:t>
      </w:r>
      <w:r>
        <w:rPr>
          <w:rFonts w:ascii="arial" w:eastAsia="arial" w:hAnsi="arial" w:cs="arial"/>
          <w:i/>
          <w:color w:val="000000"/>
          <w:sz w:val="20"/>
          <w:lang w:val="en-US" w:eastAsia="en-US" w:bidi="ar-SA"/>
        </w:rPr>
        <w:t>Conyd</w:t>
      </w:r>
      <w:r>
        <w:rPr>
          <w:rFonts w:ascii="arial" w:eastAsia="arial" w:hAnsi="arial" w:cs="arial"/>
          <w:color w:val="000000"/>
          <w:sz w:val="20"/>
          <w:lang w:val="en-US" w:eastAsia="en-US" w:bidi="ar-SA"/>
        </w:rPr>
        <w:t xml:space="preserve"> #2:</w:t>
      </w:r>
      <w:r>
        <w:rPr>
          <w:rFonts w:ascii="arial" w:eastAsia="arial" w:hAnsi="arial" w:cs="arial"/>
          <w:sz w:val="20"/>
          <w:lang w:val="en-US" w:eastAsia="en-US" w:bidi="ar-SA"/>
        </w:rPr>
        <w:cr/>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water tariff did not require Mr. Conyd to obtain the consent of Williamsburg Water Utility to drill a well on his property; and</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well that Mr. Conyd drilled on his property did not pose any risk to the Williamsburg Water Utility.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Williamsburg Water Utility argues that if it asserts a claim for damages with a properly constituted cause of action, it is not violating the prohibition against re-litigation and ought to be permitted to "get on with it", relying on </w:t>
      </w:r>
      <w:r>
        <w:rPr>
          <w:rFonts w:ascii="arial" w:eastAsia="arial" w:hAnsi="arial" w:cs="arial"/>
          <w:i/>
          <w:color w:val="000000"/>
          <w:sz w:val="20"/>
          <w:lang w:val="en-US" w:eastAsia="en-US" w:bidi="ar-SA"/>
        </w:rPr>
        <w:t>TeleZone</w:t>
      </w:r>
      <w:r>
        <w:rPr>
          <w:rFonts w:ascii="arial" w:eastAsia="arial" w:hAnsi="arial" w:cs="arial"/>
          <w:color w:val="000000"/>
          <w:sz w:val="20"/>
          <w:lang w:val="en-US" w:eastAsia="en-US" w:bidi="ar-SA"/>
        </w:rPr>
        <w:t xml:space="preserve"> at para. 78. While I accept that argument in relation to collateral attack, it does not apply to this argument of re-litigation. The prohibition against re-litigation cannot be addressed by commencing a lawsuit alleging a different cause of action if that lawsuit will re-litigate findings already made in relation to a matter: </w:t>
      </w:r>
      <w:r>
        <w:rPr>
          <w:rFonts w:ascii="arial" w:eastAsia="arial" w:hAnsi="arial" w:cs="arial"/>
          <w:i/>
          <w:color w:val="000000"/>
          <w:sz w:val="20"/>
          <w:lang w:val="en-US" w:eastAsia="en-US" w:bidi="ar-SA"/>
        </w:rPr>
        <w:t>M.Y. Sundae</w:t>
      </w:r>
      <w:r>
        <w:rPr>
          <w:rFonts w:ascii="arial" w:eastAsia="arial" w:hAnsi="arial" w:cs="arial"/>
          <w:color w:val="000000"/>
          <w:sz w:val="20"/>
          <w:lang w:val="en-US" w:eastAsia="en-US" w:bidi="ar-SA"/>
        </w:rPr>
        <w:t xml:space="preserve"> BCSC at para. 68 and BCCA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Comptroller acknowledges that those findings are about Mr. Conyd but points out that the prohibition against re-litigation is not limited to cases where the parties are identical. For the same reason, Williamsburg Water Utility's argument that </w:t>
      </w:r>
      <w:r>
        <w:rPr>
          <w:rFonts w:ascii="arial" w:eastAsia="arial" w:hAnsi="arial" w:cs="arial"/>
          <w:i/>
          <w:color w:val="000000"/>
          <w:sz w:val="20"/>
          <w:lang w:val="en-US" w:eastAsia="en-US" w:bidi="ar-SA"/>
        </w:rPr>
        <w:t>Conyd</w:t>
      </w:r>
      <w:r>
        <w:rPr>
          <w:rFonts w:ascii="arial" w:eastAsia="arial" w:hAnsi="arial" w:cs="arial"/>
          <w:color w:val="000000"/>
          <w:sz w:val="20"/>
          <w:lang w:val="en-US" w:eastAsia="en-US" w:bidi="ar-SA"/>
        </w:rPr>
        <w:t xml:space="preserve"> #2 does not apply to two of the individual defendants, the Comptroller Glenn Davidson and the Deputy Comptroller Pieter Bekker, does not address the prohibition against re-litigation.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findings in the Comptroller's decision and in </w:t>
      </w:r>
      <w:r>
        <w:rPr>
          <w:rFonts w:ascii="arial" w:eastAsia="arial" w:hAnsi="arial" w:cs="arial"/>
          <w:i/>
          <w:color w:val="000000"/>
          <w:sz w:val="20"/>
          <w:lang w:val="en-US" w:eastAsia="en-US" w:bidi="ar-SA"/>
        </w:rPr>
        <w:t>Conyd</w:t>
      </w:r>
      <w:r>
        <w:rPr>
          <w:rFonts w:ascii="arial" w:eastAsia="arial" w:hAnsi="arial" w:cs="arial"/>
          <w:color w:val="000000"/>
          <w:sz w:val="20"/>
          <w:lang w:val="en-US" w:eastAsia="en-US" w:bidi="ar-SA"/>
        </w:rPr>
        <w:t xml:space="preserve"> #2 were about the circumstances in which Mr. Conyd dug his well and the circumstances of whether his well posed a risk to the water supply. Any lawsuit calling for findings on those issues with regard to his well, and arguably the wells of the other customers who dug their own wells after Williamsburg Water Utility disconnected their homes from its water supply, would violate the prohibition against re-litigation.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However, it is not clear that the claim is about circumstances where Williamsburg Water Utility has cut off the water supply to a homeowner following which that homeowner has dug his or her own well. The Comptroller acknowledges that Ms. Schellenberg has given evidence that this action relates to customers other than those whom Williamsburg Water Utility had disconnected.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During the hearing before me, counsel for Williamsburg Water Utility emphasized that its action is based on the recklessness of the Comptroller. I take that to mean that the focus of the action is about how the reasons of the Comptroller could be read and understood by other homeowners and may cause them to believe that they do not need permission to dig wells and that private wells do not cause concern for contamination generally. The notice of civil claim is not focussed on Mr. Conyd or the other homeowners whose water was shut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Other homeowners and other actions, other than drilling a private well after disconnection from the Williamsburg Water Utility water supply, were not the subject of the Comptroller's findings or the findings of the Brown J. in </w:t>
      </w:r>
      <w:r>
        <w:rPr>
          <w:rFonts w:ascii="arial" w:eastAsia="arial" w:hAnsi="arial" w:cs="arial"/>
          <w:i/>
          <w:color w:val="000000"/>
          <w:sz w:val="20"/>
          <w:lang w:val="en-US" w:eastAsia="en-US" w:bidi="ar-SA"/>
        </w:rPr>
        <w:t>Conyd</w:t>
      </w:r>
      <w:r>
        <w:rPr>
          <w:rFonts w:ascii="arial" w:eastAsia="arial" w:hAnsi="arial" w:cs="arial"/>
          <w:color w:val="000000"/>
          <w:sz w:val="20"/>
          <w:lang w:val="en-US" w:eastAsia="en-US" w:bidi="ar-SA"/>
        </w:rPr>
        <w:t xml:space="preserve"> #2. Accordingly, subject to stating a claim that is valid in law and adequately pleaded, if the claim is that the Comptroller's declarations have or will cause homeowners whose water has not been disconnected by Williamsburg Water Utility to believe they are permitted to dig private wells or connect to a different water source causing contamination or other damage, then the claim does not violate the prohibition against re-litigation.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problem is that the pleadings do not comprehensibly make that sort of claim. The pleadings do not allege material facts of that nature in relation to the claim of misfeasance in public office, for example:</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statement or finding by the Comptroller was reckless;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has happened since then that is attributable to such a statement or finding that has caused damage to Williamsburg Water Utility; and</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damage has been caused?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inadequacy of the pleadings in relation to damages is related to the failure to plead material facts relating to damages and to particularize the damages caused by the alleged misfeasance in public office discussed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conclude that the notice of civil claim does not adequately state a claim that is not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Plaintiff's Pleadings Pertaining to Misfeasance in Public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turn to whether Williamsburg Water Utility's pleadings set out a cause of action for misfeasance in public office. This inquiry is focussed on the form of the pleading and is independent of whether the pleading is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Williamsburg Water Utility seeks to pursue a claim in misfeasance in public office, and in particular, Category B misfeasance in public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Comptroller argues that the claim does not properly plead misfeasance in public office or plead material facts necessary to avoid the Comptroller's statutory immunity from claims unless it acted in bad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law prescribes a generous approach to the review of pleadings, allowing for pleadings as they are presented or could be presented so that all matters in controversy between the parties may be determined at a trial on the merits: </w:t>
      </w:r>
      <w:r>
        <w:rPr>
          <w:rFonts w:ascii="arial" w:eastAsia="arial" w:hAnsi="arial" w:cs="arial"/>
          <w:i/>
          <w:color w:val="000000"/>
          <w:sz w:val="20"/>
          <w:lang w:val="en-US" w:eastAsia="en-US" w:bidi="ar-SA"/>
        </w:rPr>
        <w:t>Morriss v. British Columbia</w:t>
      </w:r>
      <w:r>
        <w:rPr>
          <w:rFonts w:ascii="arial" w:eastAsia="arial" w:hAnsi="arial" w:cs="arial"/>
          <w:color w:val="000000"/>
          <w:sz w:val="20"/>
          <w:lang w:val="en-US" w:eastAsia="en-US" w:bidi="ar-SA"/>
        </w:rPr>
        <w:t xml:space="preserve">, </w:t>
      </w:r>
      <w:hyperlink r:id="rId873" w:history="1">
        <w:r>
          <w:rPr>
            <w:rFonts w:ascii="arial" w:eastAsia="arial" w:hAnsi="arial" w:cs="arial"/>
            <w:i/>
            <w:color w:val="0077CC"/>
            <w:sz w:val="20"/>
            <w:u w:val="single"/>
            <w:shd w:val="clear" w:color="auto" w:fill="FFFFFF"/>
            <w:lang w:val="en-US" w:eastAsia="en-US" w:bidi="ar-SA"/>
          </w:rPr>
          <w:t>2010 BCCA 95</w:t>
        </w:r>
      </w:hyperlink>
      <w:r>
        <w:rPr>
          <w:rFonts w:ascii="arial" w:eastAsia="arial" w:hAnsi="arial" w:cs="arial"/>
          <w:color w:val="000000"/>
          <w:sz w:val="20"/>
          <w:lang w:val="en-US" w:eastAsia="en-US" w:bidi="ar-SA"/>
        </w:rPr>
        <w:t xml:space="preserve"> at para. 17, citing </w:t>
      </w:r>
      <w:r>
        <w:rPr>
          <w:rFonts w:ascii="arial" w:eastAsia="arial" w:hAnsi="arial" w:cs="arial"/>
          <w:i/>
          <w:color w:val="000000"/>
          <w:sz w:val="20"/>
          <w:lang w:val="en-US" w:eastAsia="en-US" w:bidi="ar-SA"/>
        </w:rPr>
        <w:t>Victoria Grey Metro Trust Co. v. Fort Gary Trust Co</w:t>
      </w:r>
      <w:r>
        <w:rPr>
          <w:rFonts w:ascii="arial" w:eastAsia="arial" w:hAnsi="arial" w:cs="arial"/>
          <w:color w:val="000000"/>
          <w:sz w:val="20"/>
          <w:lang w:val="en-US" w:eastAsia="en-US" w:bidi="ar-SA"/>
        </w:rPr>
        <w:t xml:space="preserve">. </w:t>
      </w:r>
      <w:hyperlink r:id="rId874" w:history="1">
        <w:r>
          <w:rPr>
            <w:rFonts w:ascii="arial" w:eastAsia="arial" w:hAnsi="arial" w:cs="arial"/>
            <w:i/>
            <w:color w:val="0077CC"/>
            <w:sz w:val="20"/>
            <w:u w:val="single"/>
            <w:shd w:val="clear" w:color="auto" w:fill="FFFFFF"/>
            <w:lang w:val="en-US" w:eastAsia="en-US" w:bidi="ar-SA"/>
          </w:rPr>
          <w:t>(1982), 30 B.C.L.R. (2d) 45</w:t>
        </w:r>
      </w:hyperlink>
      <w:r>
        <w:rPr>
          <w:rFonts w:ascii="arial" w:eastAsia="arial" w:hAnsi="arial" w:cs="arial"/>
          <w:color w:val="000000"/>
          <w:sz w:val="20"/>
          <w:lang w:val="en-US" w:eastAsia="en-US" w:bidi="ar-SA"/>
        </w:rPr>
        <w:t xml:space="preserve"> at 46-47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On an application to strike pleadings, the court does not hear evidence, rather it considers the pleadings assuming the facts pleaded are true. Novel pleadings are permitted. So long as the material facts have been pleaded, the case should be permitted to proceed: </w:t>
      </w: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at 980.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There are limits to this generous approach. Most notably, amendments to a notice of civil claim, when combined with the original pleading, must disclose a reasonable claim, and must set out the material facts giving rise to the claim: </w:t>
      </w:r>
      <w:r>
        <w:rPr>
          <w:rFonts w:ascii="arial" w:eastAsia="arial" w:hAnsi="arial" w:cs="arial"/>
          <w:i/>
          <w:color w:val="000000"/>
          <w:sz w:val="20"/>
          <w:lang w:val="en-US" w:eastAsia="en-US" w:bidi="ar-SA"/>
        </w:rPr>
        <w:t>Morriss</w:t>
      </w:r>
      <w:r>
        <w:rPr>
          <w:rFonts w:ascii="arial" w:eastAsia="arial" w:hAnsi="arial" w:cs="arial"/>
          <w:color w:val="000000"/>
          <w:sz w:val="20"/>
          <w:lang w:val="en-US" w:eastAsia="en-US" w:bidi="ar-SA"/>
        </w:rPr>
        <w:t xml:space="preserve"> at para. 17; Rule 3-1(2)(a).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Carhoun &amp; Sons Enterprises Ltd. v. Canada (Attorney General)</w:t>
      </w:r>
      <w:r>
        <w:rPr>
          <w:rFonts w:ascii="arial" w:eastAsia="arial" w:hAnsi="arial" w:cs="arial"/>
          <w:color w:val="000000"/>
          <w:sz w:val="20"/>
          <w:lang w:val="en-US" w:eastAsia="en-US" w:bidi="ar-SA"/>
        </w:rPr>
        <w:t xml:space="preserve">, </w:t>
      </w:r>
      <w:hyperlink r:id="rId875" w:history="1">
        <w:r>
          <w:rPr>
            <w:rFonts w:ascii="arial" w:eastAsia="arial" w:hAnsi="arial" w:cs="arial"/>
            <w:i/>
            <w:color w:val="0077CC"/>
            <w:sz w:val="20"/>
            <w:u w:val="single"/>
            <w:shd w:val="clear" w:color="auto" w:fill="FFFFFF"/>
            <w:lang w:val="en-US" w:eastAsia="en-US" w:bidi="ar-SA"/>
          </w:rPr>
          <w:t>2015 BCCA 163</w:t>
        </w:r>
      </w:hyperlink>
      <w:r>
        <w:rPr>
          <w:rFonts w:ascii="arial" w:eastAsia="arial" w:hAnsi="arial" w:cs="arial"/>
          <w:color w:val="000000"/>
          <w:sz w:val="20"/>
          <w:lang w:val="en-US" w:eastAsia="en-US" w:bidi="ar-SA"/>
        </w:rPr>
        <w:t xml:space="preserve"> at para. 130, Madam Justice Garson summarized the elements of Category B misfeasance in public office from </w:t>
      </w:r>
      <w:r>
        <w:rPr>
          <w:rFonts w:ascii="arial" w:eastAsia="arial" w:hAnsi="arial" w:cs="arial"/>
          <w:i/>
          <w:color w:val="000000"/>
          <w:sz w:val="20"/>
          <w:lang w:val="en-US" w:eastAsia="en-US" w:bidi="ar-SA"/>
        </w:rPr>
        <w:t>Odhavji Estate v. Woodhouse</w:t>
      </w:r>
      <w:r>
        <w:rPr>
          <w:rFonts w:ascii="arial" w:eastAsia="arial" w:hAnsi="arial" w:cs="arial"/>
          <w:color w:val="000000"/>
          <w:sz w:val="20"/>
          <w:lang w:val="en-US" w:eastAsia="en-US" w:bidi="ar-SA"/>
        </w:rPr>
        <w:t xml:space="preserve">, </w:t>
      </w:r>
      <w:hyperlink r:id="rId551" w:history="1">
        <w:r>
          <w:rPr>
            <w:rFonts w:ascii="arial" w:eastAsia="arial" w:hAnsi="arial" w:cs="arial"/>
            <w:i/>
            <w:color w:val="0077CC"/>
            <w:sz w:val="20"/>
            <w:u w:val="single"/>
            <w:shd w:val="clear" w:color="auto" w:fill="FFFFFF"/>
            <w:lang w:val="en-US" w:eastAsia="en-US" w:bidi="ar-SA"/>
          </w:rPr>
          <w:t>2003 SCC 69</w:t>
        </w:r>
      </w:hyperlink>
      <w:r>
        <w:rPr>
          <w:rFonts w:ascii="arial" w:eastAsia="arial" w:hAnsi="arial" w:cs="arial"/>
          <w:color w:val="000000"/>
          <w:sz w:val="20"/>
          <w:lang w:val="en-US" w:eastAsia="en-US" w:bidi="ar-SA"/>
        </w:rPr>
        <w:t xml:space="preserve"> at para. 23, as:</w:t>
      </w:r>
      <w:r>
        <w:rPr>
          <w:rFonts w:ascii="arial" w:eastAsia="arial" w:hAnsi="arial" w:cs="arial"/>
          <w:sz w:val="20"/>
          <w:lang w:val="en-US" w:eastAsia="en-US" w:bidi="ar-SA"/>
        </w:rPr>
        <w:cr/>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public officer engaged in deliberate and unlawful conduct in his or her capacity as a public officer.</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public officer was aware both that his or her conduct was unlawful and that it was likely to harm the plaintiff.</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public official's action caused legally recoverable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tort has a relatively narrow ambit and should be directed at redressing "egregious intentional misconduct" on the part of public officials: </w:t>
      </w:r>
      <w:r>
        <w:rPr>
          <w:rFonts w:ascii="arial" w:eastAsia="arial" w:hAnsi="arial" w:cs="arial"/>
          <w:i/>
          <w:color w:val="000000"/>
          <w:sz w:val="20"/>
          <w:lang w:val="en-US" w:eastAsia="en-US" w:bidi="ar-SA"/>
        </w:rPr>
        <w:t>Rain Coast Water Corp. v. British Columbia</w:t>
      </w:r>
      <w:r>
        <w:rPr>
          <w:rFonts w:ascii="arial" w:eastAsia="arial" w:hAnsi="arial" w:cs="arial"/>
          <w:color w:val="000000"/>
          <w:sz w:val="20"/>
          <w:lang w:val="en-US" w:eastAsia="en-US" w:bidi="ar-SA"/>
        </w:rPr>
        <w:t xml:space="preserve">, </w:t>
      </w:r>
      <w:hyperlink r:id="rId876" w:history="1">
        <w:r>
          <w:rPr>
            <w:rFonts w:ascii="arial" w:eastAsia="arial" w:hAnsi="arial" w:cs="arial"/>
            <w:i/>
            <w:color w:val="0077CC"/>
            <w:sz w:val="20"/>
            <w:u w:val="single"/>
            <w:shd w:val="clear" w:color="auto" w:fill="FFFFFF"/>
            <w:lang w:val="en-US" w:eastAsia="en-US" w:bidi="ar-SA"/>
          </w:rPr>
          <w:t>2019 BCCA 201</w:t>
        </w:r>
      </w:hyperlink>
      <w:r>
        <w:rPr>
          <w:rFonts w:ascii="arial" w:eastAsia="arial" w:hAnsi="arial" w:cs="arial"/>
          <w:color w:val="000000"/>
          <w:sz w:val="20"/>
          <w:lang w:val="en-US" w:eastAsia="en-US" w:bidi="ar-SA"/>
        </w:rPr>
        <w:t xml:space="preserve"> at paras. 3, 154. As a result, there needs to be some element of bad faith or dishonesty: </w:t>
      </w:r>
      <w:r>
        <w:rPr>
          <w:rFonts w:ascii="arial" w:eastAsia="arial" w:hAnsi="arial" w:cs="arial"/>
          <w:i/>
          <w:color w:val="000000"/>
          <w:sz w:val="20"/>
          <w:lang w:val="en-US" w:eastAsia="en-US" w:bidi="ar-SA"/>
        </w:rPr>
        <w:t>J.P. v. British Columbia (Children and Family Development)</w:t>
      </w:r>
      <w:r>
        <w:rPr>
          <w:rFonts w:ascii="arial" w:eastAsia="arial" w:hAnsi="arial" w:cs="arial"/>
          <w:color w:val="000000"/>
          <w:sz w:val="20"/>
          <w:lang w:val="en-US" w:eastAsia="en-US" w:bidi="ar-SA"/>
        </w:rPr>
        <w:t xml:space="preserve">, </w:t>
      </w:r>
      <w:hyperlink r:id="rId877" w:history="1">
        <w:r>
          <w:rPr>
            <w:rFonts w:ascii="arial" w:eastAsia="arial" w:hAnsi="arial" w:cs="arial"/>
            <w:i/>
            <w:color w:val="0077CC"/>
            <w:sz w:val="20"/>
            <w:u w:val="single"/>
            <w:shd w:val="clear" w:color="auto" w:fill="FFFFFF"/>
            <w:lang w:val="en-US" w:eastAsia="en-US" w:bidi="ar-SA"/>
          </w:rPr>
          <w:t>2017 BCCA 308</w:t>
        </w:r>
      </w:hyperlink>
      <w:r>
        <w:rPr>
          <w:rFonts w:ascii="arial" w:eastAsia="arial" w:hAnsi="arial" w:cs="arial"/>
          <w:color w:val="000000"/>
          <w:sz w:val="20"/>
          <w:lang w:val="en-US" w:eastAsia="en-US" w:bidi="ar-SA"/>
        </w:rPr>
        <w:t xml:space="preserve"> at para. 329.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mental element of the tort was summarized by Madam Justice D. Smith in </w:t>
      </w:r>
      <w:r>
        <w:rPr>
          <w:rFonts w:ascii="arial" w:eastAsia="arial" w:hAnsi="arial" w:cs="arial"/>
          <w:i/>
          <w:color w:val="000000"/>
          <w:sz w:val="20"/>
          <w:lang w:val="en-US" w:eastAsia="en-US" w:bidi="ar-SA"/>
        </w:rPr>
        <w:t>J.P</w:t>
      </w:r>
      <w:r>
        <w:rPr>
          <w:rFonts w:ascii="arial" w:eastAsia="arial" w:hAnsi="arial" w:cs="arial"/>
          <w:color w:val="000000"/>
          <w:sz w:val="20"/>
          <w:lang w:val="en-US" w:eastAsia="en-US" w:bidi="ar-SA"/>
        </w:rPr>
        <w:t>. at para. 329: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Awareness or knowledge that the unlawful act is likely to harm the plaintiff requires at least a subjective recklessness or wilful blindness, if not actual knowledge, of the likely consequences of the unlawful act: </w:t>
      </w:r>
      <w:r>
        <w:rPr>
          <w:rFonts w:ascii="arial" w:eastAsia="arial" w:hAnsi="arial" w:cs="arial"/>
          <w:i/>
          <w:color w:val="000000"/>
          <w:sz w:val="20"/>
          <w:lang w:val="en-US" w:eastAsia="en-US" w:bidi="ar-SA"/>
        </w:rPr>
        <w:t>Powder Mountain</w:t>
      </w:r>
      <w:r>
        <w:rPr>
          <w:rFonts w:ascii="arial" w:eastAsia="arial" w:hAnsi="arial" w:cs="arial"/>
          <w:color w:val="000000"/>
          <w:sz w:val="20"/>
          <w:lang w:val="en-US" w:eastAsia="en-US" w:bidi="ar-SA"/>
        </w:rPr>
        <w:t xml:space="preserve"> at paras. 7 and </w:t>
      </w:r>
      <w:r>
        <w:rPr>
          <w:rFonts w:ascii="arial" w:eastAsia="arial" w:hAnsi="arial" w:cs="arial"/>
          <w:i/>
          <w:color w:val="000000"/>
          <w:sz w:val="20"/>
          <w:lang w:val="en-US" w:eastAsia="en-US" w:bidi="ar-SA"/>
        </w:rPr>
        <w:t>Odhavji</w:t>
      </w:r>
      <w:r>
        <w:rPr>
          <w:rFonts w:ascii="arial" w:eastAsia="arial" w:hAnsi="arial" w:cs="arial"/>
          <w:color w:val="000000"/>
          <w:sz w:val="20"/>
          <w:lang w:val="en-US" w:eastAsia="en-US" w:bidi="ar-SA"/>
        </w:rPr>
        <w:t xml:space="preserve"> at paras. 25 and 38. Subjective recklessness or wilful blindness requires a higher standard of proof than objective foreseeability of harm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mental element of the tort thus constrains its ambit from including inadvertent or negligent conduct by a public officer in the discharge of his or her official obligations: </w:t>
      </w:r>
      <w:r>
        <w:rPr>
          <w:rFonts w:ascii="arial" w:eastAsia="arial" w:hAnsi="arial" w:cs="arial"/>
          <w:i/>
          <w:color w:val="000000"/>
          <w:sz w:val="20"/>
          <w:lang w:val="en-US" w:eastAsia="en-US" w:bidi="ar-SA"/>
        </w:rPr>
        <w:t>Odhavji</w:t>
      </w:r>
      <w:r>
        <w:rPr>
          <w:rFonts w:ascii="arial" w:eastAsia="arial" w:hAnsi="arial" w:cs="arial"/>
          <w:color w:val="000000"/>
          <w:sz w:val="20"/>
          <w:lang w:val="en-US" w:eastAsia="en-US" w:bidi="ar-SA"/>
        </w:rPr>
        <w:t xml:space="preserve"> at para.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required nexus between the public official and the plaintiff adds to the consideration of the subjective awareness of the public official. In </w:t>
      </w:r>
      <w:r>
        <w:rPr>
          <w:rFonts w:ascii="arial" w:eastAsia="arial" w:hAnsi="arial" w:cs="arial"/>
          <w:i/>
          <w:color w:val="000000"/>
          <w:sz w:val="20"/>
          <w:lang w:val="en-US" w:eastAsia="en-US" w:bidi="ar-SA"/>
        </w:rPr>
        <w:t>Odhavji</w:t>
      </w:r>
      <w:r>
        <w:rPr>
          <w:rFonts w:ascii="arial" w:eastAsia="arial" w:hAnsi="arial" w:cs="arial"/>
          <w:color w:val="000000"/>
          <w:sz w:val="20"/>
          <w:lang w:val="en-US" w:eastAsia="en-US" w:bidi="ar-SA"/>
        </w:rPr>
        <w:t xml:space="preserve"> at para. 29, Justice Iacobucci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requirement that the defendant must have been aware that his or her unlawful conduct would harm the plaintiff further restricts the ambit of the tort. Liability does not attach to each officer who blatantly disregards his or her official duty, but only to a public officer who, in addition, demonstrates a conscious disregard for the interests of those who will be affected by the misconduct in question. This requirement establishes the required nexus between the parties. Unlawful conduct in the exercise of public functions is a public wrong, but absent some awareness of harm there is no basis on which to conclude that the defendant has breached an obligation that she or he owes to the plaintiff, </w:t>
      </w:r>
      <w:r>
        <w:rPr>
          <w:rFonts w:ascii="arial" w:eastAsia="arial" w:hAnsi="arial" w:cs="arial"/>
          <w:color w:val="000000"/>
          <w:sz w:val="20"/>
          <w:u w:val="single"/>
          <w:lang w:val="en-US" w:eastAsia="en-US" w:bidi="ar-SA"/>
        </w:rPr>
        <w:t>as an individual</w:t>
      </w:r>
      <w:r>
        <w:rPr>
          <w:rFonts w:ascii="arial" w:eastAsia="arial" w:hAnsi="arial" w:cs="arial"/>
          <w:color w:val="000000"/>
          <w:sz w:val="20"/>
          <w:lang w:val="en-US" w:eastAsia="en-US" w:bidi="ar-SA"/>
        </w:rPr>
        <w:t>. And absent the breach of an obligation that the defendant owes to the plaintiff, there can be no liability in tort.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Comptroller also asserts that all of the defendants are covered by statutory immunity that precludes claims in damages brought against them for anything done in good faith. Accordingly, the plaintiff must plead bad faith: </w:t>
      </w:r>
      <w:r>
        <w:rPr>
          <w:rFonts w:ascii="arial" w:eastAsia="arial" w:hAnsi="arial" w:cs="arial"/>
          <w:i/>
          <w:color w:val="000000"/>
          <w:sz w:val="20"/>
          <w:lang w:val="en-US" w:eastAsia="en-US" w:bidi="ar-SA"/>
        </w:rPr>
        <w:t>Water Sustainability Act</w:t>
      </w:r>
      <w:r>
        <w:rPr>
          <w:rFonts w:ascii="arial" w:eastAsia="arial" w:hAnsi="arial" w:cs="arial"/>
          <w:color w:val="000000"/>
          <w:sz w:val="20"/>
          <w:lang w:val="en-US" w:eastAsia="en-US" w:bidi="ar-SA"/>
        </w:rPr>
        <w:t xml:space="preserve">, s.119; </w:t>
      </w:r>
      <w:r>
        <w:rPr>
          <w:rFonts w:ascii="arial" w:eastAsia="arial" w:hAnsi="arial" w:cs="arial"/>
          <w:i/>
          <w:color w:val="000000"/>
          <w:sz w:val="20"/>
          <w:lang w:val="en-US" w:eastAsia="en-US" w:bidi="ar-SA"/>
        </w:rPr>
        <w:t>Administrative Tribunals Act</w:t>
      </w:r>
      <w:r>
        <w:rPr>
          <w:rFonts w:ascii="arial" w:eastAsia="arial" w:hAnsi="arial" w:cs="arial"/>
          <w:color w:val="000000"/>
          <w:sz w:val="20"/>
          <w:lang w:val="en-US" w:eastAsia="en-US" w:bidi="ar-SA"/>
        </w:rPr>
        <w:t xml:space="preserve">, s.56, </w:t>
      </w:r>
      <w:r>
        <w:rPr>
          <w:rFonts w:ascii="arial" w:eastAsia="arial" w:hAnsi="arial" w:cs="arial"/>
          <w:i/>
          <w:color w:val="000000"/>
          <w:sz w:val="20"/>
          <w:lang w:val="en-US" w:eastAsia="en-US" w:bidi="ar-SA"/>
        </w:rPr>
        <w:t>S.B.C. 2004, c. 45</w:t>
      </w:r>
      <w:r>
        <w:rPr>
          <w:rFonts w:ascii="arial" w:eastAsia="arial" w:hAnsi="arial" w:cs="arial"/>
          <w:color w:val="000000"/>
          <w:sz w:val="20"/>
          <w:lang w:val="en-US" w:eastAsia="en-US" w:bidi="ar-SA"/>
        </w:rPr>
        <w:t xml:space="preserve"> (which operates by application of: </w:t>
      </w:r>
      <w:r>
        <w:rPr>
          <w:rFonts w:ascii="arial" w:eastAsia="arial" w:hAnsi="arial" w:cs="arial"/>
          <w:i/>
          <w:color w:val="000000"/>
          <w:sz w:val="20"/>
          <w:lang w:val="en-US" w:eastAsia="en-US" w:bidi="ar-SA"/>
        </w:rPr>
        <w:t>Utilities Commission Act</w:t>
      </w:r>
      <w:r>
        <w:rPr>
          <w:rFonts w:ascii="arial" w:eastAsia="arial" w:hAnsi="arial" w:cs="arial"/>
          <w:color w:val="000000"/>
          <w:sz w:val="20"/>
          <w:lang w:val="en-US" w:eastAsia="en-US" w:bidi="ar-SA"/>
        </w:rPr>
        <w:t xml:space="preserve">, s. 2.1(j); and </w:t>
      </w:r>
      <w:r>
        <w:rPr>
          <w:rFonts w:ascii="arial" w:eastAsia="arial" w:hAnsi="arial" w:cs="arial"/>
          <w:i/>
          <w:color w:val="000000"/>
          <w:sz w:val="20"/>
          <w:lang w:val="en-US" w:eastAsia="en-US" w:bidi="ar-SA"/>
        </w:rPr>
        <w:t>Water Utility Act</w:t>
      </w:r>
      <w:r>
        <w:rPr>
          <w:rFonts w:ascii="arial" w:eastAsia="arial" w:hAnsi="arial" w:cs="arial"/>
          <w:color w:val="000000"/>
          <w:sz w:val="20"/>
          <w:lang w:val="en-US" w:eastAsia="en-US" w:bidi="ar-SA"/>
        </w:rPr>
        <w:t>, s.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Williamsburg Water Utility's pleadings pertaining to misfeasance in public office are as follows:</w:t>
      </w:r>
      <w:r>
        <w:rPr>
          <w:rFonts w:ascii="arial" w:eastAsia="arial" w:hAnsi="arial" w:cs="arial"/>
          <w:sz w:val="20"/>
          <w:lang w:val="en-US" w:eastAsia="en-US" w:bidi="ar-SA"/>
        </w:rPr>
        <w:cr/>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10 of the Tariff states that it is forbidden, without prior authorization of the Plaintiff, for homeowners to make any alterations, or otherwise tamper with the Plaintiffs waterworks:</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"No person who is not an agent or employee of the Utility, shall make any connections with or alterations to or tamper with</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any of the Utility's waterworks, including any water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meter belonging to the Utility, nor turn</w:t>
      </w:r>
      <w:r>
        <w:rPr>
          <w:rFonts w:ascii="arial" w:eastAsia="arial" w:hAnsi="arial" w:cs="arial"/>
          <w:color w:val="000000"/>
          <w:sz w:val="20"/>
          <w:lang w:val="en-US" w:eastAsia="en-US" w:bidi="ar-SA"/>
        </w:rPr>
        <w:t xml:space="preserve"> on or </w:t>
      </w:r>
      <w:r>
        <w:rPr>
          <w:rFonts w:ascii="arial" w:eastAsia="arial" w:hAnsi="arial" w:cs="arial"/>
          <w:i/>
          <w:color w:val="000000"/>
          <w:sz w:val="20"/>
          <w:lang w:val="en-US" w:eastAsia="en-US" w:bidi="ar-SA"/>
        </w:rPr>
        <w:t>off any</w:t>
      </w:r>
      <w:r>
        <w:rPr>
          <w:rFonts w:ascii="arial" w:eastAsia="arial" w:hAnsi="arial" w:cs="arial"/>
          <w:color w:val="000000"/>
          <w:sz w:val="20"/>
          <w:lang w:val="en-US" w:eastAsia="en-US" w:bidi="ar-SA"/>
        </w:rPr>
        <w:t xml:space="preserve"> valve or curb stop of the Utility, </w:t>
      </w:r>
      <w:r>
        <w:rPr>
          <w:rFonts w:ascii="arial" w:eastAsia="arial" w:hAnsi="arial" w:cs="arial"/>
          <w:i/>
          <w:color w:val="000000"/>
          <w:sz w:val="20"/>
          <w:lang w:val="en-US" w:eastAsia="en-US" w:bidi="ar-SA"/>
        </w:rPr>
        <w:t>without prior authorization by the Utility in writing</w:t>
      </w:r>
      <w:r>
        <w:rPr>
          <w:rFonts w:ascii="arial" w:eastAsia="arial" w:hAnsi="arial" w:cs="arial"/>
          <w:color w:val="000000"/>
          <w:sz w:val="20"/>
          <w:lang w:val="en-US" w:eastAsia="en-US" w:bidi="ar-SA"/>
        </w:rPr>
        <w:t>."</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16 of the Tariff states that it is forbidden, without the specific written consent of the Plaintiff, for homeowners to connect with a water source other than the Plaintiff:</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The customer shall not permit the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plumbing on their premises to he connected to source of water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supply other than the Utility's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or to any potential source of contamination, without first obtaining the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Utility's permission in</w:t>
      </w:r>
      <w:r>
        <w:rPr>
          <w:rFonts w:ascii="arial" w:eastAsia="arial" w:hAnsi="arial" w:cs="arial"/>
          <w:color w:val="000000"/>
          <w:sz w:val="20"/>
          <w:lang w:val="en-US" w:eastAsia="en-US" w:bidi="ar-SA"/>
        </w:rPr>
        <w:t xml:space="preserve"> writing. </w:t>
      </w:r>
      <w:r>
        <w:rPr>
          <w:rFonts w:ascii="arial" w:eastAsia="arial" w:hAnsi="arial" w:cs="arial"/>
          <w:i/>
          <w:color w:val="000000"/>
          <w:sz w:val="20"/>
          <w:lang w:val="en-US" w:eastAsia="en-US" w:bidi="ar-SA"/>
        </w:rPr>
        <w:t>Any back-flow preventers deemed necessary by the Utility to prevent the ently of contaminants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shall be installed at the customer's expense</w:t>
      </w:r>
      <w:r>
        <w:rPr>
          <w:rFonts w:ascii="arial" w:eastAsia="arial" w:hAnsi="arial" w:cs="arial"/>
          <w:color w:val="000000"/>
          <w:sz w:val="20"/>
          <w:lang w:val="en-US" w:eastAsia="en-US" w:bidi="ar-SA"/>
        </w:rPr>
        <w:t>."</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says that the defendants Couroux, Bekker and Davidson were reckless indifferent in ruling on or about July 22, 2015, by advising renters of the Williamsburg, that who drilled their own wells had not in so doing breached the Water Tariff and that Williamsburg had no authority to issue fines for the alleged violation and in acknowledging that rent charged by Williamsburg, was unreasonable</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defendants Couroux, Bekker and Davidson failed in their statutory authority and in breach of Section 73 of the </w:t>
      </w:r>
      <w:r>
        <w:rPr>
          <w:rFonts w:ascii="arial" w:eastAsia="arial" w:hAnsi="arial" w:cs="arial"/>
          <w:i/>
          <w:color w:val="000000"/>
          <w:sz w:val="20"/>
          <w:lang w:val="en-US" w:eastAsia="en-US" w:bidi="ar-SA"/>
        </w:rPr>
        <w:t>Water Utility Act</w:t>
      </w:r>
      <w:r>
        <w:rPr>
          <w:rFonts w:ascii="arial" w:eastAsia="arial" w:hAnsi="arial" w:cs="arial"/>
          <w:color w:val="000000"/>
          <w:sz w:val="20"/>
          <w:lang w:val="en-US" w:eastAsia="en-US" w:bidi="ar-SA"/>
        </w:rPr>
        <w:t xml:space="preserve"> to inform renters to cease drilling their own wells on their properties, which was within the defendants Couroux, Bekker and Davidson jurisdiction, as it was reasonably foreseeable that the drilling of wells by the renters would contaminate and cause damage to Williamsburg.</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defendants Couroux, Bekker and Davidson reckless indifference and failure to discharge a statutory duty, the Plaintiff suffered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numbering of the paragraphs in the notice of civil claim jumps from paragraph 11 to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 generous reading of the pleadings does not allow a reader to find an allegation of deliberate and unlawful conduct or knowledge that the conduct was unlawful and was likely to harm the plaintiff. As discussed above, the pleading relating to damages is inadequate. There is no claim of bad faith, absent which the defendants' statutory immunity precludes a claim in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Should the Plaintiff be Permitted to Amend its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In summary, the notice of civil claim is inadequate because there are no material facts or particulars pertaining to damages; the pleadings do not set out a comprehensible claim that is not an attempt to re-litigate the Comptroller's decision and </w:t>
      </w:r>
      <w:r>
        <w:rPr>
          <w:rFonts w:ascii="arial" w:eastAsia="arial" w:hAnsi="arial" w:cs="arial"/>
          <w:i/>
          <w:color w:val="000000"/>
          <w:sz w:val="20"/>
          <w:lang w:val="en-US" w:eastAsia="en-US" w:bidi="ar-SA"/>
        </w:rPr>
        <w:t>Conyd</w:t>
      </w:r>
      <w:r>
        <w:rPr>
          <w:rFonts w:ascii="arial" w:eastAsia="arial" w:hAnsi="arial" w:cs="arial"/>
          <w:color w:val="000000"/>
          <w:sz w:val="20"/>
          <w:lang w:val="en-US" w:eastAsia="en-US" w:bidi="ar-SA"/>
        </w:rPr>
        <w:t xml:space="preserve"> #2; misfeasance in public office is not adequately pleaded; and the assertions made in the pleadings do not avoid the Comptroller's statutory immunity.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A court will consider whether a defective pleading can be corrected by amendment when considering an application to strike: </w:t>
      </w:r>
      <w:r>
        <w:rPr>
          <w:rFonts w:ascii="arial" w:eastAsia="arial" w:hAnsi="arial" w:cs="arial"/>
          <w:i/>
          <w:color w:val="000000"/>
          <w:sz w:val="20"/>
          <w:lang w:val="en-US" w:eastAsia="en-US" w:bidi="ar-SA"/>
        </w:rPr>
        <w:t>Willow v. Chong</w:t>
      </w:r>
      <w:r>
        <w:rPr>
          <w:rFonts w:ascii="arial" w:eastAsia="arial" w:hAnsi="arial" w:cs="arial"/>
          <w:color w:val="000000"/>
          <w:sz w:val="20"/>
          <w:lang w:val="en-US" w:eastAsia="en-US" w:bidi="ar-SA"/>
        </w:rPr>
        <w:t xml:space="preserve">, </w:t>
      </w:r>
      <w:hyperlink r:id="rId555" w:history="1">
        <w:r>
          <w:rPr>
            <w:rFonts w:ascii="arial" w:eastAsia="arial" w:hAnsi="arial" w:cs="arial"/>
            <w:i/>
            <w:color w:val="0077CC"/>
            <w:sz w:val="20"/>
            <w:u w:val="single"/>
            <w:shd w:val="clear" w:color="auto" w:fill="FFFFFF"/>
            <w:lang w:val="en-US" w:eastAsia="en-US" w:bidi="ar-SA"/>
          </w:rPr>
          <w:t>2013 BCSC 1083</w:t>
        </w:r>
      </w:hyperlink>
      <w:r>
        <w:rPr>
          <w:rFonts w:ascii="arial" w:eastAsia="arial" w:hAnsi="arial" w:cs="arial"/>
          <w:color w:val="000000"/>
          <w:sz w:val="20"/>
          <w:lang w:val="en-US" w:eastAsia="en-US" w:bidi="ar-SA"/>
        </w:rPr>
        <w:t xml:space="preserve"> at para. 23; </w:t>
      </w:r>
      <w:r>
        <w:rPr>
          <w:rFonts w:ascii="arial" w:eastAsia="arial" w:hAnsi="arial" w:cs="arial"/>
          <w:i/>
          <w:color w:val="000000"/>
          <w:sz w:val="20"/>
          <w:lang w:val="en-US" w:eastAsia="en-US" w:bidi="ar-SA"/>
        </w:rPr>
        <w:t>International Taoist Church of Canada v. Ching Chung Taoist Association of Hong Kong Limited</w:t>
      </w:r>
      <w:r>
        <w:rPr>
          <w:rFonts w:ascii="arial" w:eastAsia="arial" w:hAnsi="arial" w:cs="arial"/>
          <w:color w:val="000000"/>
          <w:sz w:val="20"/>
          <w:lang w:val="en-US" w:eastAsia="en-US" w:bidi="ar-SA"/>
        </w:rPr>
        <w:t xml:space="preserve">, </w:t>
      </w:r>
      <w:hyperlink r:id="rId86" w:history="1">
        <w:r>
          <w:rPr>
            <w:rFonts w:ascii="arial" w:eastAsia="arial" w:hAnsi="arial" w:cs="arial"/>
            <w:i/>
            <w:color w:val="0077CC"/>
            <w:sz w:val="20"/>
            <w:u w:val="single"/>
            <w:shd w:val="clear" w:color="auto" w:fill="FFFFFF"/>
            <w:lang w:val="en-US" w:eastAsia="en-US" w:bidi="ar-SA"/>
          </w:rPr>
          <w:t>2011 BCCA 149</w:t>
        </w:r>
      </w:hyperlink>
      <w:r>
        <w:rPr>
          <w:rFonts w:ascii="arial" w:eastAsia="arial" w:hAnsi="arial" w:cs="arial"/>
          <w:color w:val="000000"/>
          <w:sz w:val="20"/>
          <w:lang w:val="en-US" w:eastAsia="en-US" w:bidi="ar-SA"/>
        </w:rPr>
        <w:t xml:space="preserve"> at paras. 27-28. Even poorly drafted and inadequate pleadings can be cured by amendments or particulars: </w:t>
      </w:r>
      <w:r>
        <w:rPr>
          <w:rFonts w:ascii="arial" w:eastAsia="arial" w:hAnsi="arial" w:cs="arial"/>
          <w:i/>
          <w:color w:val="000000"/>
          <w:sz w:val="20"/>
          <w:lang w:val="en-US" w:eastAsia="en-US" w:bidi="ar-SA"/>
        </w:rPr>
        <w:t>Munro v. St. Paul's Hospital</w:t>
      </w:r>
      <w:r>
        <w:rPr>
          <w:rFonts w:ascii="arial" w:eastAsia="arial" w:hAnsi="arial" w:cs="arial"/>
          <w:color w:val="000000"/>
          <w:sz w:val="20"/>
          <w:lang w:val="en-US" w:eastAsia="en-US" w:bidi="ar-SA"/>
        </w:rPr>
        <w:t xml:space="preserve">, </w:t>
      </w:r>
      <w:hyperlink r:id="rId878" w:history="1">
        <w:r>
          <w:rPr>
            <w:rFonts w:ascii="arial" w:eastAsia="arial" w:hAnsi="arial" w:cs="arial"/>
            <w:i/>
            <w:color w:val="0077CC"/>
            <w:sz w:val="20"/>
            <w:u w:val="single"/>
            <w:shd w:val="clear" w:color="auto" w:fill="FFFFFF"/>
            <w:lang w:val="en-US" w:eastAsia="en-US" w:bidi="ar-SA"/>
          </w:rPr>
          <w:t>2009 BCCA 340</w:t>
        </w:r>
      </w:hyperlink>
      <w:r>
        <w:rPr>
          <w:rFonts w:ascii="arial" w:eastAsia="arial" w:hAnsi="arial" w:cs="arial"/>
          <w:color w:val="000000"/>
          <w:sz w:val="20"/>
          <w:lang w:val="en-US" w:eastAsia="en-US" w:bidi="ar-SA"/>
        </w:rPr>
        <w:t xml:space="preserve"> at para. 5. In </w:t>
      </w:r>
      <w:r>
        <w:rPr>
          <w:rFonts w:ascii="arial" w:eastAsia="arial" w:hAnsi="arial" w:cs="arial"/>
          <w:i/>
          <w:color w:val="000000"/>
          <w:sz w:val="20"/>
          <w:lang w:val="en-US" w:eastAsia="en-US" w:bidi="ar-SA"/>
        </w:rPr>
        <w:t>Beach Estate v. Beach</w:t>
      </w:r>
      <w:r>
        <w:rPr>
          <w:rFonts w:ascii="arial" w:eastAsia="arial" w:hAnsi="arial" w:cs="arial"/>
          <w:color w:val="000000"/>
          <w:sz w:val="20"/>
          <w:lang w:val="en-US" w:eastAsia="en-US" w:bidi="ar-SA"/>
        </w:rPr>
        <w:t xml:space="preserve">, </w:t>
      </w:r>
      <w:hyperlink r:id="rId84" w:history="1">
        <w:r>
          <w:rPr>
            <w:rFonts w:ascii="arial" w:eastAsia="arial" w:hAnsi="arial" w:cs="arial"/>
            <w:i/>
            <w:color w:val="0077CC"/>
            <w:sz w:val="20"/>
            <w:u w:val="single"/>
            <w:shd w:val="clear" w:color="auto" w:fill="FFFFFF"/>
            <w:lang w:val="en-US" w:eastAsia="en-US" w:bidi="ar-SA"/>
          </w:rPr>
          <w:t>2019 BCCA 277</w:t>
        </w:r>
      </w:hyperlink>
      <w:r>
        <w:rPr>
          <w:rFonts w:ascii="arial" w:eastAsia="arial" w:hAnsi="arial" w:cs="arial"/>
          <w:color w:val="000000"/>
          <w:sz w:val="20"/>
          <w:lang w:val="en-US" w:eastAsia="en-US" w:bidi="ar-SA"/>
        </w:rPr>
        <w:t xml:space="preserve"> at para. 68, the Court of Appeal discussed, with approval, the practice in this Court to strike defective pleadings but also to permit the litigant to seek appropriate amendments.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Comptroller argues that the Court should not grant an opportunity to amend because despite the flaws in the pleadings and despite that this notice of application was delivered many months ago, Williamsburg Water Utility has not sought to amend its pleadings. The Comptroller argues that the Court should conclude that it has not done so because it cannot frame a claim that is available at law. The Comptroller also rightly pointed out that the allegations are serious especially since they allege wrongdoing by public officials in the execution of their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answer to questions posed by the Court, counsel for Williamsburg Water Utility maintained that the pleadings are adequate as they are, and he does not intend to amend them except to provide particulars if necessary after examinations for discovery. However, counsel allowed that he might reconsider that position depending on the outcome of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Williamsburg Water Utility's firm conviction in the adequacy of its present pleadings gives rise to the doubt that the material facts can be pleaded to support a claim in misfeasance of public office that has caused damage and is not an attempt to re-litigate the </w:t>
      </w:r>
      <w:r>
        <w:rPr>
          <w:rFonts w:ascii="arial" w:eastAsia="arial" w:hAnsi="arial" w:cs="arial"/>
          <w:i/>
          <w:color w:val="000000"/>
          <w:sz w:val="20"/>
          <w:lang w:val="en-US" w:eastAsia="en-US" w:bidi="ar-SA"/>
        </w:rPr>
        <w:t>Conyd</w:t>
      </w:r>
      <w:r>
        <w:rPr>
          <w:rFonts w:ascii="arial" w:eastAsia="arial" w:hAnsi="arial" w:cs="arial"/>
          <w:color w:val="000000"/>
          <w:sz w:val="20"/>
          <w:lang w:val="en-US" w:eastAsia="en-US" w:bidi="ar-SA"/>
        </w:rPr>
        <w:t xml:space="preserve"> decisions. Notwithstanding, I conclude that it should not be driven from the judgment seat without an opportunity to amend.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claim is dismissed unless Williamsburg Water Utility amends it to address the shortfalls identified in these reasons. The opportunity to amend the claim will be the subject of a short time limit, so that Williamsburg Water Utility is required to expeditiously demonstrate that it can adequately plead a viable claim, failing which the claim will come to an 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do not know whether Williamsburg Water Utility is in a position to amend without leave in accordance with Rule 6-1(1)(a). For clarity, the order I am making is not granting leave to amend under Rule 6-1(1)(b). If it needs leave under R. 6-1(1)(b), it must seek it. If leave is not required, Williamsburg Water Utility must deliver its amended claim within 21 days of these reasons. If leave is required, Williamsburg Water Utility must serve its application to amend and any materials on which it relies within 21 days of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Comptroller may take any steps they consider appropriate on receipt of amendments or in response to an application to amend.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Comptroller seeks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Williamsburg Water Utility consented to the dismissal of two of the three claims but not until the Comptroller brought this application and delivered its written submissions, despite a comprehensive notice of application. Williamsburg Water Utility's intransigence as to the adequacy of its pleadings is such that the application had to be brought and argued. The Comptroller has been substantially successful since the claims are dismissed subject to the right to amend or to apply to amend.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Despite that I have allowed the opportunity to amend, I award costs of this application to the Comptroller.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In its present form, Williamsburg Water Utility's notice of civil claim fails to disclose a cause of action in misfeasance in public office with adequately particularized damages and that is not an attempt to re-litigate determinations made by the Comptroller and in </w:t>
      </w:r>
      <w:r>
        <w:rPr>
          <w:rFonts w:ascii="arial" w:eastAsia="arial" w:hAnsi="arial" w:cs="arial"/>
          <w:i/>
          <w:color w:val="000000"/>
          <w:sz w:val="20"/>
          <w:lang w:val="en-US" w:eastAsia="en-US" w:bidi="ar-SA"/>
        </w:rPr>
        <w:t>Conyd #2</w:t>
      </w:r>
      <w:r>
        <w:rPr>
          <w:rFonts w:ascii="arial" w:eastAsia="arial" w:hAnsi="arial" w:cs="arial"/>
          <w:color w:val="000000"/>
          <w:sz w:val="20"/>
          <w:lang w:val="en-US" w:eastAsia="en-US" w:bidi="ar-SA"/>
        </w:rPr>
        <w:t>. Subject to Williamsburg Water Utility delivering an amended notice of civil claim addressing the shortfalls discussed in these reasons within 21 days, or, if it requires leave to amend, delivering its application and any supporting materials to the defendants within 21 days of these reasons, its claim is dismissed pursuant to Rule 9-5 (1)(a) for failing to disclose a cause of action and Rule 9-5 (1)(d) as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Williamsburg Water Utility's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 are dismissed by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 MATTHEWS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8" style="position:absolute;z-index:25180364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79"/>
          <w:headerReference w:type="default" r:id="rId880"/>
          <w:footerReference w:type="even" r:id="rId881"/>
          <w:footerReference w:type="default" r:id="rId882"/>
          <w:headerReference w:type="first" r:id="rId883"/>
          <w:footerReference w:type="first" r:id="rId88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85" w:history="1">
        <w:r>
          <w:rPr>
            <w:rFonts w:ascii="arial" w:eastAsia="arial" w:hAnsi="arial" w:cs="arial"/>
            <w:b/>
            <w:bCs/>
            <w:i/>
            <w:color w:val="0077CC"/>
            <w:kern w:val="32"/>
            <w:sz w:val="28"/>
            <w:szCs w:val="32"/>
            <w:u w:val="single"/>
            <w:shd w:val="clear" w:color="auto" w:fill="FFFFFF"/>
            <w:lang w:val="en-US" w:eastAsia="en-US" w:bidi="ar-SA"/>
          </w:rPr>
          <w:t>Fontaine v. Canada (Attorney General), [2020] B.C.J. No. 26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 Brown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4,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9, 2020.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L051875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[2020] B.C.J. No. 26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2020 BCSC 21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Larry Philip Fontaine et al, Plaintiffs, and The Attorney General of Canada et al, Defendants Brought under the Class Proceedings Act, R.S.B.C. 1996, c. 50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(70 paras.)</w:t>
      </w:r>
    </w:p>
    <w:p>
      <w:pPr>
        <w:jc w:val="both"/>
        <w:rPr>
          <w:rFonts w:ascii="arial" w:eastAsia="arial" w:hAnsi="arial" w:cs="arial"/>
          <w:sz w:val="20"/>
          <w:lang w:val="en-US" w:eastAsia="en-US" w:bidi="ar-SA"/>
        </w:rPr>
      </w:pPr>
      <w:bookmarkStart w:id="141" w:name="Counsel_42"/>
      <w:bookmarkEnd w:id="14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9" style="position:absolute;z-index:2517032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IAP Claimant G-K-11553: B. Omoruyi.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Attorney General of Canada: C.A. Coughlan.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Court: B. Gover.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2" w:name="Judgment_42"/>
      <w:bookmarkEnd w:id="142"/>
      <w:r>
        <w:pict>
          <v:line id="_x0000_s1170" style="position:absolute;z-index:251754496"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correction was released by the Court January 14, 2020; the changes have been made to the text and the corrigenda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3" w:name="B. BROWN J._0"/>
            <w:bookmarkEnd w:id="143"/>
            <w:r>
              <w:rPr>
                <w:rFonts w:ascii="arial" w:eastAsia="arial" w:hAnsi="arial" w:cs="arial"/>
                <w:b/>
                <w:color w:val="000000"/>
                <w:sz w:val="30"/>
                <w:lang w:val="en-US" w:eastAsia="en-US" w:bidi="ar-SA"/>
              </w:rPr>
              <w:t>B. BROWN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Indian Residential Schools Settlement Agreement ("</w:t>
      </w:r>
      <w:r>
        <w:rPr>
          <w:rFonts w:ascii="arial" w:eastAsia="arial" w:hAnsi="arial" w:cs="arial"/>
          <w:b/>
          <w:color w:val="000000"/>
          <w:sz w:val="20"/>
          <w:lang w:val="en-US" w:eastAsia="en-US" w:bidi="ar-SA"/>
        </w:rPr>
        <w:t>IRSSA</w:t>
      </w:r>
      <w:r>
        <w:rPr>
          <w:rFonts w:ascii="arial" w:eastAsia="arial" w:hAnsi="arial" w:cs="arial"/>
          <w:color w:val="000000"/>
          <w:sz w:val="20"/>
          <w:lang w:val="en-US" w:eastAsia="en-US" w:bidi="ar-SA"/>
        </w:rPr>
        <w:t>" or "</w:t>
      </w:r>
      <w:r>
        <w:rPr>
          <w:rFonts w:ascii="arial" w:eastAsia="arial" w:hAnsi="arial" w:cs="arial"/>
          <w:b/>
          <w:color w:val="000000"/>
          <w:sz w:val="20"/>
          <w:lang w:val="en-US" w:eastAsia="en-US" w:bidi="ar-SA"/>
        </w:rPr>
        <w:t>Settlement Agreement</w:t>
      </w:r>
      <w:r>
        <w:rPr>
          <w:rFonts w:ascii="arial" w:eastAsia="arial" w:hAnsi="arial" w:cs="arial"/>
          <w:color w:val="000000"/>
          <w:sz w:val="20"/>
          <w:lang w:val="en-US" w:eastAsia="en-US" w:bidi="ar-SA"/>
        </w:rPr>
        <w:t>") remains Canada's largest and most complex class action settlement. In 2005 and 2006, various stakeholders negotiated the IRSSA to achieve a "fair, comprehensive and lasting resolution of the legacy of Indian Residential Schools" ("</w:t>
      </w:r>
      <w:r>
        <w:rPr>
          <w:rFonts w:ascii="arial" w:eastAsia="arial" w:hAnsi="arial" w:cs="arial"/>
          <w:b/>
          <w:color w:val="000000"/>
          <w:sz w:val="20"/>
          <w:lang w:val="en-US" w:eastAsia="en-US" w:bidi="ar-SA"/>
        </w:rPr>
        <w:t>IRS</w:t>
      </w:r>
      <w:r>
        <w:rPr>
          <w:rFonts w:ascii="arial" w:eastAsia="arial" w:hAnsi="arial" w:cs="arial"/>
          <w:color w:val="000000"/>
          <w:sz w:val="20"/>
          <w:lang w:val="en-US" w:eastAsia="en-US" w:bidi="ar-SA"/>
        </w:rPr>
        <w:t>", whether singular or plural). This court is one of nine provincial and territorial superior courts (the "</w:t>
      </w:r>
      <w:r>
        <w:rPr>
          <w:rFonts w:ascii="arial" w:eastAsia="arial" w:hAnsi="arial" w:cs="arial"/>
          <w:b/>
          <w:color w:val="000000"/>
          <w:sz w:val="20"/>
          <w:lang w:val="en-US" w:eastAsia="en-US" w:bidi="ar-SA"/>
        </w:rPr>
        <w:t>Courts</w:t>
      </w:r>
      <w:r>
        <w:rPr>
          <w:rFonts w:ascii="arial" w:eastAsia="arial" w:hAnsi="arial" w:cs="arial"/>
          <w:color w:val="000000"/>
          <w:sz w:val="20"/>
          <w:lang w:val="en-US" w:eastAsia="en-US" w:bidi="ar-SA"/>
        </w:rPr>
        <w:t>" or "</w:t>
      </w:r>
      <w:r>
        <w:rPr>
          <w:rFonts w:ascii="arial" w:eastAsia="arial" w:hAnsi="arial" w:cs="arial"/>
          <w:b/>
          <w:color w:val="000000"/>
          <w:sz w:val="20"/>
          <w:lang w:val="en-US" w:eastAsia="en-US" w:bidi="ar-SA"/>
        </w:rPr>
        <w:t>Supervising Courts</w:t>
      </w:r>
      <w:r>
        <w:rPr>
          <w:rFonts w:ascii="arial" w:eastAsia="arial" w:hAnsi="arial" w:cs="arial"/>
          <w:color w:val="000000"/>
          <w:sz w:val="20"/>
          <w:lang w:val="en-US" w:eastAsia="en-US" w:bidi="ar-SA"/>
        </w:rPr>
        <w:t>") that approved the IRSSA in December 2006 and January 2007 on substantially identical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Despite its importance to the goals of promoting healing and achieving reconciliation with Indigenous Canadians, fundamentally the IRSSA remains a contract.</w:t>
      </w:r>
      <w:bookmarkStart w:id="144" w:name="Backward_fnref_fnr-1_0"/>
      <w:hyperlink w:anchor="Forward_fnref_fnr-1" w:history="1">
        <w:r>
          <w:rPr>
            <w:rFonts w:ascii="arial" w:eastAsia="arial" w:hAnsi="arial" w:cs="arial"/>
            <w:b/>
            <w:color w:val="BE161D"/>
            <w:sz w:val="20"/>
            <w:shd w:val="clear" w:color="auto" w:fill="FFFFFF"/>
            <w:vertAlign w:val="superscript"/>
            <w:lang w:val="en-US" w:eastAsia="en-US" w:bidi="ar-SA"/>
          </w:rPr>
          <w:t>1</w:t>
        </w:r>
      </w:hyperlink>
      <w:bookmarkEnd w:id="144"/>
      <w:r>
        <w:rPr>
          <w:rFonts w:ascii="arial" w:eastAsia="arial" w:hAnsi="arial" w:cs="arial"/>
          <w:color w:val="000000"/>
          <w:sz w:val="20"/>
          <w:lang w:val="en-US" w:eastAsia="en-US" w:bidi="ar-SA"/>
        </w:rPr>
        <w:t xml:space="preserve"> Together with the IRSSA, the Courts' Implementation Orders and the Court Administration Protocol ("</w:t>
      </w:r>
      <w:r>
        <w:rPr>
          <w:rFonts w:ascii="arial" w:eastAsia="arial" w:hAnsi="arial" w:cs="arial"/>
          <w:b/>
          <w:color w:val="000000"/>
          <w:sz w:val="20"/>
          <w:lang w:val="en-US" w:eastAsia="en-US" w:bidi="ar-SA"/>
        </w:rPr>
        <w:t>CAP</w:t>
      </w:r>
      <w:r>
        <w:rPr>
          <w:rFonts w:ascii="arial" w:eastAsia="arial" w:hAnsi="arial" w:cs="arial"/>
          <w:color w:val="000000"/>
          <w:sz w:val="20"/>
          <w:lang w:val="en-US" w:eastAsia="en-US" w:bidi="ar-SA"/>
        </w:rPr>
        <w:t>") appended to those orders govern the IRSSA's administration.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CAP required the Courts to designate the nine judges who heard the motions for approval of the Agreement, or their successors as "Supervising Judges". It also stipulated that from among the Supervising Judges, two "Administrative Judges" should be designated, one "Eastern Administrative Judge" and one "Western Administrative Judge". The Supreme Court of Canada has recognized the importance of ongoing judicial supervision of the IRSSA's administration.</w:t>
      </w:r>
      <w:bookmarkStart w:id="145" w:name="Backward_fnref_fnr-2"/>
      <w:hyperlink w:anchor="Forward_fnref_fnr-2" w:history="1">
        <w:r>
          <w:rPr>
            <w:rFonts w:ascii="arial" w:eastAsia="arial" w:hAnsi="arial" w:cs="arial"/>
            <w:b/>
            <w:color w:val="BE161D"/>
            <w:sz w:val="20"/>
            <w:shd w:val="clear" w:color="auto" w:fill="FFFFFF"/>
            <w:vertAlign w:val="superscript"/>
            <w:lang w:val="en-US" w:eastAsia="en-US" w:bidi="ar-SA"/>
          </w:rPr>
          <w:t>2</w:t>
        </w:r>
      </w:hyperlink>
      <w:bookmarkEnd w:id="145"/>
      <w:r>
        <w:rPr>
          <w:rFonts w:ascii="arial" w:eastAsia="arial" w:hAnsi="arial" w:cs="arial"/>
          <w:color w:val="000000"/>
          <w:sz w:val="20"/>
          <w:lang w:val="en-US" w:eastAsia="en-US" w:bidi="ar-SA"/>
        </w:rPr>
        <w:t xml:space="preserve"> For more than a decade now, since 2009, I have been both the Supervising Judge for British Columbia and the Western Administrative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CAP provided for "a streamlined process for addressing all matters that require court orders, directions or consideration during the course of the [IRSSA's] administration". This process involves bringing a "Request for Direction" ("</w:t>
      </w:r>
      <w:r>
        <w:rPr>
          <w:rFonts w:ascii="arial" w:eastAsia="arial" w:hAnsi="arial" w:cs="arial"/>
          <w:b/>
          <w:color w:val="000000"/>
          <w:sz w:val="20"/>
          <w:lang w:val="en-US" w:eastAsia="en-US" w:bidi="ar-SA"/>
        </w:rPr>
        <w:t>RFD</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IRSSA established two compensation streams: a common experience payment ("</w:t>
      </w:r>
      <w:r>
        <w:rPr>
          <w:rFonts w:ascii="arial" w:eastAsia="arial" w:hAnsi="arial" w:cs="arial"/>
          <w:b/>
          <w:color w:val="000000"/>
          <w:sz w:val="20"/>
          <w:lang w:val="en-US" w:eastAsia="en-US" w:bidi="ar-SA"/>
        </w:rPr>
        <w:t>CEP</w:t>
      </w:r>
      <w:r>
        <w:rPr>
          <w:rFonts w:ascii="arial" w:eastAsia="arial" w:hAnsi="arial" w:cs="arial"/>
          <w:color w:val="000000"/>
          <w:sz w:val="20"/>
          <w:lang w:val="en-US" w:eastAsia="en-US" w:bidi="ar-SA"/>
        </w:rPr>
        <w:t>"), payable to anyone who attended an IRS, and the Independent Assessment Process ("</w:t>
      </w:r>
      <w:r>
        <w:rPr>
          <w:rFonts w:ascii="arial" w:eastAsia="arial" w:hAnsi="arial" w:cs="arial"/>
          <w:b/>
          <w:color w:val="000000"/>
          <w:sz w:val="20"/>
          <w:lang w:val="en-US" w:eastAsia="en-US" w:bidi="ar-SA"/>
        </w:rPr>
        <w:t>IAP</w:t>
      </w:r>
      <w:r>
        <w:rPr>
          <w:rFonts w:ascii="arial" w:eastAsia="arial" w:hAnsi="arial" w:cs="arial"/>
          <w:color w:val="000000"/>
          <w:sz w:val="20"/>
          <w:lang w:val="en-US" w:eastAsia="en-US" w:bidi="ar-SA"/>
        </w:rPr>
        <w:t>"), which is the inquisitorial process provided by the IRSSA for adjudicating individual claims made by former IRS students in relation to physical and/or sexual abuse that they suffered.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Section 6.01 of the IRSSA provides for establishment of the IAP as set out in Schedule "D" to the Settlement Agreement. Also known as the "</w:t>
      </w:r>
      <w:r>
        <w:rPr>
          <w:rFonts w:ascii="arial" w:eastAsia="arial" w:hAnsi="arial" w:cs="arial"/>
          <w:b/>
          <w:color w:val="000000"/>
          <w:sz w:val="20"/>
          <w:lang w:val="en-US" w:eastAsia="en-US" w:bidi="ar-SA"/>
        </w:rPr>
        <w:t>IAP Model</w:t>
      </w:r>
      <w:r>
        <w:rPr>
          <w:rFonts w:ascii="arial" w:eastAsia="arial" w:hAnsi="arial" w:cs="arial"/>
          <w:color w:val="000000"/>
          <w:sz w:val="20"/>
          <w:lang w:val="en-US" w:eastAsia="en-US" w:bidi="ar-SA"/>
        </w:rPr>
        <w:t>", Schedule "D" defines the categories of compensable claims and sets out what are referred to as the "compensation rules" (the forms of physical or sexual abuse or "other wrongful acts" that once proven are compensable, the categories of consequential harms, the aggravating factors and allowances for future care and consequential loss of opportunity), the core assumptions as to legal and compensation standards, the resolution processes and procedures, burden of proof and evidentiary standards, adjudicators' decision-making and the means of reviewing and re-reviewing adjudicators' decisions.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IAP Model provides a closed process for determining individual IAP claims, with one in-person hearing and two levels of review (referred to as "review" and "re-review", the latter being performed by the Chief Adjudicator or his delegate).</w:t>
      </w:r>
      <w:bookmarkStart w:id="146" w:name="Backward_fnref_fnr-3"/>
      <w:hyperlink w:anchor="Forward_fnref_fnr-3" w:history="1">
        <w:r>
          <w:rPr>
            <w:rFonts w:ascii="arial" w:eastAsia="arial" w:hAnsi="arial" w:cs="arial"/>
            <w:b/>
            <w:color w:val="BE161D"/>
            <w:sz w:val="20"/>
            <w:shd w:val="clear" w:color="auto" w:fill="FFFFFF"/>
            <w:vertAlign w:val="superscript"/>
            <w:lang w:val="en-US" w:eastAsia="en-US" w:bidi="ar-SA"/>
          </w:rPr>
          <w:t>3</w:t>
        </w:r>
      </w:hyperlink>
      <w:bookmarkEnd w:id="146"/>
      <w:r>
        <w:rPr>
          <w:rFonts w:ascii="arial" w:eastAsia="arial" w:hAnsi="arial" w:cs="arial"/>
          <w:color w:val="000000"/>
          <w:sz w:val="20"/>
          <w:lang w:val="en-US" w:eastAsia="en-US" w:bidi="ar-SA"/>
        </w:rPr>
        <w:t xml:space="preserve"> In these reasons, the adjudicator who conducted the first review in relation to the IAP claim in this case is referred to as the "</w:t>
      </w:r>
      <w:r>
        <w:rPr>
          <w:rFonts w:ascii="arial" w:eastAsia="arial" w:hAnsi="arial" w:cs="arial"/>
          <w:b/>
          <w:color w:val="000000"/>
          <w:sz w:val="20"/>
          <w:lang w:val="en-US" w:eastAsia="en-US" w:bidi="ar-SA"/>
        </w:rPr>
        <w:t>Review Adjudicator</w:t>
      </w:r>
      <w:r>
        <w:rPr>
          <w:rFonts w:ascii="arial" w:eastAsia="arial" w:hAnsi="arial" w:cs="arial"/>
          <w:color w:val="000000"/>
          <w:sz w:val="20"/>
          <w:lang w:val="en-US" w:eastAsia="en-US" w:bidi="ar-SA"/>
        </w:rPr>
        <w:t>"and the adjudicator who conducted the"second review" or "re-review" is referred to as the "</w:t>
      </w:r>
      <w:r>
        <w:rPr>
          <w:rFonts w:ascii="arial" w:eastAsia="arial" w:hAnsi="arial" w:cs="arial"/>
          <w:b/>
          <w:color w:val="000000"/>
          <w:sz w:val="20"/>
          <w:lang w:val="en-US" w:eastAsia="en-US" w:bidi="ar-SA"/>
        </w:rPr>
        <w:t>Re-Review Adjudicator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Schedule "D" also provides for the apparatus necessary for the IAP: the Chief Adjudicator, an "IAP Oversight Committee" to oversee the certain functions of the Chief Adjudicator and a Secretariat to provide administrative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Appendices to Schedule "D" provide guidance to IAP claimants, their counsel and IAP adjudicators on a broad range of issues, such as the form of applications for compensation, the involvement of alleged perpetrators in hearings, documents to be produced, adjudicators' use of extra-curial knowledge and the format for adjudicators' decisions.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As will be seen, of particular relevance to this RFD is Appendix IX to Schedule "D" ("Instructions for Adjudicators"), which provides direction to adjudicators on application of the compensable claims criteria, stipulating that they must not refer to case law on vicarious liability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that "[t]he compensability of proven continuing claims must be determined only by reference to the terms of this IAP, including instructions issued pursuant to it."</w:t>
      </w:r>
      <w:bookmarkStart w:id="147" w:name="Backward_fnref_fnr-4"/>
      <w:hyperlink w:anchor="Forward_fnref_fnr-4" w:history="1">
        <w:r>
          <w:rPr>
            <w:rFonts w:ascii="arial" w:eastAsia="arial" w:hAnsi="arial" w:cs="arial"/>
            <w:b/>
            <w:color w:val="BE161D"/>
            <w:sz w:val="20"/>
            <w:shd w:val="clear" w:color="auto" w:fill="FFFFFF"/>
            <w:vertAlign w:val="superscript"/>
            <w:lang w:val="en-US" w:eastAsia="en-US" w:bidi="ar-SA"/>
          </w:rPr>
          <w:t>4</w:t>
        </w:r>
      </w:hyperlink>
      <w:bookmarkEnd w:id="147"/>
      <w:r>
        <w:rPr>
          <w:rFonts w:ascii="arial" w:eastAsia="arial" w:hAnsi="arial" w:cs="arial"/>
          <w:color w:val="000000"/>
          <w:sz w:val="20"/>
          <w:lang w:val="en-US" w:eastAsia="en-US" w:bidi="ar-SA"/>
        </w:rPr>
        <w:t xml:space="preserve"> As is discussed below, the instructions under heading "A", "Physical or Sexual Abuse Committed by an Adult" prescribe different tests to be applied, depending on whether or not the victim was a "student or resident" of an Indian Residential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summary, beyond its essential character as a negotiated contractual component of the IRSSA, the IAP is a complete code</w:t>
      </w:r>
      <w:bookmarkStart w:id="148" w:name="Backward_fnref_fnr-5"/>
      <w:hyperlink w:anchor="Forward_fnref_fnr-5" w:history="1">
        <w:r>
          <w:rPr>
            <w:rFonts w:ascii="arial" w:eastAsia="arial" w:hAnsi="arial" w:cs="arial"/>
            <w:b/>
            <w:color w:val="BE161D"/>
            <w:sz w:val="20"/>
            <w:shd w:val="clear" w:color="auto" w:fill="FFFFFF"/>
            <w:vertAlign w:val="superscript"/>
            <w:lang w:val="en-US" w:eastAsia="en-US" w:bidi="ar-SA"/>
          </w:rPr>
          <w:t>5</w:t>
        </w:r>
      </w:hyperlink>
      <w:bookmarkEnd w:id="148"/>
      <w:r>
        <w:rPr>
          <w:rFonts w:ascii="arial" w:eastAsia="arial" w:hAnsi="arial" w:cs="arial"/>
          <w:color w:val="000000"/>
          <w:sz w:val="20"/>
          <w:lang w:val="en-US" w:eastAsia="en-US" w:bidi="ar-SA"/>
        </w:rPr>
        <w:t xml:space="preserve"> that prescribes a post-litigation claims assessment process, one that involves a closed adjudicative process operating under the purview of independent adjudicators, without any rights of appeal or judicial review.</w:t>
      </w:r>
      <w:bookmarkStart w:id="149" w:name="Backward_fnref_fnr-6"/>
      <w:hyperlink w:anchor="Forward_fnref_fnr-6" w:history="1">
        <w:r>
          <w:rPr>
            <w:rFonts w:ascii="arial" w:eastAsia="arial" w:hAnsi="arial" w:cs="arial"/>
            <w:b/>
            <w:color w:val="BE161D"/>
            <w:sz w:val="20"/>
            <w:shd w:val="clear" w:color="auto" w:fill="FFFFFF"/>
            <w:vertAlign w:val="superscript"/>
            <w:lang w:val="en-US" w:eastAsia="en-US" w:bidi="ar-SA"/>
          </w:rPr>
          <w:t>6</w:t>
        </w:r>
      </w:hyperlink>
      <w:bookmarkEnd w:id="149"/>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IAP has now very nearly run its course. According to the latest statistics available on the Indian Residential Schools Adjudication Secretariat's website,</w:t>
      </w:r>
      <w:bookmarkStart w:id="150" w:name="Backward_fnref_fnr-7"/>
      <w:hyperlink w:anchor="Forward_fnref_fnr-7" w:history="1">
        <w:r>
          <w:rPr>
            <w:rFonts w:ascii="arial" w:eastAsia="arial" w:hAnsi="arial" w:cs="arial"/>
            <w:b/>
            <w:color w:val="BE161D"/>
            <w:sz w:val="20"/>
            <w:shd w:val="clear" w:color="auto" w:fill="FFFFFF"/>
            <w:vertAlign w:val="superscript"/>
            <w:lang w:val="en-US" w:eastAsia="en-US" w:bidi="ar-SA"/>
          </w:rPr>
          <w:t>7</w:t>
        </w:r>
      </w:hyperlink>
      <w:bookmarkEnd w:id="150"/>
      <w:r>
        <w:rPr>
          <w:rFonts w:ascii="arial" w:eastAsia="arial" w:hAnsi="arial" w:cs="arial"/>
          <w:color w:val="000000"/>
          <w:sz w:val="20"/>
          <w:lang w:val="en-US" w:eastAsia="en-US" w:bidi="ar-SA"/>
        </w:rPr>
        <w:t xml:space="preserve"> as of November 30, 2019, 38,248 IAP claims - 99% of the total - have been resolved. Only 15 claims remain in progress, 11 of which are at the post-hearing stage. In all, 26,703 IAP hearings have been conducted.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 to this RFD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This RFD is in relation to an IAP claim and is what has come to be known as a "judicial recourse RFD". Like other RFDs of this kind, it is a request that the court overturn a decision made at the final stage of review within the IAP. As has been noted above, decisions at this final stage within the IAP are made by either the Chief Adjudicator or the Chief Adjudicator's delegate.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IAP Claimant K-11553 (the "Requestor")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Requestor</w:t>
      </w:r>
      <w:bookmarkStart w:id="151" w:name="Backward_fnref_fnr-8"/>
      <w:hyperlink w:anchor="Forward_fnref_fnr-8" w:history="1">
        <w:r>
          <w:rPr>
            <w:rFonts w:ascii="arial" w:eastAsia="arial" w:hAnsi="arial" w:cs="arial"/>
            <w:b/>
            <w:color w:val="BE161D"/>
            <w:sz w:val="20"/>
            <w:shd w:val="clear" w:color="auto" w:fill="FFFFFF"/>
            <w:vertAlign w:val="superscript"/>
            <w:lang w:val="en-US" w:eastAsia="en-US" w:bidi="ar-SA"/>
          </w:rPr>
          <w:t>8</w:t>
        </w:r>
      </w:hyperlink>
      <w:bookmarkEnd w:id="151"/>
      <w:r>
        <w:rPr>
          <w:rFonts w:ascii="arial" w:eastAsia="arial" w:hAnsi="arial" w:cs="arial"/>
          <w:color w:val="000000"/>
          <w:sz w:val="20"/>
          <w:lang w:val="en-US" w:eastAsia="en-US" w:bidi="ar-SA"/>
        </w:rPr>
        <w:t xml:space="preserve"> was 15 years old when she was was taken to St. Michael's IRS located in Duck Lake, Saskatchewan. She was a resident there from September 1970 to June 1971. In September 1971, she was enrolled at Lebret IRS, but after running away from that school and being returned to it by the police she was discharged on October 29, 1971.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In her IAP claim, the Requestor alleged that she was the victim of two distinct sexual assaults. One was a very serious form of sexual assault, which at the time would have constituted the former offence of rape. In the IAP Model's terms, what was alleged in that respect would have amounted to an SL-4 category sexual assault. It was the Requestor's evidence that she was raped while being taken from the Witchekan Lake Indian Reserve to St. Michael's IRS by a man who said it was his job to take people to the IRS (the </w:t>
      </w:r>
      <w:r>
        <w:rPr>
          <w:rFonts w:ascii="arial" w:eastAsia="arial" w:hAnsi="arial" w:cs="arial"/>
          <w:b/>
          <w:color w:val="000000"/>
          <w:sz w:val="20"/>
          <w:lang w:val="en-US" w:eastAsia="en-US" w:bidi="ar-SA"/>
        </w:rPr>
        <w:t>"Alleged Perpetrator"</w:t>
      </w:r>
      <w:r>
        <w:rPr>
          <w:rFonts w:ascii="arial" w:eastAsia="arial" w:hAnsi="arial" w:cs="arial"/>
          <w:color w:val="000000"/>
          <w:sz w:val="20"/>
          <w:lang w:val="en-US" w:eastAsia="en-US" w:bidi="ar-SA"/>
        </w:rPr>
        <w:t>). The Requestor testified that she knew nothing about residential schools before being taken to St. Michael's IRS, and that she did not know whose idea it was for her to attend one. The evidence disclosed that the Alleged Perpetrator (whom the Requestor named) was employed by the federal Department of Indian Affairs and Northern Development as a guidance counselor. The evidence also indicated that this very serious sexual assault took place en route to St. Michael's IRS, not on the premises of the IRS.</w:t>
      </w:r>
      <w:bookmarkStart w:id="152" w:name="Backward_fnref_fnr-9"/>
      <w:hyperlink w:anchor="Forward_fnref_fnr-9" w:history="1">
        <w:r>
          <w:rPr>
            <w:rFonts w:ascii="arial" w:eastAsia="arial" w:hAnsi="arial" w:cs="arial"/>
            <w:b/>
            <w:color w:val="BE161D"/>
            <w:sz w:val="20"/>
            <w:shd w:val="clear" w:color="auto" w:fill="FFFFFF"/>
            <w:vertAlign w:val="superscript"/>
            <w:lang w:val="en-US" w:eastAsia="en-US" w:bidi="ar-SA"/>
          </w:rPr>
          <w:t>9</w:t>
        </w:r>
      </w:hyperlink>
      <w:bookmarkEnd w:id="152"/>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other sexual assault, which is not before me, was alleged to have occurred when she ran away from Lebret IRS. That assault amounted to an unwanted sexual touching at the SL-1.4 level and the Requestor ultimately received compensation for it through the IAP.</w:t>
      </w:r>
      <w:bookmarkStart w:id="153" w:name="Backward_fnref_fnr-10"/>
      <w:hyperlink w:anchor="Forward_fnref_fnr-10" w:history="1">
        <w:r>
          <w:rPr>
            <w:rFonts w:ascii="arial" w:eastAsia="arial" w:hAnsi="arial" w:cs="arial"/>
            <w:b/>
            <w:color w:val="BE161D"/>
            <w:sz w:val="20"/>
            <w:shd w:val="clear" w:color="auto" w:fill="FFFFFF"/>
            <w:vertAlign w:val="superscript"/>
            <w:lang w:val="en-US" w:eastAsia="en-US" w:bidi="ar-SA"/>
          </w:rPr>
          <w:t>10</w:t>
        </w:r>
      </w:hyperlink>
      <w:bookmarkEnd w:id="153"/>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At no stage - up to and including the hearing of the RFD - did Canada dispute either the Requestor's credibility or the reliability of 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Returning to the serious sexual assault that remains for the court's consideration, the Requestor's status at the time of the assault is a key consideration. Specifically, was the Requestor a student, or was she a non-student at the relevant time? On the evidence, the assault occurred when she was being driven to the IRS, but at a time when she and the Alleged Perpetrator were not yet on its premises and in fact, some distance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Where physical or sexual abuse is alleged to have been committed by an adult, Appendix IX to Schedule "D", the IAP Model (Instructions for Adjudicators) mandates application of different tests depending on whether the claimant was a student (or resident) or a non-student (or non-resident) at the time of the alleged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If the Requestor is found to be a student (or resident) at the time of the alleged abuse, the IAP Model establishes the following tests (to which I will refer collectively as the "</w:t>
      </w:r>
      <w:r>
        <w:rPr>
          <w:rFonts w:ascii="arial" w:eastAsia="arial" w:hAnsi="arial" w:cs="arial"/>
          <w:b/>
          <w:color w:val="000000"/>
          <w:sz w:val="20"/>
          <w:lang w:val="en-US" w:eastAsia="en-US" w:bidi="ar-SA"/>
        </w:rPr>
        <w:t>Student/Resident Test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1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sexual or physical assault was committed on a resident or student of an IRS by an adult, the following tests must be met:</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alleged perpetrator an adult employee of the government or a church entity which operated the IRS in question? If so, it does not matter whether their contract of employment was at that IRS.</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alleged perpetrator was not an adult employee, were they an adult lawfully on the premises?</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assault arise from, or was its commission connected to, the operation of an IRS? This test will be met where it is shown that a relationship was created at the school which led to or facilitated the abuse. If the test is met, the assault need not have been committed on the premises.</w:t>
      </w:r>
      <w:bookmarkStart w:id="154" w:name="Backward_fnref_fnr-11"/>
      <w:hyperlink w:anchor="Forward_fnref_fnr-11" w:history="1">
        <w:r>
          <w:rPr>
            <w:rFonts w:ascii="arial" w:eastAsia="arial" w:hAnsi="arial" w:cs="arial"/>
            <w:b/>
            <w:color w:val="BE161D"/>
            <w:sz w:val="20"/>
            <w:shd w:val="clear" w:color="auto" w:fill="FFFFFF"/>
            <w:vertAlign w:val="superscript"/>
            <w:lang w:val="en-US" w:eastAsia="en-US" w:bidi="ar-SA"/>
          </w:rPr>
          <w:t>11</w:t>
        </w:r>
      </w:hyperlink>
      <w:bookmarkEnd w:id="154"/>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the other hand, what I will refer to as the "</w:t>
      </w:r>
      <w:r>
        <w:rPr>
          <w:rFonts w:ascii="arial" w:eastAsia="arial" w:hAnsi="arial" w:cs="arial"/>
          <w:b/>
          <w:color w:val="000000"/>
          <w:sz w:val="20"/>
          <w:lang w:val="en-US" w:eastAsia="en-US" w:bidi="ar-SA"/>
        </w:rPr>
        <w:t>Non-Student/Non-Resident Test</w:t>
      </w:r>
      <w:r>
        <w:rPr>
          <w:rFonts w:ascii="arial" w:eastAsia="arial" w:hAnsi="arial" w:cs="arial"/>
          <w:color w:val="000000"/>
          <w:sz w:val="20"/>
          <w:lang w:val="en-US" w:eastAsia="en-US" w:bidi="ar-SA"/>
        </w:rPr>
        <w:t>" provides as follows:</w:t>
      </w:r>
      <w:bookmarkStart w:id="155" w:name="Backward_fnref_fnr-12"/>
      <w:hyperlink w:anchor="Forward_fnref_fnr-12" w:history="1">
        <w:r>
          <w:rPr>
            <w:rFonts w:ascii="arial" w:eastAsia="arial" w:hAnsi="arial" w:cs="arial"/>
            <w:b/>
            <w:color w:val="BE161D"/>
            <w:sz w:val="20"/>
            <w:shd w:val="clear" w:color="auto" w:fill="FFFFFF"/>
            <w:vertAlign w:val="superscript"/>
            <w:lang w:val="en-US" w:eastAsia="en-US" w:bidi="ar-SA"/>
          </w:rPr>
          <w:t>12</w:t>
        </w:r>
      </w:hyperlink>
      <w:bookmarkEnd w:id="155"/>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victim was not a student or resident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a sexual or physical assault was committed by an adult on a non-student, the following tests must be met:</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alleged perpetrator an adult employee of the government or a church entity which operated the IRS in question? If so, it does not matter whether their contract of employment was at that IRS.</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alleged perpetrator was not an adult employee, were they an adult lawfully on the premises?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Claimant under the age of 21 at the time of the assault?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Did an adult employee give the Claimant permission i) to be on the premises ii) </w:t>
      </w:r>
      <w:r>
        <w:rPr>
          <w:rFonts w:ascii="arial" w:eastAsia="arial" w:hAnsi="arial" w:cs="arial"/>
          <w:color w:val="000000"/>
          <w:sz w:val="20"/>
          <w:u w:val="single"/>
          <w:lang w:val="en-US" w:eastAsia="en-US" w:bidi="ar-SA"/>
        </w:rPr>
        <w:t>for the purpose</w:t>
      </w:r>
      <w:r>
        <w:rPr>
          <w:rFonts w:ascii="arial" w:eastAsia="arial" w:hAnsi="arial" w:cs="arial"/>
          <w:color w:val="000000"/>
          <w:sz w:val="20"/>
          <w:lang w:val="en-US" w:eastAsia="en-US" w:bidi="ar-SA"/>
        </w:rPr>
        <w:t xml:space="preserve"> of taking part in school activities?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assault arise from, or was it connected to, the operation of the school? This test will be met where it is shown that a relationship was created at the school which led to or facilitated the abuse. If the test is met, the assault need not have been committed on the premises. The permission to be on the premises for an organized activity creates the circumstances in which an assault may be compensable if the other tests are met, but it does not also circumscribe the location in which an assault must have been committed to qualify as one which arose from or was connected to an 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As can be seen, while parts (a) and (b) of the two tests are the same and part (c) of the Student/Resident Test is substantially identical to part (e) of the Non-Student/Non-Resident Test,</w:t>
      </w:r>
      <w:bookmarkStart w:id="156" w:name="Backward_fnref_fnr-13"/>
      <w:hyperlink w:anchor="Forward_fnref_fnr-13" w:history="1">
        <w:r>
          <w:rPr>
            <w:rFonts w:ascii="arial" w:eastAsia="arial" w:hAnsi="arial" w:cs="arial"/>
            <w:b/>
            <w:color w:val="BE161D"/>
            <w:sz w:val="20"/>
            <w:shd w:val="clear" w:color="auto" w:fill="FFFFFF"/>
            <w:vertAlign w:val="superscript"/>
            <w:lang w:val="en-US" w:eastAsia="en-US" w:bidi="ar-SA"/>
          </w:rPr>
          <w:t>13</w:t>
        </w:r>
      </w:hyperlink>
      <w:bookmarkEnd w:id="156"/>
      <w:r>
        <w:rPr>
          <w:rFonts w:ascii="arial" w:eastAsia="arial" w:hAnsi="arial" w:cs="arial"/>
          <w:color w:val="000000"/>
          <w:sz w:val="20"/>
          <w:lang w:val="en-US" w:eastAsia="en-US" w:bidi="ar-SA"/>
        </w:rPr>
        <w:t xml:space="preserve"> there are some key differences between the three-part Student/Resident Test and the five-part Non-Student/Non-Resident Test. Specifically, the Non-Student/Non-Resident Test contains the following additional elements:</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non-student/non-resident claimant must have been under the age of 21 at the time of the assault (part (c)); and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adult employee must have given the non-student/ non-resident claimant permission (i) to be on the premises (ii) for the purpose of taking part in school activities (part (d)).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Initial Adjudicator's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a decision dated November 1, 2015, the adjudicator who heard the Requestor's IAP claim (the "</w:t>
      </w:r>
      <w:r>
        <w:rPr>
          <w:rFonts w:ascii="arial" w:eastAsia="arial" w:hAnsi="arial" w:cs="arial"/>
          <w:b/>
          <w:color w:val="000000"/>
          <w:sz w:val="20"/>
          <w:lang w:val="en-US" w:eastAsia="en-US" w:bidi="ar-SA"/>
        </w:rPr>
        <w:t>Initial Adjudicator</w:t>
      </w:r>
      <w:r>
        <w:rPr>
          <w:rFonts w:ascii="arial" w:eastAsia="arial" w:hAnsi="arial" w:cs="arial"/>
          <w:color w:val="000000"/>
          <w:sz w:val="20"/>
          <w:lang w:val="en-US" w:eastAsia="en-US" w:bidi="ar-SA"/>
        </w:rPr>
        <w:t>") found that the claim had not been proven.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coming to her decision, the Initial Adjudicator applied the Student/Resident Test, despite finding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[45] A further and somewhat unique fact in this case is that the rape that [the alleged perpetrator] carried out happened while he was driving the [Requestor] to the residential school and before she was admitted there. In effect she was not a residential school student when he raped her; though she soon would be ...</w:t>
      </w:r>
      <w:bookmarkStart w:id="157" w:name="Backward_fnref_fnr-14"/>
      <w:hyperlink w:anchor="Forward_fnref_fnr-14" w:history="1">
        <w:r>
          <w:rPr>
            <w:rFonts w:ascii="arial" w:eastAsia="arial" w:hAnsi="arial" w:cs="arial"/>
            <w:b/>
            <w:color w:val="BE161D"/>
            <w:sz w:val="20"/>
            <w:shd w:val="clear" w:color="auto" w:fill="FFFFFF"/>
            <w:vertAlign w:val="superscript"/>
            <w:lang w:val="en-US" w:eastAsia="en-US" w:bidi="ar-SA"/>
          </w:rPr>
          <w:t>14</w:t>
        </w:r>
      </w:hyperlink>
      <w:bookmarkEnd w:id="157"/>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Initial Adjudicator found that the Student/Resident Test had not been satisfied in two respects: first, although he was a federal government employee, the Alleged Perpetrator was not employed at St. Michael's IRS;</w:t>
      </w:r>
      <w:bookmarkStart w:id="158" w:name="Backward_fnref_fnr-15"/>
      <w:hyperlink w:anchor="Forward_fnref_fnr-15" w:history="1">
        <w:r>
          <w:rPr>
            <w:rFonts w:ascii="arial" w:eastAsia="arial" w:hAnsi="arial" w:cs="arial"/>
            <w:b/>
            <w:color w:val="BE161D"/>
            <w:sz w:val="20"/>
            <w:shd w:val="clear" w:color="auto" w:fill="FFFFFF"/>
            <w:vertAlign w:val="superscript"/>
            <w:lang w:val="en-US" w:eastAsia="en-US" w:bidi="ar-SA"/>
          </w:rPr>
          <w:t>15</w:t>
        </w:r>
      </w:hyperlink>
      <w:bookmarkEnd w:id="158"/>
      <w:r>
        <w:rPr>
          <w:rFonts w:ascii="arial" w:eastAsia="arial" w:hAnsi="arial" w:cs="arial"/>
          <w:color w:val="000000"/>
          <w:sz w:val="20"/>
          <w:lang w:val="en-US" w:eastAsia="en-US" w:bidi="ar-SA"/>
        </w:rPr>
        <w:t xml:space="preserve"> and second, the sexual assault had not taken place on the premises of the 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Initial Adjudicator reasoned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[48] ... I am persuaded by Canada's submission that Part (a) of the test is not met here because the [A]lleged [P]erpetrator was not an adult federal government employee who had a contract of employment with an IRS or an adult employee of the church entity which operated the IRS. He was employed by a different federal government department but that is not enough to bring his actions into the umbrella of the Settlement Agreement and thus entitle [the Requestor] to compensation for his actions.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[49] In coming to this conclusion I adopt the reasoning of Chief Adjudicator Shapiro in B -205305 wherein he wrote at paragraph 21 that it was the intention of the parties to the Settlement Agreement that an alleged perpetrator </w:t>
      </w:r>
      <w:r>
        <w:rPr>
          <w:rFonts w:ascii="arial" w:eastAsia="arial" w:hAnsi="arial" w:cs="arial"/>
          <w:b/>
          <w:color w:val="000000"/>
          <w:sz w:val="20"/>
          <w:lang w:val="en-US" w:eastAsia="en-US" w:bidi="ar-SA"/>
        </w:rPr>
        <w:t>must have an employment relationship with an IRS</w:t>
      </w:r>
      <w:r>
        <w:rPr>
          <w:rFonts w:ascii="arial" w:eastAsia="arial" w:hAnsi="arial" w:cs="arial"/>
          <w:color w:val="000000"/>
          <w:sz w:val="20"/>
          <w:lang w:val="en-US" w:eastAsia="en-US" w:bidi="ar-SA"/>
        </w:rPr>
        <w:t xml:space="preserve"> [emphasis added] for Part (a) of the test to be met.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[50] I also accept and adopt his finding that to interpret Part (a) as including all federal government employees, irrespective of any employment relationship with an IRS, would render the last sentence of Part (a) meaningless. It is my finding that the </w:t>
      </w:r>
      <w:r>
        <w:rPr>
          <w:rFonts w:ascii="arial" w:eastAsia="arial" w:hAnsi="arial" w:cs="arial"/>
          <w:i/>
          <w:color w:val="000000"/>
          <w:sz w:val="20"/>
          <w:lang w:val="en-US" w:eastAsia="en-US" w:bidi="ar-SA"/>
        </w:rPr>
        <w:t>Settlement Agreement</w:t>
      </w:r>
      <w:r>
        <w:rPr>
          <w:rFonts w:ascii="arial" w:eastAsia="arial" w:hAnsi="arial" w:cs="arial"/>
          <w:color w:val="000000"/>
          <w:sz w:val="20"/>
          <w:lang w:val="en-US" w:eastAsia="en-US" w:bidi="ar-SA"/>
        </w:rPr>
        <w:t xml:space="preserve"> does not impose liability in respect of the conduct of all federal government employees who injured or abused any IRS students. It is restricted to those perpetrators who had a contract of employment with an IRS or otherwise fall under the provision in Part (b) and Part (c) of the test, as set out above.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[51] To bring the claim within the ambit of the IAP Model, the claimant must prove that the [Alleged Perpetrator] was either an adult employee or that he was lawfully on the premises. Implicit in this requirement is that that assault must have taken place on IRS premises or that Part (c) is applicable. That is not the case here. The assault took place on a back road distant from St. Michael's IRS. The fact that the perpetrator had lawful access to St. Michael's (he drove there to drop off the claimant) does not alter where the assault took place. It took place off IRS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Initial Adjudicator pointed out that in providing for the IAP, the IRSSA did not eliminate other means of legal redress and stated, "If counsel believes that his client is entitled to relief not provided for in the IAP, he has every right to pursue [the Requestor's] claim in the proper venue."</w:t>
      </w:r>
      <w:bookmarkStart w:id="159" w:name="Backward_fnref_fnr-16"/>
      <w:hyperlink w:anchor="Forward_fnref_fnr-16" w:history="1">
        <w:r>
          <w:rPr>
            <w:rFonts w:ascii="arial" w:eastAsia="arial" w:hAnsi="arial" w:cs="arial"/>
            <w:b/>
            <w:color w:val="BE161D"/>
            <w:sz w:val="20"/>
            <w:shd w:val="clear" w:color="auto" w:fill="FFFFFF"/>
            <w:vertAlign w:val="superscript"/>
            <w:lang w:val="en-US" w:eastAsia="en-US" w:bidi="ar-SA"/>
          </w:rPr>
          <w:t>16</w:t>
        </w:r>
      </w:hyperlink>
      <w:bookmarkEnd w:id="159"/>
      <w:r>
        <w:rPr>
          <w:rFonts w:ascii="arial" w:eastAsia="arial" w:hAnsi="arial" w:cs="arial"/>
          <w:color w:val="000000"/>
          <w:sz w:val="20"/>
          <w:lang w:val="en-US" w:eastAsia="en-US" w:bidi="ar-SA"/>
        </w:rPr>
        <w:t xml:space="preserve"> The Initial Adjudicator encouraged the Requestor to discuss this with her counsel.</w:t>
      </w:r>
      <w:bookmarkStart w:id="160" w:name="Backward_fnref_fnr-17"/>
      <w:hyperlink w:anchor="Forward_fnref_fnr-17" w:history="1">
        <w:r>
          <w:rPr>
            <w:rFonts w:ascii="arial" w:eastAsia="arial" w:hAnsi="arial" w:cs="arial"/>
            <w:b/>
            <w:color w:val="BE161D"/>
            <w:sz w:val="20"/>
            <w:shd w:val="clear" w:color="auto" w:fill="FFFFFF"/>
            <w:vertAlign w:val="superscript"/>
            <w:lang w:val="en-US" w:eastAsia="en-US" w:bidi="ar-SA"/>
          </w:rPr>
          <w:t>17</w:t>
        </w:r>
      </w:hyperlink>
      <w:bookmarkEnd w:id="160"/>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Review Adjudicator's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Requestor sought a review of the Initial Adjudicator's decision on the grounds that she had misapplied the IAP Model and also that her factual findings amounted to a palpable and overriding error.</w:t>
      </w:r>
      <w:bookmarkStart w:id="161" w:name="Backward_fnref_fnr-18"/>
      <w:hyperlink w:anchor="Forward_fnref_fnr-18" w:history="1">
        <w:r>
          <w:rPr>
            <w:rFonts w:ascii="arial" w:eastAsia="arial" w:hAnsi="arial" w:cs="arial"/>
            <w:b/>
            <w:color w:val="BE161D"/>
            <w:sz w:val="20"/>
            <w:shd w:val="clear" w:color="auto" w:fill="FFFFFF"/>
            <w:vertAlign w:val="superscript"/>
            <w:lang w:val="en-US" w:eastAsia="en-US" w:bidi="ar-SA"/>
          </w:rPr>
          <w:t>18</w:t>
        </w:r>
      </w:hyperlink>
      <w:bookmarkEnd w:id="161"/>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a decision dated July 18, 2017, the Review Adjudicator dismissed the application for review. In coming to that result, the Review Adjudicator held that because the Requestor was neither a student at nor a resident of St. Michael's IRS at the time of the sexual assault,</w:t>
      </w:r>
      <w:bookmarkStart w:id="162" w:name="Backward_fnref_fnr-19"/>
      <w:hyperlink w:anchor="Forward_fnref_fnr-19" w:history="1">
        <w:r>
          <w:rPr>
            <w:rFonts w:ascii="arial" w:eastAsia="arial" w:hAnsi="arial" w:cs="arial"/>
            <w:b/>
            <w:color w:val="BE161D"/>
            <w:sz w:val="20"/>
            <w:shd w:val="clear" w:color="auto" w:fill="FFFFFF"/>
            <w:vertAlign w:val="superscript"/>
            <w:lang w:val="en-US" w:eastAsia="en-US" w:bidi="ar-SA"/>
          </w:rPr>
          <w:t>19</w:t>
        </w:r>
      </w:hyperlink>
      <w:bookmarkEnd w:id="162"/>
      <w:r>
        <w:rPr>
          <w:rFonts w:ascii="arial" w:eastAsia="arial" w:hAnsi="arial" w:cs="arial"/>
          <w:color w:val="000000"/>
          <w:sz w:val="20"/>
          <w:lang w:val="en-US" w:eastAsia="en-US" w:bidi="ar-SA"/>
        </w:rPr>
        <w:t xml:space="preserve"> the test that the Initial Adjudicator should have applied was the Non-Student/Non-Resident Test. However, the Review Adjudicator concluded that four of the five components contained in the Non-Student/Non-Resident Test were not satisfied.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Review Adjudicator reasoned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 I agree with the [Initial] Adjudicator that the part (a) test has not been met. It has now been well established that for the part (a) test to have been met the Alleged Perpetrator must be an employee of an IRS. From B-20530 it says: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agree with Canada's submission that part (a) of the test is not met because the alleged perpetrator was not an adult federal government employee who had a contract of employment with an IRS or an adult employee of the church entity which operated the IRS. I am of the view that it was in fact the intention of the parties to the Settlement Agreement that an alleged perpetrator must have an employment relationship with an IRS for part (a) to be met. To interpret part (a) to include all federal government employees, irrespective of any employment relationshiop with an IRS, would render that last sentence of part (a) meaningless. To recap, the settlement does not impose liability in respect of the conduct of all federal employees who injured IRS students, only those who had a contract of employment with an IRS.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[26] The part (b) test is not met because at the time of the assault, the Alleged Perpetrator was not on the premises. Part (d) is not met because the [Requestor] had not yet been on the premises. More importantly, the part (e) test is not satisfied. I agree with the decision of N-10174 that the transportation of residents to and from the IRS is an activity that is connected to the operation of the IRS but the facts in this case are too remote. Fundamental to the liability coverage set out in the IAP Model is that the IRS and its employees must have been placed in a position of care and responsibility for the victim. I do not think that liability can be extended to a circumstance such as this where the [Requestor] is sexually assaulted on her own Reserve in circumstances where she is being transported to the IRS by an employee of the Government. The [Non-Student/Non-Resident Test] in general terms requires a much more direct, obvious line of responsibility betweent the IRS and the [Requestor]. This does not occur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Re-Review Adjudicator's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Requestor sought a second or "re-review", pursuing three grounds, namely that: (1) a denial of procedural fairness resulted from the the Review Adjudicator's failure to raise whether the Non-Student/Non-Resident Test was the "proper test" at a time when the Requestor's counsel could address it; (2) the Review Adjudicator erred in failing to find that at the moment she was picked up to be transported to the IRS, the Requestor became a "student" for the purposes of determining which test to apply (necessitating application of the Student/Resident Test); and (3) the Review Adjudicator erred in (a) concluding that for liability to arise, it must be shown that the Alleged Perpetrator had a contract of employment with an IRS and (b) failing to conclude that the sexual assault arose from or that its commission was connected to the operation of an IRS.</w:t>
      </w:r>
      <w:bookmarkStart w:id="163" w:name="Backward_fnref_fnr-20"/>
      <w:hyperlink w:anchor="Forward_fnref_fnr-20" w:history="1">
        <w:r>
          <w:rPr>
            <w:rFonts w:ascii="arial" w:eastAsia="arial" w:hAnsi="arial" w:cs="arial"/>
            <w:b/>
            <w:color w:val="BE161D"/>
            <w:sz w:val="20"/>
            <w:shd w:val="clear" w:color="auto" w:fill="FFFFFF"/>
            <w:vertAlign w:val="superscript"/>
            <w:lang w:val="en-US" w:eastAsia="en-US" w:bidi="ar-SA"/>
          </w:rPr>
          <w:t>20</w:t>
        </w:r>
      </w:hyperlink>
      <w:bookmarkEnd w:id="163"/>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a decision dated May 7, 2019, the Re-Review Adjudicator dismissed the application for re-review as it related to the Requestor's claim that she was raped by the Alleged Perpetrator while en route to the IRS.</w:t>
      </w:r>
      <w:bookmarkStart w:id="164" w:name="Backward_fnref_fnr-21"/>
      <w:hyperlink w:anchor="Forward_fnref_fnr-21" w:history="1">
        <w:r>
          <w:rPr>
            <w:rFonts w:ascii="arial" w:eastAsia="arial" w:hAnsi="arial" w:cs="arial"/>
            <w:b/>
            <w:color w:val="BE161D"/>
            <w:sz w:val="20"/>
            <w:shd w:val="clear" w:color="auto" w:fill="FFFFFF"/>
            <w:vertAlign w:val="superscript"/>
            <w:lang w:val="en-US" w:eastAsia="en-US" w:bidi="ar-SA"/>
          </w:rPr>
          <w:t>21</w:t>
        </w:r>
      </w:hyperlink>
      <w:bookmarkEnd w:id="164"/>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Re-Review Adjudicator essentially agreed with the Review Adjudicator's reasoning: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 The [Review Adjudicator] essentially corrected the Initial Adjudicator's decision when he held that the Claimant was not a student or resident at the time of the abuse. As a result, he applied the five-part [Non-Student/ Non-Resident Test]. The [Review Adjudicator] noted that at the time of the assault, the [Requestor] had no connection to the IRS whatsoever.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 The [Review Adjudicator] was correct in his conclusion that the [Requestor] was not a student or resident at the time of the assault. There was no evidence that she had entered the IRS or been admitted as a student. In fact, the [Requestor] had no idea that she was even going to the IRS. She was just walking along the road when she was scooped up by a strange man. The [Requestor] testified that this was the first time she met this individual. After the [Requestor] was forced into the [A] lleged [P]erpetrator's car, he stopped on a sideroad on the way to Duck Lake and perpetrated the sexual assault. He then proceeded to drop the [Requestor] off at the IRS.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[29] It would have been helpful if the Initial Adjudicator provided more thorough reasoning regarding her finding that the [Requestor] was a student or resident at the time of the abuse. There is simply no evidence to support her conclusion that the [Requestor] was a student or resident. Accordingly, the Initial Adjudicator's reasoning path was not non-existent on this pivotal point. The [Review Adjudicator] was obligated to correct the Initial Adjudicator's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Re-Review Adjudicator then set out the five-part Non-Student/Non-Resident Test and continued: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The [Review Adjudicator] agreed with the Initial Adjudicator's factual finding that the [A]lleged [P] erpetrator was not an employee of the government which operated the IRS. This is a requirement in both the three-part [Student/Resident Test] and the five-part [Non-Student/Non-Resident Test]. With both tests, the claim can still be proven even if the perpetrator is not an IRS employee. For the five-part [Non-Student/Non-Resident Test], the [Requestor] would need to prove that the perpetrator was an adult lawfully on the premises and that an adult gave the [Requestor] permission to be on the premises for the purpose of taking part in school activities.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 The Initial and [Review] Adjudicators correctly determined that the [A]lleged [P]erpetrator was not an employee of the Government which operated the IRS in question. The school documents show the Alleged Perpetrator was employed by the Federal Government through the Department of Indian and Northern Affairs to help arrange schooling for students on the reserve. He had guidance counsellor-type duties, however, he did not work at the St. Michael's IRS in any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Like the Review Adjudicator, the Re-Review Adjudicator adopted the analysis of then-Deputy Chief Adjudicator Shapiro in B-20530, holding that the parties to the IRSSA intended that for part (a) of the Non-Student/Non-Resident Test to be met where the alleged perpetrator was a federal government employee, the alleged perpetrator must have been employed at an IRS. To similar effect, the Re-Review Adjudicator adopted the decision of Deputy Chief Adjudicator Linka (acting as a Review Adjudicator) in E-10170 and his own re-review decision in S-21552.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Re-Review Adjudicator then set out his conclusion in relation to each component of the five-part Non-Student/Non-Resident Test. Like the Review Adjudicator, the Re-Review Adjudicator found that the Requestor had failed to satisfy four of the five parts comprising that test: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[36] To summarize, the [Review Adjudicator] correctly held that the [A]lleged [P]erpetrator was not an employee of the Government which operated the IRS in question. Part b) of the test, which is an alternative to part a) is not met either because at the time of the assault, the [A] lleged [P]erpetrator was not on the premises. Part c) is met because the [Requestor] was under the age of 21 at the time of the assault. Part d) is not met because the [Requestor] had not been on the IRS for any purpose, let alone taking part in school activities. Finally, part e) is not satisfied because the [Requestor] was not yet placed in the care of the IRS. The [Review Adjudicator] correctly held that liability cannot be extended to a circumstance such as this one where the [Requestor] was sexually assaulted on her own reserve in circumstances where she is being transported to the IRS by an employee of the Government. The Government employee did not work for the IRS. I agree with the [Review Adjudicator's] finding that the non-resident test requires a much more direct and obvious line of responsibility between the IRS and the Claimant.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Parties'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court had the benefit of the Requestor's main and reply submissions and Canada's responding submissions, all in writing, as well as the parties' oral submissions at the hearing of the RFD.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Requestor's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It was the Requestor's position that the three-part Student/Resident Test governed, and that it was satisfied.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 behalf of the Requestor, Mr. Omoruyi submitted that the Requestor was in Canada's custody and was therefore a "student" from the moment when the Alleged Perpetrator, a federal government employee, took control of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It was also Mr. Omoruyi's submission that although the IRSSA does not define the term "student", the parties' intentions and the meaning of the term can be gleaned from Section 12.01(2)</w:t>
      </w:r>
      <w:bookmarkStart w:id="165" w:name="Backward_fnref_fnr-22"/>
      <w:hyperlink w:anchor="Forward_fnref_fnr-22" w:history="1">
        <w:r>
          <w:rPr>
            <w:rFonts w:ascii="arial" w:eastAsia="arial" w:hAnsi="arial" w:cs="arial"/>
            <w:b/>
            <w:color w:val="BE161D"/>
            <w:sz w:val="20"/>
            <w:shd w:val="clear" w:color="auto" w:fill="FFFFFF"/>
            <w:vertAlign w:val="superscript"/>
            <w:lang w:val="en-US" w:eastAsia="en-US" w:bidi="ar-SA"/>
          </w:rPr>
          <w:t>22</w:t>
        </w:r>
      </w:hyperlink>
      <w:bookmarkEnd w:id="165"/>
      <w:r>
        <w:rPr>
          <w:rFonts w:ascii="arial" w:eastAsia="arial" w:hAnsi="arial" w:cs="arial"/>
          <w:color w:val="000000"/>
          <w:sz w:val="20"/>
          <w:lang w:val="en-US" w:eastAsia="en-US" w:bidi="ar-SA"/>
        </w:rPr>
        <w:t xml:space="preserve"> of the IRSSA (which deals with requests to add institutions to the list of IRS for the purposes of the Settlement Agreement). Section 12.01(2) is concerned with placement of children "in a residence away from the family home by or under the authority of Canada for the purposes of eduction" where "Canada was jointly or solely responsible for the operation of the residence and care of the children resident there". Mr. Omoruyi also referred to Section 12.01(3)</w:t>
      </w:r>
      <w:bookmarkStart w:id="166" w:name="Backward_fnref_fnr-23"/>
      <w:hyperlink w:anchor="Forward_fnref_fnr-23" w:history="1">
        <w:r>
          <w:rPr>
            <w:rFonts w:ascii="arial" w:eastAsia="arial" w:hAnsi="arial" w:cs="arial"/>
            <w:b/>
            <w:color w:val="BE161D"/>
            <w:sz w:val="20"/>
            <w:shd w:val="clear" w:color="auto" w:fill="FFFFFF"/>
            <w:vertAlign w:val="superscript"/>
            <w:lang w:val="en-US" w:eastAsia="en-US" w:bidi="ar-SA"/>
          </w:rPr>
          <w:t>23</w:t>
        </w:r>
      </w:hyperlink>
      <w:bookmarkEnd w:id="166"/>
      <w:r>
        <w:rPr>
          <w:rFonts w:ascii="arial" w:eastAsia="arial" w:hAnsi="arial" w:cs="arial"/>
          <w:color w:val="000000"/>
          <w:sz w:val="20"/>
          <w:lang w:val="en-US" w:eastAsia="en-US" w:bidi="ar-SA"/>
        </w:rPr>
        <w:t xml:space="preserve"> and contended that the failure of the Review Adjudicator and the Re-Review Adjudicator to find that the Requestor was a student when she was picked up by the alleged perpetrator amounted to an unauthorized amendment of the IRSSA and a failure to uphold its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reply, Mr. Omoruyi candidly conceded that if the Requestor did not become a student when she was picked up by the alleged perpetrator, she could not succeed in this RFD. In making this concession, Mr. Omoruyi explained that the Requestor cannot meet the five-part Non-Student/Non-Resident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addressing the elements of the Student/Resident Test, Mr. Omoruyi submitted that the Initial Adjudicator, the Review Adjudicator and the Re-Review Adjudicator all erred in holding that for part (a) of that test to be met in the circumstances of this case, it was necessary to show that the Alleged Perpetrator was employed at an IRS. Mr. Omoruyi submitted that in reading in the requirement that the Alleged Perpetrator be shown to have been an employee of an IRS, the adjudicators engaged in unauthorized amendment of the IRSSA and a failure to implement its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Omoruyi reminded the court that it is the responsibility of the Supervising Courts to "focus on the words of the Settlement Agreement, so that the benefits promised to the class members are delivered".</w:t>
      </w:r>
      <w:bookmarkStart w:id="167" w:name="Backward_fnref_fnr-24"/>
      <w:hyperlink w:anchor="Forward_fnref_fnr-24" w:history="1">
        <w:r>
          <w:rPr>
            <w:rFonts w:ascii="arial" w:eastAsia="arial" w:hAnsi="arial" w:cs="arial"/>
            <w:b/>
            <w:color w:val="BE161D"/>
            <w:sz w:val="20"/>
            <w:shd w:val="clear" w:color="auto" w:fill="FFFFFF"/>
            <w:vertAlign w:val="superscript"/>
            <w:lang w:val="en-US" w:eastAsia="en-US" w:bidi="ar-SA"/>
          </w:rPr>
          <w:t>24</w:t>
        </w:r>
      </w:hyperlink>
      <w:bookmarkEnd w:id="167"/>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Mr. Omoruyi submitted that the issues on this RFD transcended a mere interpretive dispute concerning the IRSSA and that the actions of the Review Adjudicator and the Re-Review Adjudicator amounted to an unauthorized amendment of the Settlement Agreement. He also disputed Canada's submission that judicial recourse is unavailable on interpretive grounds in light of the Supreme Court of Canada's decision in </w:t>
      </w:r>
      <w:r>
        <w:rPr>
          <w:rFonts w:ascii="arial" w:eastAsia="arial" w:hAnsi="arial" w:cs="arial"/>
          <w:i/>
          <w:color w:val="000000"/>
          <w:sz w:val="20"/>
          <w:lang w:val="en-US" w:eastAsia="en-US" w:bidi="ar-SA"/>
        </w:rPr>
        <w:t>J.W v. Canada (Attorney General)</w:t>
      </w:r>
      <w:r>
        <w:rPr>
          <w:rFonts w:ascii="arial" w:eastAsia="arial" w:hAnsi="arial" w:cs="arial"/>
          <w:color w:val="000000"/>
          <w:sz w:val="20"/>
          <w:lang w:val="en-US" w:eastAsia="en-US" w:bidi="ar-SA"/>
        </w:rPr>
        <w:t xml:space="preserve">, </w:t>
      </w:r>
      <w:hyperlink r:id="rId886" w:history="1">
        <w:r>
          <w:rPr>
            <w:rFonts w:ascii="arial" w:eastAsia="arial" w:hAnsi="arial" w:cs="arial"/>
            <w:i/>
            <w:color w:val="0077CC"/>
            <w:sz w:val="20"/>
            <w:u w:val="single"/>
            <w:shd w:val="clear" w:color="auto" w:fill="FFFFFF"/>
            <w:lang w:val="en-US" w:eastAsia="en-US" w:bidi="ar-SA"/>
          </w:rPr>
          <w:t>2019 SCC 20</w:t>
        </w:r>
      </w:hyperlink>
      <w:r>
        <w:rPr>
          <w:rFonts w:ascii="arial" w:eastAsia="arial" w:hAnsi="arial" w:cs="arial"/>
          <w:color w:val="000000"/>
          <w:sz w:val="20"/>
          <w:lang w:val="en-US" w:eastAsia="en-US" w:bidi="ar-SA"/>
        </w:rPr>
        <w:t>.</w:t>
      </w:r>
      <w:bookmarkStart w:id="168" w:name="Backward_fnref_fnr-25"/>
      <w:hyperlink w:anchor="Forward_fnref_fnr-25" w:history="1">
        <w:r>
          <w:rPr>
            <w:rFonts w:ascii="arial" w:eastAsia="arial" w:hAnsi="arial" w:cs="arial"/>
            <w:b/>
            <w:color w:val="BE161D"/>
            <w:sz w:val="20"/>
            <w:shd w:val="clear" w:color="auto" w:fill="FFFFFF"/>
            <w:vertAlign w:val="superscript"/>
            <w:lang w:val="en-US" w:eastAsia="en-US" w:bidi="ar-SA"/>
          </w:rPr>
          <w:t>25</w:t>
        </w:r>
      </w:hyperlink>
      <w:bookmarkEnd w:id="168"/>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relief sought by the Requestor included an order that the matter be remitted to the Chief Adjudicator for assignment of a new adjudicator, for determination in accordance with declarations that the Requestor was a student, the Student/Resident Test applied and part (a) of that test did not require that the Requestor show that the Alleged Perpetrator was an employee of an 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Importantly, the Requestor did not contend that a gap in the IRSSA arises in this case, such that the court must intervene on that basis.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Canada's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response, Ms. Coughlan submitted on behalf of Canada that the test for judicial recourse is not met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This submission had six distinct aspects.</w:t>
      </w:r>
      <w:bookmarkStart w:id="169" w:name="Backward_fnref_fnr-26"/>
      <w:hyperlink w:anchor="Forward_fnref_fnr-26" w:history="1">
        <w:r>
          <w:rPr>
            <w:rFonts w:ascii="arial" w:eastAsia="arial" w:hAnsi="arial" w:cs="arial"/>
            <w:b/>
            <w:color w:val="BE161D"/>
            <w:sz w:val="20"/>
            <w:shd w:val="clear" w:color="auto" w:fill="FFFFFF"/>
            <w:vertAlign w:val="superscript"/>
            <w:lang w:val="en-US" w:eastAsia="en-US" w:bidi="ar-SA"/>
          </w:rPr>
          <w:t>26</w:t>
        </w:r>
      </w:hyperlink>
      <w:bookmarkEnd w:id="169"/>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First</w:t>
      </w:r>
      <w:r>
        <w:rPr>
          <w:rFonts w:ascii="arial" w:eastAsia="arial" w:hAnsi="arial" w:cs="arial"/>
          <w:color w:val="000000"/>
          <w:sz w:val="20"/>
          <w:lang w:val="en-US" w:eastAsia="en-US" w:bidi="ar-SA"/>
        </w:rPr>
        <w:t xml:space="preserve">, the Requestor received what she was entitled to in accordance with the IAP's procedure (hearing, review and re-review). </w:t>
      </w:r>
      <w:r>
        <w:rPr>
          <w:rFonts w:ascii="arial" w:eastAsia="arial" w:hAnsi="arial" w:cs="arial"/>
          <w:i/>
          <w:color w:val="000000"/>
          <w:sz w:val="20"/>
          <w:lang w:val="en-US" w:eastAsia="en-US" w:bidi="ar-SA"/>
        </w:rPr>
        <w:t>Second</w:t>
      </w:r>
      <w:r>
        <w:rPr>
          <w:rFonts w:ascii="arial" w:eastAsia="arial" w:hAnsi="arial" w:cs="arial"/>
          <w:color w:val="000000"/>
          <w:sz w:val="20"/>
          <w:lang w:val="en-US" w:eastAsia="en-US" w:bidi="ar-SA"/>
        </w:rPr>
        <w:t xml:space="preserve">, the Requestor did ultimately receive an IAP award in relation to her SL1.4 claim; this is not a case in which the IAP claimant was not compensated at all. </w:t>
      </w:r>
      <w:r>
        <w:rPr>
          <w:rFonts w:ascii="arial" w:eastAsia="arial" w:hAnsi="arial" w:cs="arial"/>
          <w:i/>
          <w:color w:val="000000"/>
          <w:sz w:val="20"/>
          <w:lang w:val="en-US" w:eastAsia="en-US" w:bidi="ar-SA"/>
        </w:rPr>
        <w:t>Third</w:t>
      </w:r>
      <w:r>
        <w:rPr>
          <w:rFonts w:ascii="arial" w:eastAsia="arial" w:hAnsi="arial" w:cs="arial"/>
          <w:color w:val="000000"/>
          <w:sz w:val="20"/>
          <w:lang w:val="en-US" w:eastAsia="en-US" w:bidi="ar-SA"/>
        </w:rPr>
        <w:t xml:space="preserve">, the determination that the Requestor was not a student or resident at the time of the SL4 abuse was purely factual and within the adjudicators' exclusive domain. </w:t>
      </w:r>
      <w:r>
        <w:rPr>
          <w:rFonts w:ascii="arial" w:eastAsia="arial" w:hAnsi="arial" w:cs="arial"/>
          <w:i/>
          <w:color w:val="000000"/>
          <w:sz w:val="20"/>
          <w:lang w:val="en-US" w:eastAsia="en-US" w:bidi="ar-SA"/>
        </w:rPr>
        <w:t>Fourth</w:t>
      </w:r>
      <w:r>
        <w:rPr>
          <w:rFonts w:ascii="arial" w:eastAsia="arial" w:hAnsi="arial" w:cs="arial"/>
          <w:color w:val="000000"/>
          <w:sz w:val="20"/>
          <w:lang w:val="en-US" w:eastAsia="en-US" w:bidi="ar-SA"/>
        </w:rPr>
        <w:t xml:space="preserve"> (and this flows from the finding that the Requestor was neither a student nor a resident), the Non-Student/Non-Resident Test was properly indentified and applied. </w:t>
      </w:r>
      <w:r>
        <w:rPr>
          <w:rFonts w:ascii="arial" w:eastAsia="arial" w:hAnsi="arial" w:cs="arial"/>
          <w:i/>
          <w:color w:val="000000"/>
          <w:sz w:val="20"/>
          <w:lang w:val="en-US" w:eastAsia="en-US" w:bidi="ar-SA"/>
        </w:rPr>
        <w:t>Fifth</w:t>
      </w:r>
      <w:r>
        <w:rPr>
          <w:rFonts w:ascii="arial" w:eastAsia="arial" w:hAnsi="arial" w:cs="arial"/>
          <w:color w:val="000000"/>
          <w:sz w:val="20"/>
          <w:lang w:val="en-US" w:eastAsia="en-US" w:bidi="ar-SA"/>
        </w:rPr>
        <w:t xml:space="preserve">, interpretive questions provide no basis for judicial recourse. </w:t>
      </w:r>
      <w:r>
        <w:rPr>
          <w:rFonts w:ascii="arial" w:eastAsia="arial" w:hAnsi="arial" w:cs="arial"/>
          <w:i/>
          <w:color w:val="000000"/>
          <w:sz w:val="20"/>
          <w:lang w:val="en-US" w:eastAsia="en-US" w:bidi="ar-SA"/>
        </w:rPr>
        <w:t>Sixth</w:t>
      </w:r>
      <w:r>
        <w:rPr>
          <w:rFonts w:ascii="arial" w:eastAsia="arial" w:hAnsi="arial" w:cs="arial"/>
          <w:color w:val="000000"/>
          <w:sz w:val="20"/>
          <w:lang w:val="en-US" w:eastAsia="en-US" w:bidi="ar-SA"/>
        </w:rPr>
        <w:t xml:space="preserve">, there is no procedural gap in this case as there was in </w:t>
      </w:r>
      <w:r>
        <w:rPr>
          <w:rFonts w:ascii="arial" w:eastAsia="arial" w:hAnsi="arial" w:cs="arial"/>
          <w:i/>
          <w:color w:val="000000"/>
          <w:sz w:val="20"/>
          <w:lang w:val="en-US" w:eastAsia="en-US" w:bidi="ar-SA"/>
        </w:rPr>
        <w:t>J.W.</w:t>
      </w:r>
      <w:r>
        <w:rPr>
          <w:rFonts w:ascii="arial" w:eastAsia="arial" w:hAnsi="arial" w:cs="arial"/>
          <w:color w:val="000000"/>
          <w:sz w:val="20"/>
          <w:lang w:val="en-US" w:eastAsia="en-US" w:bidi="ar-SA"/>
        </w:rPr>
        <w:t>, and so there is no basis for intervening on that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Ms. Coughlan pointed out that this court has previously dismissed an RFD where the same interpretation of part (a) (albeit of the Student/Resident Test, which is identical in this respect) was at issue. In that case, the court found that there was "nothing exceptionally unreasonable" about the adjudicator's interpretation.</w:t>
      </w:r>
      <w:bookmarkStart w:id="170" w:name="Backward_fnref_fnr-27"/>
      <w:hyperlink w:anchor="Forward_fnref_fnr-27" w:history="1">
        <w:r>
          <w:rPr>
            <w:rFonts w:ascii="arial" w:eastAsia="arial" w:hAnsi="arial" w:cs="arial"/>
            <w:b/>
            <w:color w:val="BE161D"/>
            <w:sz w:val="20"/>
            <w:shd w:val="clear" w:color="auto" w:fill="FFFFFF"/>
            <w:vertAlign w:val="superscript"/>
            <w:lang w:val="en-US" w:eastAsia="en-US" w:bidi="ar-SA"/>
          </w:rPr>
          <w:t>27</w:t>
        </w:r>
      </w:hyperlink>
      <w:bookmarkEnd w:id="170"/>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response to a question from the court, Ms. Coughlan conceded that the Requestor was within Canada's control once she was picked up by the Alleged Perpetrator (and therefore at the time of the sexual assault), but submitted that the fact of being within Canada's control did not make her a student.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Ms. Coughlan further submitted that the Initial Adjudicator erred in applying the Student/Resident Test (the test that the Requestor urged the court to apply) but that this error was corrected on review (where the Non-Student/Non-Resident Test was applied) and the correction was upheld on re-review.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It was Ms. Coughlan's submission that ultimately, the Requestor failed to meet four of the five parts of the Non-Student/Non-Resident Test. In making this submission, she described as "rooted in plain language" the three adjudicators' determinations that to meet part (a) of the test, it had to be shown that the Alleged Perpetrator had an employment relationship with an IRS. Ms. Coughlan also submitted that this interpretation gave meaning to part (a)'s concluding phrase "it does not matter whether their contract of employment was </w:t>
      </w:r>
      <w:r>
        <w:rPr>
          <w:rFonts w:ascii="arial" w:eastAsia="arial" w:hAnsi="arial" w:cs="arial"/>
          <w:color w:val="000000"/>
          <w:sz w:val="20"/>
          <w:u w:val="single"/>
          <w:lang w:val="en-US" w:eastAsia="en-US" w:bidi="ar-SA"/>
        </w:rPr>
        <w:t>at that IRS</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In addressing the appellate guidance on judicial recourse, Ms. Coughlan submitted that the British Columbia Court of Appeal's decision in </w:t>
      </w:r>
      <w:r>
        <w:rPr>
          <w:rFonts w:ascii="arial" w:eastAsia="arial" w:hAnsi="arial" w:cs="arial"/>
          <w:i/>
          <w:color w:val="000000"/>
          <w:sz w:val="20"/>
          <w:lang w:val="en-US" w:eastAsia="en-US" w:bidi="ar-SA"/>
        </w:rPr>
        <w:t>Brown v. Canada (Attorney General)</w:t>
      </w:r>
      <w:r>
        <w:rPr>
          <w:rFonts w:ascii="arial" w:eastAsia="arial" w:hAnsi="arial" w:cs="arial"/>
          <w:color w:val="000000"/>
          <w:sz w:val="20"/>
          <w:lang w:val="en-US" w:eastAsia="en-US" w:bidi="ar-SA"/>
        </w:rPr>
        <w:t xml:space="preserve">, </w:t>
      </w:r>
      <w:hyperlink r:id="rId887" w:history="1">
        <w:r>
          <w:rPr>
            <w:rFonts w:ascii="arial" w:eastAsia="arial" w:hAnsi="arial" w:cs="arial"/>
            <w:i/>
            <w:color w:val="0077CC"/>
            <w:sz w:val="20"/>
            <w:u w:val="single"/>
            <w:shd w:val="clear" w:color="auto" w:fill="FFFFFF"/>
            <w:lang w:val="en-US" w:eastAsia="en-US" w:bidi="ar-SA"/>
          </w:rPr>
          <w:t>2019 BCCA 245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requires that the court undertake the analysis applying the principles set out in both the </w:t>
      </w:r>
      <w:r>
        <w:rPr>
          <w:rFonts w:ascii="arial" w:eastAsia="arial" w:hAnsi="arial" w:cs="arial"/>
          <w:i/>
          <w:color w:val="000000"/>
          <w:sz w:val="20"/>
          <w:lang w:val="en-US" w:eastAsia="en-US" w:bidi="ar-SA"/>
        </w:rPr>
        <w:t>J.W</w:t>
      </w:r>
      <w:r>
        <w:rPr>
          <w:rFonts w:ascii="arial" w:eastAsia="arial" w:hAnsi="arial" w:cs="arial"/>
          <w:color w:val="000000"/>
          <w:sz w:val="20"/>
          <w:lang w:val="en-US" w:eastAsia="en-US" w:bidi="ar-SA"/>
        </w:rPr>
        <w:t xml:space="preserve">. case and also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itself, as the court did in </w:t>
      </w:r>
      <w:r>
        <w:rPr>
          <w:rFonts w:ascii="arial" w:eastAsia="arial" w:hAnsi="arial" w:cs="arial"/>
          <w:i/>
          <w:color w:val="000000"/>
          <w:sz w:val="20"/>
          <w:lang w:val="en-US" w:eastAsia="en-US" w:bidi="ar-SA"/>
        </w:rPr>
        <w:t>Fontaine v. Canada (Attorney General)</w:t>
      </w:r>
      <w:r>
        <w:rPr>
          <w:rFonts w:ascii="arial" w:eastAsia="arial" w:hAnsi="arial" w:cs="arial"/>
          <w:color w:val="000000"/>
          <w:sz w:val="20"/>
          <w:lang w:val="en-US" w:eastAsia="en-US" w:bidi="ar-SA"/>
        </w:rPr>
        <w:t>, 2019 BCSC 1431 ("</w:t>
      </w:r>
      <w:r>
        <w:rPr>
          <w:rFonts w:ascii="arial" w:eastAsia="arial" w:hAnsi="arial" w:cs="arial"/>
          <w:b/>
          <w:i/>
          <w:color w:val="000000"/>
          <w:sz w:val="20"/>
          <w:lang w:val="en-US" w:eastAsia="en-US" w:bidi="ar-SA"/>
        </w:rPr>
        <w:t>Fontaine 2019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Canada sought dismissal of the RFD.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Fontaine 2019</w:t>
      </w:r>
      <w:r>
        <w:rPr>
          <w:rFonts w:ascii="arial" w:eastAsia="arial" w:hAnsi="arial" w:cs="arial"/>
          <w:color w:val="000000"/>
          <w:sz w:val="20"/>
          <w:lang w:val="en-US" w:eastAsia="en-US" w:bidi="ar-SA"/>
        </w:rPr>
        <w:t xml:space="preserve"> this court analyzed the scope of judicial recourse in light of the Supreme Court of Canada's decision in </w:t>
      </w:r>
      <w:r>
        <w:rPr>
          <w:rFonts w:ascii="arial" w:eastAsia="arial" w:hAnsi="arial" w:cs="arial"/>
          <w:i/>
          <w:color w:val="000000"/>
          <w:sz w:val="20"/>
          <w:lang w:val="en-US" w:eastAsia="en-US" w:bidi="ar-SA"/>
        </w:rPr>
        <w:t>J.W</w:t>
      </w:r>
      <w:r>
        <w:rPr>
          <w:rFonts w:ascii="arial" w:eastAsia="arial" w:hAnsi="arial" w:cs="arial"/>
          <w:color w:val="000000"/>
          <w:sz w:val="20"/>
          <w:lang w:val="en-US" w:eastAsia="en-US" w:bidi="ar-SA"/>
        </w:rPr>
        <w:t xml:space="preserve">. and the subsequent decisions of the British Columbia Court of Appeal in </w:t>
      </w:r>
      <w:r>
        <w:rPr>
          <w:rFonts w:ascii="arial" w:eastAsia="arial" w:hAnsi="arial" w:cs="arial"/>
          <w:i/>
          <w:color w:val="000000"/>
          <w:sz w:val="20"/>
          <w:lang w:val="en-US" w:eastAsia="en-US" w:bidi="ar-SA"/>
        </w:rPr>
        <w:t>Fontaine v. Canada (Attorney General)</w:t>
      </w:r>
      <w:r>
        <w:rPr>
          <w:rFonts w:ascii="arial" w:eastAsia="arial" w:hAnsi="arial" w:cs="arial"/>
          <w:color w:val="000000"/>
          <w:sz w:val="20"/>
          <w:lang w:val="en-US" w:eastAsia="en-US" w:bidi="ar-SA"/>
        </w:rPr>
        <w:t xml:space="preserve">, </w:t>
      </w:r>
      <w:hyperlink r:id="rId888" w:history="1">
        <w:r>
          <w:rPr>
            <w:rFonts w:ascii="arial" w:eastAsia="arial" w:hAnsi="arial" w:cs="arial"/>
            <w:i/>
            <w:color w:val="0077CC"/>
            <w:sz w:val="20"/>
            <w:u w:val="single"/>
            <w:shd w:val="clear" w:color="auto" w:fill="FFFFFF"/>
            <w:lang w:val="en-US" w:eastAsia="en-US" w:bidi="ar-SA"/>
          </w:rPr>
          <w:t>2019 BCCA 178</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Scout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Brown v. Canada (Attorney General)</w:t>
      </w:r>
      <w:r>
        <w:rPr>
          <w:rFonts w:ascii="arial" w:eastAsia="arial" w:hAnsi="arial" w:cs="arial"/>
          <w:color w:val="000000"/>
          <w:sz w:val="20"/>
          <w:lang w:val="en-US" w:eastAsia="en-US" w:bidi="ar-SA"/>
        </w:rPr>
        <w:t xml:space="preserve">, </w:t>
      </w:r>
      <w:hyperlink r:id="rId887" w:history="1">
        <w:r>
          <w:rPr>
            <w:rFonts w:ascii="arial" w:eastAsia="arial" w:hAnsi="arial" w:cs="arial"/>
            <w:i/>
            <w:color w:val="0077CC"/>
            <w:sz w:val="20"/>
            <w:u w:val="single"/>
            <w:shd w:val="clear" w:color="auto" w:fill="FFFFFF"/>
            <w:lang w:val="en-US" w:eastAsia="en-US" w:bidi="ar-SA"/>
          </w:rPr>
          <w:t>2019 BCCA 245</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Fontaine v. Canada (Attorney General)</w:t>
      </w:r>
      <w:r>
        <w:rPr>
          <w:rFonts w:ascii="arial" w:eastAsia="arial" w:hAnsi="arial" w:cs="arial"/>
          <w:color w:val="000000"/>
          <w:sz w:val="20"/>
          <w:lang w:val="en-US" w:eastAsia="en-US" w:bidi="ar-SA"/>
        </w:rPr>
        <w:t xml:space="preserve">, </w:t>
      </w:r>
      <w:hyperlink r:id="rId889" w:history="1">
        <w:r>
          <w:rPr>
            <w:rFonts w:ascii="arial" w:eastAsia="arial" w:hAnsi="arial" w:cs="arial"/>
            <w:i/>
            <w:color w:val="0077CC"/>
            <w:sz w:val="20"/>
            <w:u w:val="single"/>
            <w:shd w:val="clear" w:color="auto" w:fill="FFFFFF"/>
            <w:lang w:val="en-US" w:eastAsia="en-US" w:bidi="ar-SA"/>
          </w:rPr>
          <w:t>2019 BCCA 246</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Prince Albert IRS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Independent Counsel v. Fontaine</w:t>
      </w:r>
      <w:r>
        <w:rPr>
          <w:rFonts w:ascii="arial" w:eastAsia="arial" w:hAnsi="arial" w:cs="arial"/>
          <w:color w:val="000000"/>
          <w:sz w:val="20"/>
          <w:lang w:val="en-US" w:eastAsia="en-US" w:bidi="ar-SA"/>
        </w:rPr>
        <w:t xml:space="preserve">, </w:t>
      </w:r>
      <w:hyperlink r:id="rId890" w:history="1">
        <w:r>
          <w:rPr>
            <w:rFonts w:ascii="arial" w:eastAsia="arial" w:hAnsi="arial" w:cs="arial"/>
            <w:i/>
            <w:color w:val="0077CC"/>
            <w:sz w:val="20"/>
            <w:u w:val="single"/>
            <w:shd w:val="clear" w:color="auto" w:fill="FFFFFF"/>
            <w:lang w:val="en-US" w:eastAsia="en-US" w:bidi="ar-SA"/>
          </w:rPr>
          <w:t>2019 BCCA 269</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National Administration Committee v. Canada (Attorney General)</w:t>
      </w:r>
      <w:r>
        <w:rPr>
          <w:rFonts w:ascii="arial" w:eastAsia="arial" w:hAnsi="arial" w:cs="arial"/>
          <w:color w:val="000000"/>
          <w:sz w:val="20"/>
          <w:lang w:val="en-US" w:eastAsia="en-US" w:bidi="ar-SA"/>
        </w:rPr>
        <w:t xml:space="preserve">, </w:t>
      </w:r>
      <w:hyperlink r:id="rId891" w:history="1">
        <w:r>
          <w:rPr>
            <w:rFonts w:ascii="arial" w:eastAsia="arial" w:hAnsi="arial" w:cs="arial"/>
            <w:i/>
            <w:color w:val="0077CC"/>
            <w:sz w:val="20"/>
            <w:u w:val="single"/>
            <w:shd w:val="clear" w:color="auto" w:fill="FFFFFF"/>
            <w:lang w:val="en-US" w:eastAsia="en-US" w:bidi="ar-SA"/>
          </w:rPr>
          <w:t>2019 BCCA 270</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National Administration Committee</w:t>
      </w:r>
      <w:r>
        <w:rPr>
          <w:rFonts w:ascii="arial" w:eastAsia="arial" w:hAnsi="arial" w:cs="arial"/>
          <w:color w:val="000000"/>
          <w:sz w:val="20"/>
          <w:lang w:val="en-US" w:eastAsia="en-US" w:bidi="ar-SA"/>
        </w:rPr>
        <w:t>").</w:t>
      </w:r>
      <w:bookmarkStart w:id="171" w:name="Backward_fnref_fnr-28"/>
      <w:hyperlink w:anchor="Forward_fnref_fnr-28" w:history="1">
        <w:r>
          <w:rPr>
            <w:rFonts w:ascii="arial" w:eastAsia="arial" w:hAnsi="arial" w:cs="arial"/>
            <w:b/>
            <w:color w:val="BE161D"/>
            <w:sz w:val="20"/>
            <w:shd w:val="clear" w:color="auto" w:fill="FFFFFF"/>
            <w:vertAlign w:val="superscript"/>
            <w:lang w:val="en-US" w:eastAsia="en-US" w:bidi="ar-SA"/>
          </w:rPr>
          <w:t>28</w:t>
        </w:r>
      </w:hyperlink>
      <w:bookmarkEnd w:id="171"/>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principles derived from that analysis can be summarized as follows:</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Applying the </w:t>
      </w:r>
      <w:r>
        <w:rPr>
          <w:rFonts w:ascii="arial" w:eastAsia="arial" w:hAnsi="arial" w:cs="arial"/>
          <w:i/>
          <w:color w:val="000000"/>
          <w:sz w:val="20"/>
          <w:lang w:val="en-US" w:eastAsia="en-US" w:bidi="ar-SA"/>
        </w:rPr>
        <w:t>Schachter</w:t>
      </w:r>
      <w:r>
        <w:rPr>
          <w:rFonts w:ascii="arial" w:eastAsia="arial" w:hAnsi="arial" w:cs="arial"/>
          <w:color w:val="000000"/>
          <w:sz w:val="20"/>
          <w:lang w:val="en-US" w:eastAsia="en-US" w:bidi="ar-SA"/>
        </w:rPr>
        <w:t xml:space="preserve"> line of cases,</w:t>
      </w:r>
      <w:bookmarkStart w:id="172" w:name="Backward_fnref_fnr-29"/>
      <w:hyperlink w:anchor="Forward_fnref_fnr-29" w:history="1">
        <w:r>
          <w:rPr>
            <w:rFonts w:ascii="arial" w:eastAsia="arial" w:hAnsi="arial" w:cs="arial"/>
            <w:b/>
            <w:color w:val="BE161D"/>
            <w:sz w:val="20"/>
            <w:shd w:val="clear" w:color="auto" w:fill="FFFFFF"/>
            <w:vertAlign w:val="superscript"/>
            <w:lang w:val="en-US" w:eastAsia="en-US" w:bidi="ar-SA"/>
          </w:rPr>
          <w:t>29</w:t>
        </w:r>
      </w:hyperlink>
      <w:bookmarkEnd w:id="172"/>
      <w:r>
        <w:rPr>
          <w:rFonts w:ascii="arial" w:eastAsia="arial" w:hAnsi="arial" w:cs="arial"/>
          <w:color w:val="000000"/>
          <w:sz w:val="20"/>
          <w:lang w:val="en-US" w:eastAsia="en-US" w:bidi="ar-SA"/>
        </w:rPr>
        <w:t xml:space="preserve"> and upholding its high threshold for judicial intervention in IAP cases, the Supreme Court of Canada held in </w:t>
      </w:r>
      <w:r>
        <w:rPr>
          <w:rFonts w:ascii="arial" w:eastAsia="arial" w:hAnsi="arial" w:cs="arial"/>
          <w:i/>
          <w:color w:val="000000"/>
          <w:sz w:val="20"/>
          <w:lang w:val="en-US" w:eastAsia="en-US" w:bidi="ar-SA"/>
        </w:rPr>
        <w:t>J.W</w:t>
      </w:r>
      <w:r>
        <w:rPr>
          <w:rFonts w:ascii="arial" w:eastAsia="arial" w:hAnsi="arial" w:cs="arial"/>
          <w:color w:val="000000"/>
          <w:sz w:val="20"/>
          <w:lang w:val="en-US" w:eastAsia="en-US" w:bidi="ar-SA"/>
        </w:rPr>
        <w:t>. that a Supervising Judge should only intervene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judicial recourse is only available) where there is a failure to apply or implement the terms of the IRSSA and the IAP Model or (as held by a minority of the court) where there is a gap in the IRSSA's provisions;</w:t>
      </w:r>
      <w:bookmarkStart w:id="173" w:name="Backward_fnref_fnr-30"/>
      <w:hyperlink w:anchor="Forward_fnref_fnr-30" w:history="1">
        <w:r>
          <w:rPr>
            <w:rFonts w:ascii="arial" w:eastAsia="arial" w:hAnsi="arial" w:cs="arial"/>
            <w:b/>
            <w:color w:val="BE161D"/>
            <w:sz w:val="20"/>
            <w:shd w:val="clear" w:color="auto" w:fill="FFFFFF"/>
            <w:vertAlign w:val="superscript"/>
            <w:lang w:val="en-US" w:eastAsia="en-US" w:bidi="ar-SA"/>
          </w:rPr>
          <w:t>30</w:t>
        </w:r>
      </w:hyperlink>
      <w:bookmarkEnd w:id="173"/>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in </w:t>
      </w:r>
      <w:r>
        <w:rPr>
          <w:rFonts w:ascii="arial" w:eastAsia="arial" w:hAnsi="arial" w:cs="arial"/>
          <w:i/>
          <w:color w:val="000000"/>
          <w:sz w:val="20"/>
          <w:lang w:val="en-US" w:eastAsia="en-US" w:bidi="ar-SA"/>
        </w:rPr>
        <w:t>J.W</w:t>
      </w:r>
      <w:r>
        <w:rPr>
          <w:rFonts w:ascii="arial" w:eastAsia="arial" w:hAnsi="arial" w:cs="arial"/>
          <w:color w:val="000000"/>
          <w:sz w:val="20"/>
          <w:lang w:val="en-US" w:eastAsia="en-US" w:bidi="ar-SA"/>
        </w:rPr>
        <w:t>. unanimously held that disagreement with the result does not constitute a failure to apply or enforce the IRSSA, and that the Courts must not usurp the role of IAP adjudicators;</w:t>
      </w:r>
      <w:bookmarkStart w:id="174" w:name="Backward_fnref_fnr-31"/>
      <w:hyperlink w:anchor="Forward_fnref_fnr-31" w:history="1">
        <w:r>
          <w:rPr>
            <w:rFonts w:ascii="arial" w:eastAsia="arial" w:hAnsi="arial" w:cs="arial"/>
            <w:b/>
            <w:color w:val="BE161D"/>
            <w:sz w:val="20"/>
            <w:shd w:val="clear" w:color="auto" w:fill="FFFFFF"/>
            <w:vertAlign w:val="superscript"/>
            <w:lang w:val="en-US" w:eastAsia="en-US" w:bidi="ar-SA"/>
          </w:rPr>
          <w:t>31</w:t>
        </w:r>
      </w:hyperlink>
      <w:bookmarkEnd w:id="174"/>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Four of the seven judges who heard the appeal in </w:t>
      </w:r>
      <w:r>
        <w:rPr>
          <w:rFonts w:ascii="arial" w:eastAsia="arial" w:hAnsi="arial" w:cs="arial"/>
          <w:i/>
          <w:color w:val="000000"/>
          <w:sz w:val="20"/>
          <w:lang w:val="en-US" w:eastAsia="en-US" w:bidi="ar-SA"/>
        </w:rPr>
        <w:t>J.W</w:t>
      </w:r>
      <w:r>
        <w:rPr>
          <w:rFonts w:ascii="arial" w:eastAsia="arial" w:hAnsi="arial" w:cs="arial"/>
          <w:color w:val="000000"/>
          <w:sz w:val="20"/>
          <w:lang w:val="en-US" w:eastAsia="en-US" w:bidi="ar-SA"/>
        </w:rPr>
        <w:t>. held that judicial recourse does not extend to questions of interpretation of the IRSSA and the IAP Model, and that adjudicators have exclusive jurisdiction to interpret the IAP;</w:t>
      </w:r>
      <w:bookmarkStart w:id="175" w:name="Backward_fnref_fnr-32"/>
      <w:hyperlink w:anchor="Forward_fnref_fnr-32" w:history="1">
        <w:r>
          <w:rPr>
            <w:rFonts w:ascii="arial" w:eastAsia="arial" w:hAnsi="arial" w:cs="arial"/>
            <w:b/>
            <w:color w:val="BE161D"/>
            <w:sz w:val="20"/>
            <w:shd w:val="clear" w:color="auto" w:fill="FFFFFF"/>
            <w:vertAlign w:val="superscript"/>
            <w:lang w:val="en-US" w:eastAsia="en-US" w:bidi="ar-SA"/>
          </w:rPr>
          <w:t>32</w:t>
        </w:r>
      </w:hyperlink>
      <w:bookmarkEnd w:id="175"/>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Four of the seven judges who heard the appeal in </w:t>
      </w:r>
      <w:r>
        <w:rPr>
          <w:rFonts w:ascii="arial" w:eastAsia="arial" w:hAnsi="arial" w:cs="arial"/>
          <w:i/>
          <w:color w:val="000000"/>
          <w:sz w:val="20"/>
          <w:lang w:val="en-US" w:eastAsia="en-US" w:bidi="ar-SA"/>
        </w:rPr>
        <w:t>J.W</w:t>
      </w:r>
      <w:r>
        <w:rPr>
          <w:rFonts w:ascii="arial" w:eastAsia="arial" w:hAnsi="arial" w:cs="arial"/>
          <w:color w:val="000000"/>
          <w:sz w:val="20"/>
          <w:lang w:val="en-US" w:eastAsia="en-US" w:bidi="ar-SA"/>
        </w:rPr>
        <w:t>. also affirmed the approach taken by the Manitoba Court of Appeal in that case, holding that "as long as it can be said that an adjudicator has turned his or her mind to the compensation category raised by the claimant, then the adjudicator has applied the terms of the IRSSA" and that "it must be accepted that an adjudicator who has interpreted these terms, even if a court considers the interpretation unreasonable, has not failed to apply the terms;"</w:t>
      </w:r>
      <w:bookmarkStart w:id="176" w:name="Backward_fnref_fnr-33"/>
      <w:hyperlink w:anchor="Forward_fnref_fnr-33" w:history="1">
        <w:r>
          <w:rPr>
            <w:rFonts w:ascii="arial" w:eastAsia="arial" w:hAnsi="arial" w:cs="arial"/>
            <w:b/>
            <w:color w:val="BE161D"/>
            <w:sz w:val="20"/>
            <w:shd w:val="clear" w:color="auto" w:fill="FFFFFF"/>
            <w:vertAlign w:val="superscript"/>
            <w:lang w:val="en-US" w:eastAsia="en-US" w:bidi="ar-SA"/>
          </w:rPr>
          <w:t>33</w:t>
        </w:r>
      </w:hyperlink>
      <w:bookmarkEnd w:id="176"/>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Scout</w:t>
      </w:r>
      <w:r>
        <w:rPr>
          <w:rFonts w:ascii="arial" w:eastAsia="arial" w:hAnsi="arial" w:cs="arial"/>
          <w:color w:val="000000"/>
          <w:sz w:val="20"/>
          <w:lang w:val="en-US" w:eastAsia="en-US" w:bidi="ar-SA"/>
        </w:rPr>
        <w:t>, the British Columbia Court of Appeal accepted that Justice Côté's reasons "appear to express the view of the majority concerning the basis of the Court's supervisory jurisdiction under the Agreement and the nature of RFDs";</w:t>
      </w:r>
      <w:bookmarkStart w:id="177" w:name="Backward_fnref_fnr-34"/>
      <w:hyperlink w:anchor="Forward_fnref_fnr-34" w:history="1">
        <w:r>
          <w:rPr>
            <w:rFonts w:ascii="arial" w:eastAsia="arial" w:hAnsi="arial" w:cs="arial"/>
            <w:b/>
            <w:color w:val="BE161D"/>
            <w:sz w:val="20"/>
            <w:shd w:val="clear" w:color="auto" w:fill="FFFFFF"/>
            <w:vertAlign w:val="superscript"/>
            <w:lang w:val="en-US" w:eastAsia="en-US" w:bidi="ar-SA"/>
          </w:rPr>
          <w:t>34</w:t>
        </w:r>
      </w:hyperlink>
      <w:bookmarkEnd w:id="177"/>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However, in </w:t>
      </w:r>
      <w:r>
        <w:rPr>
          <w:rFonts w:ascii="arial" w:eastAsia="arial" w:hAnsi="arial" w:cs="arial"/>
          <w:i/>
          <w:color w:val="000000"/>
          <w:sz w:val="20"/>
          <w:lang w:val="en-US" w:eastAsia="en-US" w:bidi="ar-SA"/>
        </w:rPr>
        <w:t>Brown</w:t>
      </w:r>
      <w:bookmarkStart w:id="178" w:name="Backward_fnref_fnr-35"/>
      <w:hyperlink w:anchor="Forward_fnref_fnr-35" w:history="1">
        <w:r>
          <w:rPr>
            <w:rFonts w:ascii="arial" w:eastAsia="arial" w:hAnsi="arial" w:cs="arial"/>
            <w:b/>
            <w:color w:val="BE161D"/>
            <w:sz w:val="20"/>
            <w:shd w:val="clear" w:color="auto" w:fill="FFFFFF"/>
            <w:vertAlign w:val="superscript"/>
            <w:lang w:val="en-US" w:eastAsia="en-US" w:bidi="ar-SA"/>
          </w:rPr>
          <w:t>35</w:t>
        </w:r>
      </w:hyperlink>
      <w:bookmarkEnd w:id="178"/>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Prince Albert IRS</w:t>
      </w:r>
      <w:r>
        <w:rPr>
          <w:rFonts w:ascii="arial" w:eastAsia="arial" w:hAnsi="arial" w:cs="arial"/>
          <w:color w:val="000000"/>
          <w:sz w:val="20"/>
          <w:lang w:val="en-US" w:eastAsia="en-US" w:bidi="ar-SA"/>
        </w:rPr>
        <w:t>,</w:t>
      </w:r>
      <w:bookmarkStart w:id="179" w:name="Backward_fnref_fnr-36"/>
      <w:hyperlink w:anchor="Forward_fnref_fnr-36" w:history="1">
        <w:r>
          <w:rPr>
            <w:rFonts w:ascii="arial" w:eastAsia="arial" w:hAnsi="arial" w:cs="arial"/>
            <w:b/>
            <w:color w:val="BE161D"/>
            <w:sz w:val="20"/>
            <w:shd w:val="clear" w:color="auto" w:fill="FFFFFF"/>
            <w:vertAlign w:val="superscript"/>
            <w:lang w:val="en-US" w:eastAsia="en-US" w:bidi="ar-SA"/>
          </w:rPr>
          <w:t>36</w:t>
        </w:r>
      </w:hyperlink>
      <w:bookmarkEnd w:id="179"/>
      <w:r>
        <w:rPr>
          <w:rFonts w:ascii="arial" w:eastAsia="arial" w:hAnsi="arial" w:cs="arial"/>
          <w:color w:val="000000"/>
          <w:sz w:val="20"/>
          <w:lang w:val="en-US" w:eastAsia="en-US" w:bidi="ar-SA"/>
        </w:rPr>
        <w:t xml:space="preserve"> the Court of Appeal rejected the proposition that in </w:t>
      </w:r>
      <w:r>
        <w:rPr>
          <w:rFonts w:ascii="arial" w:eastAsia="arial" w:hAnsi="arial" w:cs="arial"/>
          <w:i/>
          <w:color w:val="000000"/>
          <w:sz w:val="20"/>
          <w:lang w:val="en-US" w:eastAsia="en-US" w:bidi="ar-SA"/>
        </w:rPr>
        <w:t>J.W.</w:t>
      </w:r>
      <w:r>
        <w:rPr>
          <w:rFonts w:ascii="arial" w:eastAsia="arial" w:hAnsi="arial" w:cs="arial"/>
          <w:color w:val="000000"/>
          <w:sz w:val="20"/>
          <w:lang w:val="en-US" w:eastAsia="en-US" w:bidi="ar-SA"/>
        </w:rPr>
        <w:t xml:space="preserve">, the Supreme Court of Canada established a scope for judicial recourse that is narrower or substantially different from the test established in </w:t>
      </w:r>
      <w:r>
        <w:rPr>
          <w:rFonts w:ascii="arial" w:eastAsia="arial" w:hAnsi="arial" w:cs="arial"/>
          <w:i/>
          <w:color w:val="000000"/>
          <w:sz w:val="20"/>
          <w:lang w:val="en-US" w:eastAsia="en-US" w:bidi="ar-SA"/>
        </w:rPr>
        <w:t>Shachter</w:t>
      </w:r>
      <w:r>
        <w:rPr>
          <w:rFonts w:ascii="arial" w:eastAsia="arial" w:hAnsi="arial" w:cs="arial"/>
          <w:color w:val="000000"/>
          <w:sz w:val="20"/>
          <w:lang w:val="en-US" w:eastAsia="en-US" w:bidi="ar-SA"/>
        </w:rPr>
        <w:t xml:space="preserve"> and further articulated in </w:t>
      </w:r>
      <w:r>
        <w:rPr>
          <w:rFonts w:ascii="arial" w:eastAsia="arial" w:hAnsi="arial" w:cs="arial"/>
          <w:i/>
          <w:color w:val="000000"/>
          <w:sz w:val="20"/>
          <w:lang w:val="en-US" w:eastAsia="en-US" w:bidi="ar-SA"/>
        </w:rPr>
        <w:t>Spanish IRS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N.N</w:t>
      </w:r>
      <w:r>
        <w:rPr>
          <w:rFonts w:ascii="arial" w:eastAsia="arial" w:hAnsi="arial" w:cs="arial"/>
          <w:color w:val="000000"/>
          <w:sz w:val="20"/>
          <w:lang w:val="en-US" w:eastAsia="en-US" w:bidi="ar-SA"/>
        </w:rPr>
        <w:t>.; and</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Likewise, in </w:t>
      </w:r>
      <w:r>
        <w:rPr>
          <w:rFonts w:ascii="arial" w:eastAsia="arial" w:hAnsi="arial" w:cs="arial"/>
          <w:i/>
          <w:color w:val="000000"/>
          <w:sz w:val="20"/>
          <w:lang w:val="en-US" w:eastAsia="en-US" w:bidi="ar-SA"/>
        </w:rPr>
        <w:t>National Administration Committee</w:t>
      </w:r>
      <w:r>
        <w:rPr>
          <w:rFonts w:ascii="arial" w:eastAsia="arial" w:hAnsi="arial" w:cs="arial"/>
          <w:color w:val="000000"/>
          <w:sz w:val="20"/>
          <w:lang w:val="en-US" w:eastAsia="en-US" w:bidi="ar-SA"/>
        </w:rPr>
        <w:t>, the Court of Appeal held that while judicial recourse is available in limited circumstances, "[t]he exact bounds of those circumstances remain somewhat uncertain."</w:t>
      </w:r>
      <w:bookmarkStart w:id="180" w:name="Backward_fnref_fnr-37"/>
      <w:hyperlink w:anchor="Forward_fnref_fnr-37" w:history="1">
        <w:r>
          <w:rPr>
            <w:rFonts w:ascii="arial" w:eastAsia="arial" w:hAnsi="arial" w:cs="arial"/>
            <w:b/>
            <w:color w:val="BE161D"/>
            <w:sz w:val="20"/>
            <w:shd w:val="clear" w:color="auto" w:fill="FFFFFF"/>
            <w:vertAlign w:val="superscript"/>
            <w:lang w:val="en-US" w:eastAsia="en-US" w:bidi="ar-SA"/>
          </w:rPr>
          <w:t>37</w:t>
        </w:r>
      </w:hyperlink>
      <w:bookmarkEnd w:id="180"/>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As was the case in </w:t>
      </w:r>
      <w:r>
        <w:rPr>
          <w:rFonts w:ascii="arial" w:eastAsia="arial" w:hAnsi="arial" w:cs="arial"/>
          <w:i/>
          <w:color w:val="000000"/>
          <w:sz w:val="20"/>
          <w:lang w:val="en-US" w:eastAsia="en-US" w:bidi="ar-SA"/>
        </w:rPr>
        <w:t>Fontaine 2019</w:t>
      </w:r>
      <w:r>
        <w:rPr>
          <w:rFonts w:ascii="arial" w:eastAsia="arial" w:hAnsi="arial" w:cs="arial"/>
          <w:color w:val="000000"/>
          <w:sz w:val="20"/>
          <w:lang w:val="en-US" w:eastAsia="en-US" w:bidi="ar-SA"/>
        </w:rPr>
        <w:t xml:space="preserve">, the Requestor does not contend that there is a gap in the IRSSA that requires a remedy, and I find that there is none. In coming to this conclusion, I am again mindful of Brown J.'s dictum in </w:t>
      </w:r>
      <w:r>
        <w:rPr>
          <w:rFonts w:ascii="arial" w:eastAsia="arial" w:hAnsi="arial" w:cs="arial"/>
          <w:i/>
          <w:color w:val="000000"/>
          <w:sz w:val="20"/>
          <w:lang w:val="en-US" w:eastAsia="en-US" w:bidi="ar-SA"/>
        </w:rPr>
        <w:t>J.W</w:t>
      </w:r>
      <w:r>
        <w:rPr>
          <w:rFonts w:ascii="arial" w:eastAsia="arial" w:hAnsi="arial" w:cs="arial"/>
          <w:color w:val="000000"/>
          <w:sz w:val="20"/>
          <w:lang w:val="en-US" w:eastAsia="en-US" w:bidi="ar-SA"/>
        </w:rPr>
        <w:t>. that "[s]training to find a 'gap' in the IRSSA so as to pry open a little space for judicial recourse where the parties clearly intended to preclude it defeats the intentions of the parties and ... undermines the integrity of the process that they settled upon."</w:t>
      </w:r>
      <w:bookmarkStart w:id="181" w:name="Backward_fnref_fnr-38"/>
      <w:hyperlink w:anchor="Forward_fnref_fnr-38" w:history="1">
        <w:r>
          <w:rPr>
            <w:rFonts w:ascii="arial" w:eastAsia="arial" w:hAnsi="arial" w:cs="arial"/>
            <w:b/>
            <w:color w:val="BE161D"/>
            <w:sz w:val="20"/>
            <w:shd w:val="clear" w:color="auto" w:fill="FFFFFF"/>
            <w:vertAlign w:val="superscript"/>
            <w:lang w:val="en-US" w:eastAsia="en-US" w:bidi="ar-SA"/>
          </w:rPr>
          <w:t>38</w:t>
        </w:r>
      </w:hyperlink>
      <w:bookmarkEnd w:id="181"/>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This RFD therefore falls to be determined in accordance with the principles relating to judicial recourse absent a gap, and that requires me to apply the guidance provided by </w:t>
      </w:r>
      <w:r>
        <w:rPr>
          <w:rFonts w:ascii="arial" w:eastAsia="arial" w:hAnsi="arial" w:cs="arial"/>
          <w:i/>
          <w:color w:val="000000"/>
          <w:sz w:val="20"/>
          <w:lang w:val="en-US" w:eastAsia="en-US" w:bidi="ar-SA"/>
        </w:rPr>
        <w:t>J.W., Brown</w:t>
      </w:r>
      <w:r>
        <w:rPr>
          <w:rFonts w:ascii="arial" w:eastAsia="arial" w:hAnsi="arial" w:cs="arial"/>
          <w:color w:val="000000"/>
          <w:sz w:val="20"/>
          <w:lang w:val="en-US" w:eastAsia="en-US" w:bidi="ar-SA"/>
        </w:rPr>
        <w:t xml:space="preserve"> and other cases in the </w:t>
      </w:r>
      <w:r>
        <w:rPr>
          <w:rFonts w:ascii="arial" w:eastAsia="arial" w:hAnsi="arial" w:cs="arial"/>
          <w:i/>
          <w:color w:val="000000"/>
          <w:sz w:val="20"/>
          <w:lang w:val="en-US" w:eastAsia="en-US" w:bidi="ar-SA"/>
        </w:rPr>
        <w:t>Schachter</w:t>
      </w:r>
      <w:r>
        <w:rPr>
          <w:rFonts w:ascii="arial" w:eastAsia="arial" w:hAnsi="arial" w:cs="arial"/>
          <w:color w:val="000000"/>
          <w:sz w:val="20"/>
          <w:lang w:val="en-US" w:eastAsia="en-US" w:bidi="ar-SA"/>
        </w:rPr>
        <w:t xml:space="preserve"> line of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Based on an application of </w:t>
      </w:r>
      <w:r>
        <w:rPr>
          <w:rFonts w:ascii="arial" w:eastAsia="arial" w:hAnsi="arial" w:cs="arial"/>
          <w:i/>
          <w:color w:val="000000"/>
          <w:sz w:val="20"/>
          <w:lang w:val="en-US" w:eastAsia="en-US" w:bidi="ar-SA"/>
        </w:rPr>
        <w:t>J.W.</w:t>
      </w:r>
      <w:r>
        <w:rPr>
          <w:rFonts w:ascii="arial" w:eastAsia="arial" w:hAnsi="arial" w:cs="arial"/>
          <w:color w:val="000000"/>
          <w:sz w:val="20"/>
          <w:lang w:val="en-US" w:eastAsia="en-US" w:bidi="ar-SA"/>
        </w:rPr>
        <w:t xml:space="preserve">, the RFD cannot succeed. Applying the guidance provided by the majority in </w:t>
      </w:r>
      <w:r>
        <w:rPr>
          <w:rFonts w:ascii="arial" w:eastAsia="arial" w:hAnsi="arial" w:cs="arial"/>
          <w:i/>
          <w:color w:val="000000"/>
          <w:sz w:val="20"/>
          <w:lang w:val="en-US" w:eastAsia="en-US" w:bidi="ar-SA"/>
        </w:rPr>
        <w:t>J.W</w:t>
      </w:r>
      <w:r>
        <w:rPr>
          <w:rFonts w:ascii="arial" w:eastAsia="arial" w:hAnsi="arial" w:cs="arial"/>
          <w:color w:val="000000"/>
          <w:sz w:val="20"/>
          <w:lang w:val="en-US" w:eastAsia="en-US" w:bidi="ar-SA"/>
        </w:rPr>
        <w:t>. on the scope of judicial recourse absent a gap, the question to be determined is whether the Re-Review Adjudicator turned his mind to the provisions of the IAP Model applicable to the Requestor's claim. Provided that he did so, I must refuse to grant the relief sought by the Requestor. To scrutinize the Re-Review Adjudicator's interpretation of those provisions of the IAP Model and substitute my own interpretation would amount to error.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am satisfied that the Re-Review Adjudicator turned his mind to the appropriate provisions of the IAP Model, addressed the key question of whether the Student/Resident Test or the Non-Student/Non-Resident Test should be applied in light of the facts as found by the Initial Adjudicator and then appropriately applied the five-part Non-Student/Non-Resident Test. On the evidence, the sexual assault occurred while the Requestor was being taken to St. Michael's IRS, but before she was admitted as a student. While the Initial Adjudicator applied the Student/Resident Test, she gave no reasons for doing so and application of that test was inconsistent with her findings that the "[t]he assault took place on a back road distant from St. Michael's IRS ... off IRS premises" and that Requestor was "not a residential school student when he raped her, though she soon would be". The Initial Adjudicator's error in failing to apply the Non-Student/Non-Resident Test had been corrected by the Review Adjudicator, and there is no basis for interfering with the Re-Review Adjudicator's decision to uphold the Review Adjudicator's determination in that respect.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 review of his decision demonstrates that the Re-Review Adjudicator was alive to the fact that the Initial Adjudicator found that the Student/Resident Test was not satisfied in any event because the Alleged Perpetrator was not employed at the IRS and the sexual assault did not take place on its premises</w:t>
      </w:r>
      <w:bookmarkStart w:id="182" w:name="Backward_fnref_fnr-39"/>
      <w:hyperlink w:anchor="Forward_fnref_fnr-39" w:history="1">
        <w:r>
          <w:rPr>
            <w:rFonts w:ascii="arial" w:eastAsia="arial" w:hAnsi="arial" w:cs="arial"/>
            <w:b/>
            <w:color w:val="BE161D"/>
            <w:sz w:val="20"/>
            <w:shd w:val="clear" w:color="auto" w:fill="FFFFFF"/>
            <w:vertAlign w:val="superscript"/>
            <w:lang w:val="en-US" w:eastAsia="en-US" w:bidi="ar-SA"/>
          </w:rPr>
          <w:t>39</w:t>
        </w:r>
      </w:hyperlink>
      <w:bookmarkEnd w:id="182"/>
      <w:r>
        <w:rPr>
          <w:rFonts w:ascii="arial" w:eastAsia="arial" w:hAnsi="arial" w:cs="arial"/>
          <w:color w:val="000000"/>
          <w:sz w:val="20"/>
          <w:lang w:val="en-US" w:eastAsia="en-US" w:bidi="ar-SA"/>
        </w:rPr>
        <w:t xml:space="preserve"> - two elements that are common to both the Student/Resident Test and the Non-Student/Non-Resident Test.</w:t>
      </w:r>
      <w:bookmarkStart w:id="183" w:name="Backward_fnref_fnr-40"/>
      <w:hyperlink w:anchor="Forward_fnref_fnr-40" w:history="1">
        <w:r>
          <w:rPr>
            <w:rFonts w:ascii="arial" w:eastAsia="arial" w:hAnsi="arial" w:cs="arial"/>
            <w:b/>
            <w:color w:val="BE161D"/>
            <w:sz w:val="20"/>
            <w:shd w:val="clear" w:color="auto" w:fill="FFFFFF"/>
            <w:vertAlign w:val="superscript"/>
            <w:lang w:val="en-US" w:eastAsia="en-US" w:bidi="ar-SA"/>
          </w:rPr>
          <w:t>40</w:t>
        </w:r>
      </w:hyperlink>
      <w:bookmarkEnd w:id="183"/>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 find that there is no basis for interfering with the interpretive choices made by the Re-Review Adjudicator in relation to the Non-Student/Non-Resident Test. Even if judicial recourse were permitted in relation to adjudicators' interpretations of the IRSSA and the IAP Model - and, as has been discussed, four of the seven Supreme Court of Canada judges who heard the </w:t>
      </w:r>
      <w:r>
        <w:rPr>
          <w:rFonts w:ascii="arial" w:eastAsia="arial" w:hAnsi="arial" w:cs="arial"/>
          <w:i/>
          <w:color w:val="000000"/>
          <w:sz w:val="20"/>
          <w:lang w:val="en-US" w:eastAsia="en-US" w:bidi="ar-SA"/>
        </w:rPr>
        <w:t>J.W</w:t>
      </w:r>
      <w:r>
        <w:rPr>
          <w:rFonts w:ascii="arial" w:eastAsia="arial" w:hAnsi="arial" w:cs="arial"/>
          <w:color w:val="000000"/>
          <w:sz w:val="20"/>
          <w:lang w:val="en-US" w:eastAsia="en-US" w:bidi="ar-SA"/>
        </w:rPr>
        <w:t>. appeal have declared that it is not - all three adjudicators' (i.e., the Initial Adjudicator's, the Review Adjudicator's and the Re-Review Adjudicator's) interpretions of part (a) of the Student/Resident Test and the Non-Student/Non-Resident Test (as the case may be) are reasonable. Those interpretations follow decisions of other IAP adjudicators, including the Chief Adjudicator, and give meaning to the entirety of part (a), including the concluding sentence "If so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xml:space="preserve">, if the alleged perpetrator was an employee of the government or a church entity that operated the IRS in question), it does not matter whether their contract of employment was </w:t>
      </w:r>
      <w:r>
        <w:rPr>
          <w:rFonts w:ascii="arial" w:eastAsia="arial" w:hAnsi="arial" w:cs="arial"/>
          <w:color w:val="000000"/>
          <w:sz w:val="20"/>
          <w:u w:val="single"/>
          <w:lang w:val="en-US" w:eastAsia="en-US" w:bidi="ar-SA"/>
        </w:rPr>
        <w:t>at that IRS</w:t>
      </w:r>
      <w:r>
        <w:rPr>
          <w:rFonts w:ascii="arial" w:eastAsia="arial" w:hAnsi="arial" w:cs="arial"/>
          <w:color w:val="000000"/>
          <w:sz w:val="20"/>
          <w:lang w:val="en-US" w:eastAsia="en-US" w:bidi="ar-SA"/>
        </w:rPr>
        <w:t xml:space="preserv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There is similarly no basis for interfering with the Review Adjudicator's and Re-Review Adjudicator's interpretations of the balance of the Non-Student/Non-Resident Test (i.e., parts (b), (c) (d) and (e) and their determinations that parts (b), (d) and (e) were not met. Those interpretations accord with the plain meaning of those terms, and the Non-Student/Non-Resident Test's requirement that part (a) or (b) and each of parts (c), (d) and (e) be satisfied.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This is not a case in which findings concerning parts of the relevant test were made in the absence of evidence. There was ample evidence, for example, that neither the Requestor nor the Alleged Perpetrator was on the premises of the IRS at the time of the sexual assault (parts (b) and (d)).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I further conclude that this RFD cannot succeed applying the principles articulated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That case holds that where the adjudicators have failed to take into account some term of the IRSSA that is relevant to the interpretation of the IAP Model's provision in question, deference should not extend to the same extent to adjudicators' interpretive choices as it otherwise would. Contrary to the guidance provided by </w:t>
      </w:r>
      <w:r>
        <w:rPr>
          <w:rFonts w:ascii="arial" w:eastAsia="arial" w:hAnsi="arial" w:cs="arial"/>
          <w:i/>
          <w:color w:val="000000"/>
          <w:sz w:val="20"/>
          <w:lang w:val="en-US" w:eastAsia="en-US" w:bidi="ar-SA"/>
        </w:rPr>
        <w:t>J.W</w:t>
      </w:r>
      <w:r>
        <w:rPr>
          <w:rFonts w:ascii="arial" w:eastAsia="arial" w:hAnsi="arial" w:cs="arial"/>
          <w:color w:val="000000"/>
          <w:sz w:val="20"/>
          <w:lang w:val="en-US" w:eastAsia="en-US" w:bidi="ar-SA"/>
        </w:rPr>
        <w:t>. and earlier cases, this requires the court to scrutinize the manner in which adjudicators interpret the IAP Model. In practical terms for the purposes of the present RFD, that means that if there is some provision in the IRSSA that could shed light on how the interpretive choice should be made, it would be inappropriate to defer to the Re-Review Adjudicator on the interpretation of parts (a), (b), (d) and (e) of the Non-Student/Non-Resident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have considered Mr. Omoruyi's submission that in determining whether the Requestor was a student at the relevant time (and therefore, which test to apply), the Review Adjudicator and Re-Review Adjudicator should have taken Sections 12.01(2) and (3) of the IRSSA into account. Article 12 is concerned with requests (to Canada) and applications (to the Supervising Judges) for adding institutions to Schedule "F", which lists additional IRS for the purposes of the IRSSA. While it is tempting to import considerations such as Canada's control over the Requestor when she was picked up by the Alleged Perpetrator and its responsibility for St. Michael's IRS into the determination of whether the Requestor was a student at the relevant time, I do not regard those considerations as relevant to that analysis. The question was whether the Requestor was a student at the time. The language of the IAP Model should not be contorted to extend beyond its plain meaning, particularly in view of Appendix IX's proscription that "[t]he compensability of proven continuing claims must be determined only by reference to the terms of this IAP, including instructions issued pursuant to it."</w:t>
      </w:r>
      <w:bookmarkStart w:id="184" w:name="Backward_fnref_fnr-41"/>
      <w:hyperlink w:anchor="Forward_fnref_fnr-41" w:history="1">
        <w:r>
          <w:rPr>
            <w:rFonts w:ascii="arial" w:eastAsia="arial" w:hAnsi="arial" w:cs="arial"/>
            <w:b/>
            <w:color w:val="BE161D"/>
            <w:sz w:val="20"/>
            <w:shd w:val="clear" w:color="auto" w:fill="FFFFFF"/>
            <w:vertAlign w:val="superscript"/>
            <w:lang w:val="en-US" w:eastAsia="en-US" w:bidi="ar-SA"/>
          </w:rPr>
          <w:t>41</w:t>
        </w:r>
      </w:hyperlink>
      <w:bookmarkEnd w:id="184"/>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Taking into account the guidance provided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I conclude that the Review and Re-Review Adjudicators applied all relevant provisions of the IAP Model and IRSSA in the present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In summary, I conclude that regardless of whether the analysis as to the scope of judicial recourse absent a gap is guided by the majority in </w:t>
      </w:r>
      <w:r>
        <w:rPr>
          <w:rFonts w:ascii="arial" w:eastAsia="arial" w:hAnsi="arial" w:cs="arial"/>
          <w:i/>
          <w:color w:val="000000"/>
          <w:sz w:val="20"/>
          <w:lang w:val="en-US" w:eastAsia="en-US" w:bidi="ar-SA"/>
        </w:rPr>
        <w:t>J.W</w:t>
      </w:r>
      <w:r>
        <w:rPr>
          <w:rFonts w:ascii="arial" w:eastAsia="arial" w:hAnsi="arial" w:cs="arial"/>
          <w:color w:val="000000"/>
          <w:sz w:val="20"/>
          <w:lang w:val="en-US" w:eastAsia="en-US" w:bidi="ar-SA"/>
        </w:rPr>
        <w:t xml:space="preserve">. or by the Court of Appeal's decision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this RFD cannot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This is indeed a troubling case, and a troubling outcome. But as the Initial Adjudicator noted, the finding that no compensation could be granted under the IAP for this very serious sexual assault in no way precluded pursuing the claim through other means.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decline to grant the relief sought in this RFD.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 BROWN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January 14, 2020</w:t>
      </w:r>
      <w:r>
        <w:rPr>
          <w:rFonts w:ascii="arial" w:eastAsia="arial" w:hAnsi="arial" w:cs="arial"/>
          <w:sz w:val="20"/>
          <w:lang w:val="en-US" w:eastAsia="en-US" w:bidi="ar-SA"/>
        </w:rPr>
        <w:cr/>
      </w:r>
    </w:p>
    <w:p>
      <w:pPr>
        <w:numPr>
          <w:numId w:val="2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seventh line of paragraph [15] the words "Alleged Perpetrator" are bolded.</w:t>
      </w:r>
    </w:p>
    <w:p>
      <w:pPr>
        <w:numPr>
          <w:numId w:val="2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second line of paragraph [40], the word "defined" has been replaced with "define".</w:t>
      </w:r>
    </w:p>
    <w:p>
      <w:pPr>
        <w:numPr>
          <w:numId w:val="2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first line of the fourth bullet point of paragraph [56] the word "held" has been deleted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 BROWN J.</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r>
        <w:pict>
          <v:line id="_x0000_s1171" style="position:absolute;z-index:251804672" from="0,15pt" to="180pt,15pt" strokecolor="#bcbeb0" strokeweight="0.5pt">
            <v:stroke linestyle="single"/>
          </v:line>
        </w:pict>
      </w:r>
    </w:p>
    <w:p>
      <w:pPr>
        <w:rPr>
          <w:rFonts w:ascii="arial" w:eastAsia="arial" w:hAnsi="arial" w:cs="arial"/>
          <w:sz w:val="20"/>
          <w:lang w:val="en-US" w:eastAsia="en-US" w:bidi="ar-SA"/>
        </w:rPr>
      </w:pPr>
    </w:p>
    <w:p>
      <w:pPr>
        <w:spacing w:before="120" w:after="20" w:line="240" w:lineRule="atLeast"/>
        <w:ind w:left="720" w:hanging="360"/>
        <w:jc w:val="both"/>
        <w:rPr>
          <w:rFonts w:ascii="arial" w:eastAsia="arial" w:hAnsi="arial" w:cs="arial"/>
          <w:sz w:val="20"/>
          <w:lang w:val="en-US" w:eastAsia="en-US" w:bidi="ar-SA"/>
        </w:rPr>
      </w:pPr>
      <w:bookmarkStart w:id="185" w:name="Forward_fnref_fnr-1_0"/>
      <w:hyperlink w:anchor="Backward_fnref_fnr-1" w:history="1">
        <w:r>
          <w:rPr>
            <w:rFonts w:ascii="arial" w:eastAsia="arial" w:hAnsi="arial" w:cs="arial"/>
            <w:b/>
            <w:color w:val="BE161D"/>
            <w:sz w:val="18"/>
            <w:shd w:val="clear" w:color="auto" w:fill="FFFFFF"/>
            <w:lang w:val="en-US" w:eastAsia="en-US" w:bidi="ar-SA"/>
          </w:rPr>
          <w:t>1</w:t>
        </w:r>
      </w:hyperlink>
      <w:bookmarkEnd w:id="185"/>
      <w:r>
        <w:rPr>
          <w:rFonts w:ascii="arial" w:eastAsia="arial" w:hAnsi="arial" w:cs="arial"/>
          <w:sz w:val="20"/>
          <w:lang w:val="en-US" w:eastAsia="en-US" w:bidi="ar-SA"/>
        </w:rPr>
        <w:tab/>
      </w:r>
      <w:r>
        <w:rPr>
          <w:rFonts w:ascii="arial" w:eastAsia="arial" w:hAnsi="arial" w:cs="arial"/>
          <w:i/>
          <w:color w:val="6D6E71"/>
          <w:sz w:val="18"/>
          <w:lang w:val="en-US" w:eastAsia="en-US" w:bidi="ar-SA"/>
        </w:rPr>
        <w:t>J.W. v. Canada (Attorney General)</w:t>
      </w:r>
      <w:r>
        <w:rPr>
          <w:rFonts w:ascii="arial" w:eastAsia="arial" w:hAnsi="arial" w:cs="arial"/>
          <w:color w:val="6D6E71"/>
          <w:sz w:val="18"/>
          <w:lang w:val="en-US" w:eastAsia="en-US" w:bidi="ar-SA"/>
        </w:rPr>
        <w:t xml:space="preserve">, </w:t>
      </w:r>
      <w:hyperlink r:id="rId886" w:history="1">
        <w:r>
          <w:rPr>
            <w:rFonts w:ascii="arial" w:eastAsia="arial" w:hAnsi="arial" w:cs="arial"/>
            <w:i/>
            <w:color w:val="0077CC"/>
            <w:sz w:val="18"/>
            <w:u w:val="single"/>
            <w:shd w:val="clear" w:color="auto" w:fill="FFFFFF"/>
            <w:lang w:val="en-US" w:eastAsia="en-US" w:bidi="ar-SA"/>
          </w:rPr>
          <w:t>2019 SCC 20</w:t>
        </w:r>
      </w:hyperlink>
      <w:r>
        <w:rPr>
          <w:rFonts w:ascii="arial" w:eastAsia="arial" w:hAnsi="arial" w:cs="arial"/>
          <w:color w:val="6D6E71"/>
          <w:sz w:val="18"/>
          <w:lang w:val="en-US" w:eastAsia="en-US" w:bidi="ar-SA"/>
        </w:rPr>
        <w:t xml:space="preserve"> ("</w:t>
      </w:r>
      <w:r>
        <w:rPr>
          <w:rFonts w:ascii="arial" w:eastAsia="arial" w:hAnsi="arial" w:cs="arial"/>
          <w:b/>
          <w:i/>
          <w:color w:val="6D6E71"/>
          <w:sz w:val="18"/>
          <w:lang w:val="en-US" w:eastAsia="en-US" w:bidi="ar-SA"/>
        </w:rPr>
        <w:t>J.W</w:t>
      </w:r>
      <w:r>
        <w:rPr>
          <w:rFonts w:ascii="arial" w:eastAsia="arial" w:hAnsi="arial" w:cs="arial"/>
          <w:color w:val="6D6E71"/>
          <w:sz w:val="18"/>
          <w:lang w:val="en-US" w:eastAsia="en-US" w:bidi="ar-SA"/>
        </w:rPr>
        <w:t>.") at paras. 6, 51 (per Abella J.); paras. 102, 105 (per Côté J.); paras. 175 and 178-179 (per Brown J.).</w:t>
      </w:r>
    </w:p>
    <w:p>
      <w:pPr>
        <w:spacing w:before="120" w:after="20" w:line="240" w:lineRule="atLeast"/>
        <w:ind w:left="720" w:hanging="360"/>
        <w:jc w:val="both"/>
        <w:rPr>
          <w:rFonts w:ascii="arial" w:eastAsia="arial" w:hAnsi="arial" w:cs="arial"/>
          <w:sz w:val="20"/>
          <w:lang w:val="en-US" w:eastAsia="en-US" w:bidi="ar-SA"/>
        </w:rPr>
      </w:pPr>
      <w:bookmarkStart w:id="186" w:name="Forward_fnref_fnr-2"/>
      <w:hyperlink w:anchor="Backward_fnref_fnr-2" w:history="1">
        <w:r>
          <w:rPr>
            <w:rFonts w:ascii="arial" w:eastAsia="arial" w:hAnsi="arial" w:cs="arial"/>
            <w:b/>
            <w:color w:val="BE161D"/>
            <w:sz w:val="18"/>
            <w:shd w:val="clear" w:color="auto" w:fill="FFFFFF"/>
            <w:lang w:val="en-US" w:eastAsia="en-US" w:bidi="ar-SA"/>
          </w:rPr>
          <w:t>2</w:t>
        </w:r>
      </w:hyperlink>
      <w:bookmarkEnd w:id="186"/>
      <w:r>
        <w:rPr>
          <w:rFonts w:ascii="arial" w:eastAsia="arial" w:hAnsi="arial" w:cs="arial"/>
          <w:sz w:val="20"/>
          <w:lang w:val="en-US" w:eastAsia="en-US" w:bidi="ar-SA"/>
        </w:rPr>
        <w:tab/>
      </w:r>
      <w:r>
        <w:rPr>
          <w:rFonts w:ascii="arial" w:eastAsia="arial" w:hAnsi="arial" w:cs="arial"/>
          <w:i/>
          <w:color w:val="6D6E71"/>
          <w:sz w:val="18"/>
          <w:lang w:val="en-US" w:eastAsia="en-US" w:bidi="ar-SA"/>
        </w:rPr>
        <w:t>J.W</w:t>
      </w:r>
      <w:r>
        <w:rPr>
          <w:rFonts w:ascii="arial" w:eastAsia="arial" w:hAnsi="arial" w:cs="arial"/>
          <w:color w:val="6D6E71"/>
          <w:sz w:val="18"/>
          <w:lang w:val="en-US" w:eastAsia="en-US" w:bidi="ar-SA"/>
        </w:rPr>
        <w:t>. at paras. 21-22, 31-32 (per Abella J.); para. 120 (per Côté J.); para. 175 (per Brown J.).</w:t>
      </w:r>
    </w:p>
    <w:p>
      <w:pPr>
        <w:spacing w:before="120" w:after="20" w:line="240" w:lineRule="atLeast"/>
        <w:ind w:left="720" w:hanging="360"/>
        <w:jc w:val="both"/>
        <w:rPr>
          <w:rFonts w:ascii="arial" w:eastAsia="arial" w:hAnsi="arial" w:cs="arial"/>
          <w:sz w:val="20"/>
          <w:lang w:val="en-US" w:eastAsia="en-US" w:bidi="ar-SA"/>
        </w:rPr>
      </w:pPr>
      <w:bookmarkStart w:id="187" w:name="Forward_fnref_fnr-3"/>
      <w:hyperlink w:anchor="Backward_fnref_fnr-3" w:history="1">
        <w:r>
          <w:rPr>
            <w:rFonts w:ascii="arial" w:eastAsia="arial" w:hAnsi="arial" w:cs="arial"/>
            <w:b/>
            <w:color w:val="BE161D"/>
            <w:sz w:val="18"/>
            <w:shd w:val="clear" w:color="auto" w:fill="FFFFFF"/>
            <w:lang w:val="en-US" w:eastAsia="en-US" w:bidi="ar-SA"/>
          </w:rPr>
          <w:t>3</w:t>
        </w:r>
      </w:hyperlink>
      <w:bookmarkEnd w:id="187"/>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The rights of review are set out in art. III(l) of the IAP Model (p. 14). In </w:t>
      </w:r>
      <w:r>
        <w:rPr>
          <w:rFonts w:ascii="arial" w:eastAsia="arial" w:hAnsi="arial" w:cs="arial"/>
          <w:i/>
          <w:color w:val="6D6E71"/>
          <w:sz w:val="18"/>
          <w:lang w:val="en-US" w:eastAsia="en-US" w:bidi="ar-SA"/>
        </w:rPr>
        <w:t>J.W.</w:t>
      </w:r>
      <w:r>
        <w:rPr>
          <w:rFonts w:ascii="arial" w:eastAsia="arial" w:hAnsi="arial" w:cs="arial"/>
          <w:color w:val="6D6E71"/>
          <w:sz w:val="18"/>
          <w:lang w:val="en-US" w:eastAsia="en-US" w:bidi="ar-SA"/>
        </w:rPr>
        <w:t>, Abella J. concisely summarized these rights as follows: "If the alleged error in an adjudicative decision is a palpable and overriding factual one, the scheme allows for one level of internal review. If the error alleged is a failure to apply the IAP Model to the facts, there are two levels of internal review available." (at para. 11)</w:t>
      </w:r>
    </w:p>
    <w:p>
      <w:pPr>
        <w:spacing w:before="120" w:after="20" w:line="240" w:lineRule="atLeast"/>
        <w:ind w:left="720" w:hanging="360"/>
        <w:jc w:val="both"/>
        <w:rPr>
          <w:rFonts w:ascii="arial" w:eastAsia="arial" w:hAnsi="arial" w:cs="arial"/>
          <w:sz w:val="20"/>
          <w:lang w:val="en-US" w:eastAsia="en-US" w:bidi="ar-SA"/>
        </w:rPr>
      </w:pPr>
      <w:bookmarkStart w:id="188" w:name="Forward_fnref_fnr-4"/>
      <w:hyperlink w:anchor="Backward_fnref_fnr-4" w:history="1">
        <w:r>
          <w:rPr>
            <w:rFonts w:ascii="arial" w:eastAsia="arial" w:hAnsi="arial" w:cs="arial"/>
            <w:b/>
            <w:color w:val="BE161D"/>
            <w:sz w:val="18"/>
            <w:shd w:val="clear" w:color="auto" w:fill="FFFFFF"/>
            <w:lang w:val="en-US" w:eastAsia="en-US" w:bidi="ar-SA"/>
          </w:rPr>
          <w:t>4</w:t>
        </w:r>
      </w:hyperlink>
      <w:bookmarkEnd w:id="188"/>
      <w:r>
        <w:rPr>
          <w:rFonts w:ascii="arial" w:eastAsia="arial" w:hAnsi="arial" w:cs="arial"/>
          <w:sz w:val="20"/>
          <w:lang w:val="en-US" w:eastAsia="en-US" w:bidi="ar-SA"/>
        </w:rPr>
        <w:tab/>
      </w:r>
      <w:r>
        <w:rPr>
          <w:rFonts w:ascii="arial" w:eastAsia="arial" w:hAnsi="arial" w:cs="arial"/>
          <w:color w:val="6D6E71"/>
          <w:sz w:val="18"/>
          <w:lang w:val="en-US" w:eastAsia="en-US" w:bidi="ar-SA"/>
        </w:rPr>
        <w:t>IRSSA, Schedule "D" (IAP Model), Appendix IX (Instructions for Adjudicators), p. 31.</w:t>
      </w:r>
    </w:p>
    <w:p>
      <w:pPr>
        <w:spacing w:before="120" w:after="20" w:line="240" w:lineRule="atLeast"/>
        <w:ind w:left="720" w:hanging="360"/>
        <w:jc w:val="both"/>
        <w:rPr>
          <w:rFonts w:ascii="arial" w:eastAsia="arial" w:hAnsi="arial" w:cs="arial"/>
          <w:sz w:val="20"/>
          <w:lang w:val="en-US" w:eastAsia="en-US" w:bidi="ar-SA"/>
        </w:rPr>
      </w:pPr>
      <w:bookmarkStart w:id="189" w:name="Forward_fnref_fnr-5"/>
      <w:hyperlink w:anchor="Backward_fnref_fnr-5" w:history="1">
        <w:r>
          <w:rPr>
            <w:rFonts w:ascii="arial" w:eastAsia="arial" w:hAnsi="arial" w:cs="arial"/>
            <w:b/>
            <w:color w:val="BE161D"/>
            <w:sz w:val="18"/>
            <w:shd w:val="clear" w:color="auto" w:fill="FFFFFF"/>
            <w:lang w:val="en-US" w:eastAsia="en-US" w:bidi="ar-SA"/>
          </w:rPr>
          <w:t>5</w:t>
        </w:r>
      </w:hyperlink>
      <w:bookmarkEnd w:id="189"/>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See </w:t>
      </w:r>
      <w:r>
        <w:rPr>
          <w:rFonts w:ascii="arial" w:eastAsia="arial" w:hAnsi="arial" w:cs="arial"/>
          <w:i/>
          <w:color w:val="6D6E71"/>
          <w:sz w:val="18"/>
          <w:lang w:val="en-US" w:eastAsia="en-US" w:bidi="ar-SA"/>
        </w:rPr>
        <w:t>J.W</w:t>
      </w:r>
      <w:r>
        <w:rPr>
          <w:rFonts w:ascii="arial" w:eastAsia="arial" w:hAnsi="arial" w:cs="arial"/>
          <w:color w:val="6D6E71"/>
          <w:sz w:val="18"/>
          <w:lang w:val="en-US" w:eastAsia="en-US" w:bidi="ar-SA"/>
        </w:rPr>
        <w:t xml:space="preserve">. at 28 </w:t>
      </w:r>
      <w:r>
        <w:rPr>
          <w:rFonts w:ascii="arial" w:eastAsia="arial" w:hAnsi="arial" w:cs="arial"/>
          <w:i/>
          <w:color w:val="6D6E71"/>
          <w:sz w:val="18"/>
          <w:lang w:val="en-US" w:eastAsia="en-US" w:bidi="ar-SA"/>
        </w:rPr>
        <w:t>per</w:t>
      </w:r>
      <w:r>
        <w:rPr>
          <w:rFonts w:ascii="arial" w:eastAsia="arial" w:hAnsi="arial" w:cs="arial"/>
          <w:color w:val="6D6E71"/>
          <w:sz w:val="18"/>
          <w:lang w:val="en-US" w:eastAsia="en-US" w:bidi="ar-SA"/>
        </w:rPr>
        <w:t xml:space="preserve"> Abella J.; paras. 130-131 </w:t>
      </w:r>
      <w:r>
        <w:rPr>
          <w:rFonts w:ascii="arial" w:eastAsia="arial" w:hAnsi="arial" w:cs="arial"/>
          <w:i/>
          <w:color w:val="6D6E71"/>
          <w:sz w:val="18"/>
          <w:lang w:val="en-US" w:eastAsia="en-US" w:bidi="ar-SA"/>
        </w:rPr>
        <w:t>per</w:t>
      </w:r>
      <w:r>
        <w:rPr>
          <w:rFonts w:ascii="arial" w:eastAsia="arial" w:hAnsi="arial" w:cs="arial"/>
          <w:color w:val="6D6E71"/>
          <w:sz w:val="18"/>
          <w:lang w:val="en-US" w:eastAsia="en-US" w:bidi="ar-SA"/>
        </w:rPr>
        <w:t xml:space="preserve"> Côté J.; and para. 176 </w:t>
      </w:r>
      <w:r>
        <w:rPr>
          <w:rFonts w:ascii="arial" w:eastAsia="arial" w:hAnsi="arial" w:cs="arial"/>
          <w:i/>
          <w:color w:val="6D6E71"/>
          <w:sz w:val="18"/>
          <w:lang w:val="en-US" w:eastAsia="en-US" w:bidi="ar-SA"/>
        </w:rPr>
        <w:t>per</w:t>
      </w:r>
      <w:r>
        <w:rPr>
          <w:rFonts w:ascii="arial" w:eastAsia="arial" w:hAnsi="arial" w:cs="arial"/>
          <w:color w:val="6D6E71"/>
          <w:sz w:val="18"/>
          <w:lang w:val="en-US" w:eastAsia="en-US" w:bidi="ar-SA"/>
        </w:rPr>
        <w:t xml:space="preserve"> Brown J.</w:t>
      </w:r>
    </w:p>
    <w:p>
      <w:pPr>
        <w:spacing w:before="120" w:after="20" w:line="240" w:lineRule="atLeast"/>
        <w:ind w:left="720" w:hanging="360"/>
        <w:jc w:val="both"/>
        <w:rPr>
          <w:rFonts w:ascii="arial" w:eastAsia="arial" w:hAnsi="arial" w:cs="arial"/>
          <w:sz w:val="20"/>
          <w:lang w:val="en-US" w:eastAsia="en-US" w:bidi="ar-SA"/>
        </w:rPr>
      </w:pPr>
      <w:bookmarkStart w:id="190" w:name="Forward_fnref_fnr-6"/>
      <w:hyperlink w:anchor="Backward_fnref_fnr-6" w:history="1">
        <w:r>
          <w:rPr>
            <w:rFonts w:ascii="arial" w:eastAsia="arial" w:hAnsi="arial" w:cs="arial"/>
            <w:b/>
            <w:color w:val="BE161D"/>
            <w:sz w:val="18"/>
            <w:shd w:val="clear" w:color="auto" w:fill="FFFFFF"/>
            <w:lang w:val="en-US" w:eastAsia="en-US" w:bidi="ar-SA"/>
          </w:rPr>
          <w:t>6</w:t>
        </w:r>
      </w:hyperlink>
      <w:bookmarkEnd w:id="190"/>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As to the unavailability of judicial review, see </w:t>
      </w:r>
      <w:r>
        <w:rPr>
          <w:rFonts w:ascii="arial" w:eastAsia="arial" w:hAnsi="arial" w:cs="arial"/>
          <w:i/>
          <w:color w:val="6D6E71"/>
          <w:sz w:val="18"/>
          <w:lang w:val="en-US" w:eastAsia="en-US" w:bidi="ar-SA"/>
        </w:rPr>
        <w:t>J.W</w:t>
      </w:r>
      <w:r>
        <w:rPr>
          <w:rFonts w:ascii="arial" w:eastAsia="arial" w:hAnsi="arial" w:cs="arial"/>
          <w:color w:val="6D6E71"/>
          <w:sz w:val="18"/>
          <w:lang w:val="en-US" w:eastAsia="en-US" w:bidi="ar-SA"/>
        </w:rPr>
        <w:t xml:space="preserve">. at para. 24 </w:t>
      </w:r>
      <w:r>
        <w:rPr>
          <w:rFonts w:ascii="arial" w:eastAsia="arial" w:hAnsi="arial" w:cs="arial"/>
          <w:i/>
          <w:color w:val="6D6E71"/>
          <w:sz w:val="18"/>
          <w:lang w:val="en-US" w:eastAsia="en-US" w:bidi="ar-SA"/>
        </w:rPr>
        <w:t>per</w:t>
      </w:r>
      <w:r>
        <w:rPr>
          <w:rFonts w:ascii="arial" w:eastAsia="arial" w:hAnsi="arial" w:cs="arial"/>
          <w:color w:val="6D6E71"/>
          <w:sz w:val="18"/>
          <w:lang w:val="en-US" w:eastAsia="en-US" w:bidi="ar-SA"/>
        </w:rPr>
        <w:t xml:space="preserve"> Abella J.; paras. 105 and 107 </w:t>
      </w:r>
      <w:r>
        <w:rPr>
          <w:rFonts w:ascii="arial" w:eastAsia="arial" w:hAnsi="arial" w:cs="arial"/>
          <w:i/>
          <w:color w:val="6D6E71"/>
          <w:sz w:val="18"/>
          <w:lang w:val="en-US" w:eastAsia="en-US" w:bidi="ar-SA"/>
        </w:rPr>
        <w:t>per</w:t>
      </w:r>
      <w:r>
        <w:rPr>
          <w:rFonts w:ascii="arial" w:eastAsia="arial" w:hAnsi="arial" w:cs="arial"/>
          <w:color w:val="6D6E71"/>
          <w:sz w:val="18"/>
          <w:lang w:val="en-US" w:eastAsia="en-US" w:bidi="ar-SA"/>
        </w:rPr>
        <w:t xml:space="preserve"> Côté J.; and para. 181 </w:t>
      </w:r>
      <w:r>
        <w:rPr>
          <w:rFonts w:ascii="arial" w:eastAsia="arial" w:hAnsi="arial" w:cs="arial"/>
          <w:i/>
          <w:color w:val="6D6E71"/>
          <w:sz w:val="18"/>
          <w:lang w:val="en-US" w:eastAsia="en-US" w:bidi="ar-SA"/>
        </w:rPr>
        <w:t>per</w:t>
      </w:r>
      <w:r>
        <w:rPr>
          <w:rFonts w:ascii="arial" w:eastAsia="arial" w:hAnsi="arial" w:cs="arial"/>
          <w:color w:val="6D6E71"/>
          <w:sz w:val="18"/>
          <w:lang w:val="en-US" w:eastAsia="en-US" w:bidi="ar-SA"/>
        </w:rPr>
        <w:t xml:space="preserve"> Brown J.</w:t>
      </w:r>
    </w:p>
    <w:p>
      <w:pPr>
        <w:spacing w:before="120" w:after="20" w:line="240" w:lineRule="atLeast"/>
        <w:ind w:left="720" w:hanging="360"/>
        <w:jc w:val="both"/>
        <w:rPr>
          <w:rFonts w:ascii="arial" w:eastAsia="arial" w:hAnsi="arial" w:cs="arial"/>
          <w:sz w:val="20"/>
          <w:lang w:val="en-US" w:eastAsia="en-US" w:bidi="ar-SA"/>
        </w:rPr>
      </w:pPr>
      <w:bookmarkStart w:id="191" w:name="Forward_fnref_fnr-7"/>
      <w:hyperlink w:anchor="Backward_fnref_fnr-7" w:history="1">
        <w:r>
          <w:rPr>
            <w:rFonts w:ascii="arial" w:eastAsia="arial" w:hAnsi="arial" w:cs="arial"/>
            <w:b/>
            <w:color w:val="BE161D"/>
            <w:sz w:val="18"/>
            <w:shd w:val="clear" w:color="auto" w:fill="FFFFFF"/>
            <w:lang w:val="en-US" w:eastAsia="en-US" w:bidi="ar-SA"/>
          </w:rPr>
          <w:t>7</w:t>
        </w:r>
      </w:hyperlink>
      <w:bookmarkEnd w:id="191"/>
      <w:r>
        <w:rPr>
          <w:rFonts w:ascii="arial" w:eastAsia="arial" w:hAnsi="arial" w:cs="arial"/>
          <w:sz w:val="20"/>
          <w:lang w:val="en-US" w:eastAsia="en-US" w:bidi="ar-SA"/>
        </w:rPr>
        <w:tab/>
      </w:r>
      <w:r>
        <w:rPr>
          <w:rFonts w:ascii="arial" w:eastAsia="arial" w:hAnsi="arial" w:cs="arial"/>
          <w:color w:val="6D6E71"/>
          <w:sz w:val="18"/>
          <w:lang w:val="en-US" w:eastAsia="en-US" w:bidi="ar-SA"/>
        </w:rPr>
        <w:t>http://www.iap-pei.ca/stats-eng.php. It should be noted that as a result of the inclusion of Kivalliq Hall (Rankin Inlet, Nunavut) in Schedule "F" to the IRSSA, some additional IAP claims are anticipated. The deadline for IAP claims in relation to Kivalliq Hall is January 25, 2020.</w:t>
      </w:r>
    </w:p>
    <w:p>
      <w:pPr>
        <w:spacing w:before="120" w:after="20" w:line="240" w:lineRule="atLeast"/>
        <w:ind w:left="720" w:hanging="360"/>
        <w:jc w:val="both"/>
        <w:rPr>
          <w:rFonts w:ascii="arial" w:eastAsia="arial" w:hAnsi="arial" w:cs="arial"/>
          <w:sz w:val="20"/>
          <w:lang w:val="en-US" w:eastAsia="en-US" w:bidi="ar-SA"/>
        </w:rPr>
      </w:pPr>
      <w:bookmarkStart w:id="192" w:name="Forward_fnref_fnr-8"/>
      <w:hyperlink w:anchor="Backward_fnref_fnr-8" w:history="1">
        <w:r>
          <w:rPr>
            <w:rFonts w:ascii="arial" w:eastAsia="arial" w:hAnsi="arial" w:cs="arial"/>
            <w:b/>
            <w:color w:val="BE161D"/>
            <w:sz w:val="18"/>
            <w:shd w:val="clear" w:color="auto" w:fill="FFFFFF"/>
            <w:lang w:val="en-US" w:eastAsia="en-US" w:bidi="ar-SA"/>
          </w:rPr>
          <w:t>8</w:t>
        </w:r>
      </w:hyperlink>
      <w:bookmarkEnd w:id="192"/>
      <w:r>
        <w:rPr>
          <w:rFonts w:ascii="arial" w:eastAsia="arial" w:hAnsi="arial" w:cs="arial"/>
          <w:sz w:val="20"/>
          <w:lang w:val="en-US" w:eastAsia="en-US" w:bidi="ar-SA"/>
        </w:rPr>
        <w:tab/>
      </w:r>
      <w:r>
        <w:rPr>
          <w:rFonts w:ascii="arial" w:eastAsia="arial" w:hAnsi="arial" w:cs="arial"/>
          <w:color w:val="6D6E71"/>
          <w:sz w:val="18"/>
          <w:lang w:val="en-US" w:eastAsia="en-US" w:bidi="ar-SA"/>
        </w:rPr>
        <w:t>IAP Claimant 11553 died on November 14, 2015, following which her claim proceeded as an estate claim. For ease of reference, I have referred to IAP Claimant 11553 and her estate collectively as the "Requestor".</w:t>
      </w:r>
    </w:p>
    <w:p>
      <w:pPr>
        <w:spacing w:before="120" w:after="20" w:line="240" w:lineRule="atLeast"/>
        <w:ind w:left="720" w:hanging="360"/>
        <w:jc w:val="both"/>
        <w:rPr>
          <w:rFonts w:ascii="arial" w:eastAsia="arial" w:hAnsi="arial" w:cs="arial"/>
          <w:sz w:val="20"/>
          <w:lang w:val="en-US" w:eastAsia="en-US" w:bidi="ar-SA"/>
        </w:rPr>
      </w:pPr>
      <w:bookmarkStart w:id="193" w:name="Forward_fnref_fnr-9"/>
      <w:hyperlink w:anchor="Backward_fnref_fnr-9" w:history="1">
        <w:r>
          <w:rPr>
            <w:rFonts w:ascii="arial" w:eastAsia="arial" w:hAnsi="arial" w:cs="arial"/>
            <w:b/>
            <w:color w:val="BE161D"/>
            <w:sz w:val="18"/>
            <w:shd w:val="clear" w:color="auto" w:fill="FFFFFF"/>
            <w:lang w:val="en-US" w:eastAsia="en-US" w:bidi="ar-SA"/>
          </w:rPr>
          <w:t>9</w:t>
        </w:r>
      </w:hyperlink>
      <w:bookmarkEnd w:id="193"/>
      <w:r>
        <w:rPr>
          <w:rFonts w:ascii="arial" w:eastAsia="arial" w:hAnsi="arial" w:cs="arial"/>
          <w:sz w:val="20"/>
          <w:lang w:val="en-US" w:eastAsia="en-US" w:bidi="ar-SA"/>
        </w:rPr>
        <w:tab/>
      </w:r>
      <w:r>
        <w:rPr>
          <w:rFonts w:ascii="arial" w:eastAsia="arial" w:hAnsi="arial" w:cs="arial"/>
          <w:color w:val="6D6E71"/>
          <w:sz w:val="18"/>
          <w:lang w:val="en-US" w:eastAsia="en-US" w:bidi="ar-SA"/>
        </w:rPr>
        <w:t>The Requestor testified that the Alleged Perpetrator stopped the car and raped her at or near the town of Kilwinning, Saskatchewan. The Initial Adjudicator found that the rape occurred "on a back road distant from St. Michael's IRS" (Initial Adjudicator's Decision, para. 51). However, while accepting that the Alleged Perpetrator was not on the premises of the IRS at the time of the rape, the Review Adjudicator erroneously stated that the rape took place on the Requestor's "own Reserve" (Review Adjudicator's Decision, para. 26). The Re-Review Adjudicator similarly accepted that the Alleged Perpetrator was not on the IRS premises at the time of the rape, but stated that the Requestor was "sexually assaulted on her own reserve" (Re-Review Adjudicator's Decision, para. 36). I am satisfied that nothing turns on the Review Adjudicator's and Re-Review Adjudicator's erroneous statements that the rape occurred on the Witchekan Lake Indian Reserve. The salient point remains that it did not take place on the premises of St. Michael's IRS.</w:t>
      </w:r>
    </w:p>
    <w:p>
      <w:pPr>
        <w:spacing w:before="120" w:after="20" w:line="240" w:lineRule="atLeast"/>
        <w:ind w:left="720" w:hanging="360"/>
        <w:jc w:val="both"/>
        <w:rPr>
          <w:rFonts w:ascii="arial" w:eastAsia="arial" w:hAnsi="arial" w:cs="arial"/>
          <w:sz w:val="20"/>
          <w:lang w:val="en-US" w:eastAsia="en-US" w:bidi="ar-SA"/>
        </w:rPr>
      </w:pPr>
      <w:bookmarkStart w:id="194" w:name="Forward_fnref_fnr-10"/>
      <w:hyperlink w:anchor="Backward_fnref_fnr-10" w:history="1">
        <w:r>
          <w:rPr>
            <w:rFonts w:ascii="arial" w:eastAsia="arial" w:hAnsi="arial" w:cs="arial"/>
            <w:b/>
            <w:color w:val="BE161D"/>
            <w:sz w:val="18"/>
            <w:shd w:val="clear" w:color="auto" w:fill="FFFFFF"/>
            <w:lang w:val="en-US" w:eastAsia="en-US" w:bidi="ar-SA"/>
          </w:rPr>
          <w:t>10</w:t>
        </w:r>
      </w:hyperlink>
      <w:bookmarkEnd w:id="194"/>
      <w:r>
        <w:rPr>
          <w:rFonts w:ascii="arial" w:eastAsia="arial" w:hAnsi="arial" w:cs="arial"/>
          <w:sz w:val="20"/>
          <w:lang w:val="en-US" w:eastAsia="en-US" w:bidi="ar-SA"/>
        </w:rPr>
        <w:tab/>
      </w:r>
      <w:r>
        <w:rPr>
          <w:rFonts w:ascii="arial" w:eastAsia="arial" w:hAnsi="arial" w:cs="arial"/>
          <w:color w:val="6D6E71"/>
          <w:sz w:val="18"/>
          <w:lang w:val="en-US" w:eastAsia="en-US" w:bidi="ar-SA"/>
        </w:rPr>
        <w:t>The Requestor was compensated for the SL1.4 abuse pursuant to the decision of the Re-Review Adjudicator, dated May 7, 2019.</w:t>
      </w:r>
    </w:p>
    <w:p>
      <w:pPr>
        <w:spacing w:before="120" w:after="20" w:line="240" w:lineRule="atLeast"/>
        <w:ind w:left="720" w:hanging="360"/>
        <w:jc w:val="both"/>
        <w:rPr>
          <w:rFonts w:ascii="arial" w:eastAsia="arial" w:hAnsi="arial" w:cs="arial"/>
          <w:sz w:val="20"/>
          <w:lang w:val="en-US" w:eastAsia="en-US" w:bidi="ar-SA"/>
        </w:rPr>
      </w:pPr>
      <w:bookmarkStart w:id="195" w:name="Forward_fnref_fnr-11"/>
      <w:hyperlink w:anchor="Backward_fnref_fnr-11" w:history="1">
        <w:r>
          <w:rPr>
            <w:rFonts w:ascii="arial" w:eastAsia="arial" w:hAnsi="arial" w:cs="arial"/>
            <w:b/>
            <w:color w:val="BE161D"/>
            <w:sz w:val="18"/>
            <w:shd w:val="clear" w:color="auto" w:fill="FFFFFF"/>
            <w:lang w:val="en-US" w:eastAsia="en-US" w:bidi="ar-SA"/>
          </w:rPr>
          <w:t>11</w:t>
        </w:r>
      </w:hyperlink>
      <w:bookmarkEnd w:id="195"/>
      <w:r>
        <w:rPr>
          <w:rFonts w:ascii="arial" w:eastAsia="arial" w:hAnsi="arial" w:cs="arial"/>
          <w:sz w:val="20"/>
          <w:lang w:val="en-US" w:eastAsia="en-US" w:bidi="ar-SA"/>
        </w:rPr>
        <w:tab/>
      </w:r>
      <w:r>
        <w:rPr>
          <w:rFonts w:ascii="arial" w:eastAsia="arial" w:hAnsi="arial" w:cs="arial"/>
          <w:color w:val="6D6E71"/>
          <w:sz w:val="18"/>
          <w:lang w:val="en-US" w:eastAsia="en-US" w:bidi="ar-SA"/>
        </w:rPr>
        <w:t>IRSSA, Schedule "D" (IAP Model), p. 31 ("Student/ Resident Test").</w:t>
      </w:r>
    </w:p>
    <w:p>
      <w:pPr>
        <w:spacing w:before="120" w:after="20" w:line="240" w:lineRule="atLeast"/>
        <w:ind w:left="720" w:hanging="360"/>
        <w:jc w:val="both"/>
        <w:rPr>
          <w:rFonts w:ascii="arial" w:eastAsia="arial" w:hAnsi="arial" w:cs="arial"/>
          <w:sz w:val="20"/>
          <w:lang w:val="en-US" w:eastAsia="en-US" w:bidi="ar-SA"/>
        </w:rPr>
      </w:pPr>
      <w:bookmarkStart w:id="196" w:name="Forward_fnref_fnr-12"/>
      <w:hyperlink w:anchor="Backward_fnref_fnr-12" w:history="1">
        <w:r>
          <w:rPr>
            <w:rFonts w:ascii="arial" w:eastAsia="arial" w:hAnsi="arial" w:cs="arial"/>
            <w:b/>
            <w:color w:val="BE161D"/>
            <w:sz w:val="18"/>
            <w:shd w:val="clear" w:color="auto" w:fill="FFFFFF"/>
            <w:lang w:val="en-US" w:eastAsia="en-US" w:bidi="ar-SA"/>
          </w:rPr>
          <w:t>12</w:t>
        </w:r>
      </w:hyperlink>
      <w:bookmarkEnd w:id="196"/>
      <w:r>
        <w:rPr>
          <w:rFonts w:ascii="arial" w:eastAsia="arial" w:hAnsi="arial" w:cs="arial"/>
          <w:sz w:val="20"/>
          <w:lang w:val="en-US" w:eastAsia="en-US" w:bidi="ar-SA"/>
        </w:rPr>
        <w:tab/>
      </w:r>
      <w:r>
        <w:rPr>
          <w:rFonts w:ascii="arial" w:eastAsia="arial" w:hAnsi="arial" w:cs="arial"/>
          <w:color w:val="6D6E71"/>
          <w:sz w:val="18"/>
          <w:lang w:val="en-US" w:eastAsia="en-US" w:bidi="ar-SA"/>
        </w:rPr>
        <w:t>IRSSA, Schedule "D" (IAP Model), pp. 31-32 ("Non-Student/Non-Resident Test"). It should be noted that although the heading that precedes the excerpted portion is "Where the victim was not a student or resident", the text pertains only to "non-students" (</w:t>
      </w:r>
      <w:r>
        <w:rPr>
          <w:rFonts w:ascii="arial" w:eastAsia="arial" w:hAnsi="arial" w:cs="arial"/>
          <w:i/>
          <w:color w:val="6D6E71"/>
          <w:sz w:val="18"/>
          <w:lang w:val="en-US" w:eastAsia="en-US" w:bidi="ar-SA"/>
        </w:rPr>
        <w:t>i.e.</w:t>
      </w:r>
      <w:r>
        <w:rPr>
          <w:rFonts w:ascii="arial" w:eastAsia="arial" w:hAnsi="arial" w:cs="arial"/>
          <w:color w:val="6D6E71"/>
          <w:sz w:val="18"/>
          <w:lang w:val="en-US" w:eastAsia="en-US" w:bidi="ar-SA"/>
        </w:rPr>
        <w:t>, it contains no provisions expressly relating to non-residents).</w:t>
      </w:r>
    </w:p>
    <w:p>
      <w:pPr>
        <w:spacing w:before="120" w:after="20" w:line="240" w:lineRule="atLeast"/>
        <w:ind w:left="720" w:hanging="360"/>
        <w:jc w:val="both"/>
        <w:rPr>
          <w:rFonts w:ascii="arial" w:eastAsia="arial" w:hAnsi="arial" w:cs="arial"/>
          <w:sz w:val="20"/>
          <w:lang w:val="en-US" w:eastAsia="en-US" w:bidi="ar-SA"/>
        </w:rPr>
      </w:pPr>
      <w:bookmarkStart w:id="197" w:name="Forward_fnref_fnr-13"/>
      <w:hyperlink w:anchor="Backward_fnref_fnr-13" w:history="1">
        <w:r>
          <w:rPr>
            <w:rFonts w:ascii="arial" w:eastAsia="arial" w:hAnsi="arial" w:cs="arial"/>
            <w:b/>
            <w:color w:val="BE161D"/>
            <w:sz w:val="18"/>
            <w:shd w:val="clear" w:color="auto" w:fill="FFFFFF"/>
            <w:lang w:val="en-US" w:eastAsia="en-US" w:bidi="ar-SA"/>
          </w:rPr>
          <w:t>13</w:t>
        </w:r>
      </w:hyperlink>
      <w:bookmarkEnd w:id="197"/>
      <w:r>
        <w:rPr>
          <w:rFonts w:ascii="arial" w:eastAsia="arial" w:hAnsi="arial" w:cs="arial"/>
          <w:sz w:val="20"/>
          <w:lang w:val="en-US" w:eastAsia="en-US" w:bidi="ar-SA"/>
        </w:rPr>
        <w:tab/>
      </w:r>
      <w:r>
        <w:rPr>
          <w:rFonts w:ascii="arial" w:eastAsia="arial" w:hAnsi="arial" w:cs="arial"/>
          <w:color w:val="6D6E71"/>
          <w:sz w:val="18"/>
          <w:lang w:val="en-US" w:eastAsia="en-US" w:bidi="ar-SA"/>
        </w:rPr>
        <w:t>The difference between part (c) of the Student/Resident Test and part (e) of the Non-Student/Non-Resident Test is that the latter includes the following elaboration: "The permission to be on the premises for an organized activity creates the circumstances in which an assault may be compensable if the other tests are met, but it does not also circumscribe the location in which an assault must have been committed to qualify as one which arose from or was connected to an IRS."</w:t>
      </w:r>
    </w:p>
    <w:p>
      <w:pPr>
        <w:spacing w:before="120" w:after="20" w:line="240" w:lineRule="atLeast"/>
        <w:ind w:left="720" w:hanging="360"/>
        <w:jc w:val="both"/>
        <w:rPr>
          <w:rFonts w:ascii="arial" w:eastAsia="arial" w:hAnsi="arial" w:cs="arial"/>
          <w:sz w:val="20"/>
          <w:lang w:val="en-US" w:eastAsia="en-US" w:bidi="ar-SA"/>
        </w:rPr>
      </w:pPr>
      <w:bookmarkStart w:id="198" w:name="Forward_fnref_fnr-14"/>
      <w:hyperlink w:anchor="Backward_fnref_fnr-14" w:history="1">
        <w:r>
          <w:rPr>
            <w:rFonts w:ascii="arial" w:eastAsia="arial" w:hAnsi="arial" w:cs="arial"/>
            <w:b/>
            <w:color w:val="BE161D"/>
            <w:sz w:val="18"/>
            <w:shd w:val="clear" w:color="auto" w:fill="FFFFFF"/>
            <w:lang w:val="en-US" w:eastAsia="en-US" w:bidi="ar-SA"/>
          </w:rPr>
          <w:t>14</w:t>
        </w:r>
      </w:hyperlink>
      <w:bookmarkEnd w:id="198"/>
      <w:r>
        <w:rPr>
          <w:rFonts w:ascii="arial" w:eastAsia="arial" w:hAnsi="arial" w:cs="arial"/>
          <w:sz w:val="20"/>
          <w:lang w:val="en-US" w:eastAsia="en-US" w:bidi="ar-SA"/>
        </w:rPr>
        <w:tab/>
      </w:r>
      <w:r>
        <w:rPr>
          <w:rFonts w:ascii="arial" w:eastAsia="arial" w:hAnsi="arial" w:cs="arial"/>
          <w:color w:val="6D6E71"/>
          <w:sz w:val="18"/>
          <w:lang w:val="en-US" w:eastAsia="en-US" w:bidi="ar-SA"/>
        </w:rPr>
        <w:t>Initial Adjudicator's Decision, para. 45.</w:t>
      </w:r>
    </w:p>
    <w:p>
      <w:pPr>
        <w:spacing w:before="120" w:after="20" w:line="240" w:lineRule="atLeast"/>
        <w:ind w:left="720" w:hanging="360"/>
        <w:jc w:val="both"/>
        <w:rPr>
          <w:rFonts w:ascii="arial" w:eastAsia="arial" w:hAnsi="arial" w:cs="arial"/>
          <w:sz w:val="20"/>
          <w:lang w:val="en-US" w:eastAsia="en-US" w:bidi="ar-SA"/>
        </w:rPr>
      </w:pPr>
      <w:bookmarkStart w:id="199" w:name="Forward_fnref_fnr-15"/>
      <w:hyperlink w:anchor="Backward_fnref_fnr-15" w:history="1">
        <w:r>
          <w:rPr>
            <w:rFonts w:ascii="arial" w:eastAsia="arial" w:hAnsi="arial" w:cs="arial"/>
            <w:b/>
            <w:color w:val="BE161D"/>
            <w:sz w:val="18"/>
            <w:shd w:val="clear" w:color="auto" w:fill="FFFFFF"/>
            <w:lang w:val="en-US" w:eastAsia="en-US" w:bidi="ar-SA"/>
          </w:rPr>
          <w:t>15</w:t>
        </w:r>
      </w:hyperlink>
      <w:bookmarkEnd w:id="199"/>
      <w:r>
        <w:rPr>
          <w:rFonts w:ascii="arial" w:eastAsia="arial" w:hAnsi="arial" w:cs="arial"/>
          <w:sz w:val="20"/>
          <w:lang w:val="en-US" w:eastAsia="en-US" w:bidi="ar-SA"/>
        </w:rPr>
        <w:tab/>
      </w:r>
      <w:r>
        <w:rPr>
          <w:rFonts w:ascii="arial" w:eastAsia="arial" w:hAnsi="arial" w:cs="arial"/>
          <w:color w:val="6D6E71"/>
          <w:sz w:val="18"/>
          <w:lang w:val="en-US" w:eastAsia="en-US" w:bidi="ar-SA"/>
        </w:rPr>
        <w:t>In fact, at paragraph 20 of her decision, the Initial Adjudicator commented that there was documentary evidence showing that "the Guidance Counsellor role was not a role that was under the control or direction of the Administrator of the IRS."</w:t>
      </w:r>
    </w:p>
    <w:p>
      <w:pPr>
        <w:spacing w:before="120" w:after="20" w:line="240" w:lineRule="atLeast"/>
        <w:ind w:left="720" w:hanging="360"/>
        <w:jc w:val="both"/>
        <w:rPr>
          <w:rFonts w:ascii="arial" w:eastAsia="arial" w:hAnsi="arial" w:cs="arial"/>
          <w:sz w:val="20"/>
          <w:lang w:val="en-US" w:eastAsia="en-US" w:bidi="ar-SA"/>
        </w:rPr>
      </w:pPr>
      <w:bookmarkStart w:id="200" w:name="Forward_fnref_fnr-16"/>
      <w:hyperlink w:anchor="Backward_fnref_fnr-16" w:history="1">
        <w:r>
          <w:rPr>
            <w:rFonts w:ascii="arial" w:eastAsia="arial" w:hAnsi="arial" w:cs="arial"/>
            <w:b/>
            <w:color w:val="BE161D"/>
            <w:sz w:val="18"/>
            <w:shd w:val="clear" w:color="auto" w:fill="FFFFFF"/>
            <w:lang w:val="en-US" w:eastAsia="en-US" w:bidi="ar-SA"/>
          </w:rPr>
          <w:t>16</w:t>
        </w:r>
      </w:hyperlink>
      <w:bookmarkEnd w:id="200"/>
      <w:r>
        <w:rPr>
          <w:rFonts w:ascii="arial" w:eastAsia="arial" w:hAnsi="arial" w:cs="arial"/>
          <w:sz w:val="20"/>
          <w:lang w:val="en-US" w:eastAsia="en-US" w:bidi="ar-SA"/>
        </w:rPr>
        <w:tab/>
      </w:r>
      <w:r>
        <w:rPr>
          <w:rFonts w:ascii="arial" w:eastAsia="arial" w:hAnsi="arial" w:cs="arial"/>
          <w:color w:val="6D6E71"/>
          <w:sz w:val="18"/>
          <w:lang w:val="en-US" w:eastAsia="en-US" w:bidi="ar-SA"/>
        </w:rPr>
        <w:t>Initial Adjudicator's Decision, para. 47.</w:t>
      </w:r>
    </w:p>
    <w:p>
      <w:pPr>
        <w:spacing w:before="120" w:after="20" w:line="240" w:lineRule="atLeast"/>
        <w:ind w:left="720" w:hanging="360"/>
        <w:jc w:val="both"/>
        <w:rPr>
          <w:rFonts w:ascii="arial" w:eastAsia="arial" w:hAnsi="arial" w:cs="arial"/>
          <w:sz w:val="20"/>
          <w:lang w:val="en-US" w:eastAsia="en-US" w:bidi="ar-SA"/>
        </w:rPr>
      </w:pPr>
      <w:bookmarkStart w:id="201" w:name="Forward_fnref_fnr-17"/>
      <w:hyperlink w:anchor="Backward_fnref_fnr-17" w:history="1">
        <w:r>
          <w:rPr>
            <w:rFonts w:ascii="arial" w:eastAsia="arial" w:hAnsi="arial" w:cs="arial"/>
            <w:b/>
            <w:color w:val="BE161D"/>
            <w:sz w:val="18"/>
            <w:shd w:val="clear" w:color="auto" w:fill="FFFFFF"/>
            <w:lang w:val="en-US" w:eastAsia="en-US" w:bidi="ar-SA"/>
          </w:rPr>
          <w:t>17</w:t>
        </w:r>
      </w:hyperlink>
      <w:bookmarkEnd w:id="201"/>
      <w:r>
        <w:rPr>
          <w:rFonts w:ascii="arial" w:eastAsia="arial" w:hAnsi="arial" w:cs="arial"/>
          <w:sz w:val="20"/>
          <w:lang w:val="en-US" w:eastAsia="en-US" w:bidi="ar-SA"/>
        </w:rPr>
        <w:tab/>
      </w:r>
      <w:r>
        <w:rPr>
          <w:rFonts w:ascii="arial" w:eastAsia="arial" w:hAnsi="arial" w:cs="arial"/>
          <w:color w:val="6D6E71"/>
          <w:sz w:val="18"/>
          <w:lang w:val="en-US" w:eastAsia="en-US" w:bidi="ar-SA"/>
        </w:rPr>
        <w:t>Initial Adjudicator's Decision, para. 67.</w:t>
      </w:r>
    </w:p>
    <w:p>
      <w:pPr>
        <w:spacing w:before="120" w:after="20" w:line="240" w:lineRule="atLeast"/>
        <w:ind w:left="720" w:hanging="360"/>
        <w:jc w:val="both"/>
        <w:rPr>
          <w:rFonts w:ascii="arial" w:eastAsia="arial" w:hAnsi="arial" w:cs="arial"/>
          <w:sz w:val="20"/>
          <w:lang w:val="en-US" w:eastAsia="en-US" w:bidi="ar-SA"/>
        </w:rPr>
      </w:pPr>
      <w:bookmarkStart w:id="202" w:name="Forward_fnref_fnr-18"/>
      <w:hyperlink w:anchor="Backward_fnref_fnr-18" w:history="1">
        <w:r>
          <w:rPr>
            <w:rFonts w:ascii="arial" w:eastAsia="arial" w:hAnsi="arial" w:cs="arial"/>
            <w:b/>
            <w:color w:val="BE161D"/>
            <w:sz w:val="18"/>
            <w:shd w:val="clear" w:color="auto" w:fill="FFFFFF"/>
            <w:lang w:val="en-US" w:eastAsia="en-US" w:bidi="ar-SA"/>
          </w:rPr>
          <w:t>18</w:t>
        </w:r>
      </w:hyperlink>
      <w:bookmarkEnd w:id="202"/>
      <w:r>
        <w:rPr>
          <w:rFonts w:ascii="arial" w:eastAsia="arial" w:hAnsi="arial" w:cs="arial"/>
          <w:sz w:val="20"/>
          <w:lang w:val="en-US" w:eastAsia="en-US" w:bidi="ar-SA"/>
        </w:rPr>
        <w:tab/>
      </w:r>
      <w:r>
        <w:rPr>
          <w:rFonts w:ascii="arial" w:eastAsia="arial" w:hAnsi="arial" w:cs="arial"/>
          <w:color w:val="6D6E71"/>
          <w:sz w:val="18"/>
          <w:lang w:val="en-US" w:eastAsia="en-US" w:bidi="ar-SA"/>
        </w:rPr>
        <w:t>This was a standard track case under the IAP Model. Item III I (p. 14) of the IAP Model provides as follows:</w:t>
      </w:r>
    </w:p>
    <w:p>
      <w:pPr>
        <w:spacing w:before="120" w:after="20" w:line="240" w:lineRule="atLeast"/>
        <w:ind w:left="1440"/>
        <w:jc w:val="both"/>
        <w:rPr>
          <w:rFonts w:ascii="arial" w:eastAsia="arial" w:hAnsi="arial" w:cs="arial"/>
          <w:sz w:val="20"/>
          <w:lang w:val="en-US" w:eastAsia="en-US" w:bidi="ar-SA"/>
        </w:rPr>
      </w:pPr>
      <w:r>
        <w:rPr>
          <w:rFonts w:ascii="arial" w:eastAsia="arial" w:hAnsi="arial" w:cs="arial"/>
          <w:color w:val="6D6E71"/>
          <w:sz w:val="18"/>
          <w:lang w:val="en-US" w:eastAsia="en-US" w:bidi="ar-SA"/>
        </w:rPr>
        <w:t>i For cases within the standard or complex track, any party may ask the Chief Adjudicator or designate to determine whether an adjudicator's, or reviewing adjudicator's, decision properly applied the IAP Model to the facts as found by the adjudicator, and if not, to correct the decision, and the Chief Adjudicator or designate may do so.</w:t>
      </w:r>
    </w:p>
    <w:p>
      <w:pPr>
        <w:spacing w:before="120" w:after="20" w:line="240" w:lineRule="atLeast"/>
        <w:ind w:left="720"/>
        <w:jc w:val="both"/>
        <w:rPr>
          <w:rFonts w:ascii="arial" w:eastAsia="arial" w:hAnsi="arial" w:cs="arial"/>
          <w:sz w:val="20"/>
          <w:lang w:val="en-US" w:eastAsia="en-US" w:bidi="ar-SA"/>
        </w:rPr>
      </w:pPr>
      <w:r>
        <w:rPr>
          <w:rFonts w:ascii="arial" w:eastAsia="arial" w:hAnsi="arial" w:cs="arial"/>
          <w:color w:val="6D6E71"/>
          <w:sz w:val="18"/>
          <w:lang w:val="en-US" w:eastAsia="en-US" w:bidi="ar-SA"/>
        </w:rPr>
        <w:t xml:space="preserve"> </w:t>
      </w:r>
    </w:p>
    <w:p>
      <w:pPr>
        <w:spacing w:before="120" w:after="20" w:line="240" w:lineRule="atLeast"/>
        <w:ind w:left="1440"/>
        <w:jc w:val="both"/>
        <w:rPr>
          <w:rFonts w:ascii="arial" w:eastAsia="arial" w:hAnsi="arial" w:cs="arial"/>
          <w:sz w:val="20"/>
          <w:lang w:val="en-US" w:eastAsia="en-US" w:bidi="ar-SA"/>
        </w:rPr>
      </w:pPr>
      <w:r>
        <w:rPr>
          <w:rFonts w:ascii="arial" w:eastAsia="arial" w:hAnsi="arial" w:cs="arial"/>
          <w:color w:val="6D6E71"/>
          <w:sz w:val="18"/>
          <w:lang w:val="en-US" w:eastAsia="en-US" w:bidi="ar-SA"/>
        </w:rPr>
        <w:t>ii. In both the standard and the complex issues tracks, Claimants may require that a second adjudicator review a decision to determine whether it contains a palpable and overriding error.</w:t>
      </w:r>
    </w:p>
    <w:p>
      <w:pPr>
        <w:spacing w:before="120" w:after="20" w:line="240" w:lineRule="atLeast"/>
        <w:ind w:left="720" w:hanging="360"/>
        <w:jc w:val="both"/>
        <w:rPr>
          <w:rFonts w:ascii="arial" w:eastAsia="arial" w:hAnsi="arial" w:cs="arial"/>
          <w:sz w:val="20"/>
          <w:lang w:val="en-US" w:eastAsia="en-US" w:bidi="ar-SA"/>
        </w:rPr>
      </w:pPr>
      <w:bookmarkStart w:id="203" w:name="Forward_fnref_fnr-19"/>
      <w:hyperlink w:anchor="Backward_fnref_fnr-19" w:history="1">
        <w:r>
          <w:rPr>
            <w:rFonts w:ascii="arial" w:eastAsia="arial" w:hAnsi="arial" w:cs="arial"/>
            <w:b/>
            <w:color w:val="BE161D"/>
            <w:sz w:val="18"/>
            <w:shd w:val="clear" w:color="auto" w:fill="FFFFFF"/>
            <w:lang w:val="en-US" w:eastAsia="en-US" w:bidi="ar-SA"/>
          </w:rPr>
          <w:t>19</w:t>
        </w:r>
      </w:hyperlink>
      <w:bookmarkEnd w:id="203"/>
      <w:r>
        <w:rPr>
          <w:rFonts w:ascii="arial" w:eastAsia="arial" w:hAnsi="arial" w:cs="arial"/>
          <w:sz w:val="20"/>
          <w:lang w:val="en-US" w:eastAsia="en-US" w:bidi="ar-SA"/>
        </w:rPr>
        <w:tab/>
      </w:r>
      <w:r>
        <w:rPr>
          <w:rFonts w:ascii="arial" w:eastAsia="arial" w:hAnsi="arial" w:cs="arial"/>
          <w:color w:val="6D6E71"/>
          <w:sz w:val="18"/>
          <w:lang w:val="en-US" w:eastAsia="en-US" w:bidi="ar-SA"/>
        </w:rPr>
        <w:t>In fact, the Review Adjudicator went further, stating that "[The Requestor] had no connection to the IRS whatsoever." (Review Adjudicator's Decision, para. 23)</w:t>
      </w:r>
    </w:p>
    <w:p>
      <w:pPr>
        <w:spacing w:before="120" w:after="20" w:line="240" w:lineRule="atLeast"/>
        <w:ind w:left="720" w:hanging="360"/>
        <w:jc w:val="both"/>
        <w:rPr>
          <w:rFonts w:ascii="arial" w:eastAsia="arial" w:hAnsi="arial" w:cs="arial"/>
          <w:sz w:val="20"/>
          <w:lang w:val="en-US" w:eastAsia="en-US" w:bidi="ar-SA"/>
        </w:rPr>
      </w:pPr>
      <w:bookmarkStart w:id="204" w:name="Forward_fnref_fnr-20"/>
      <w:hyperlink w:anchor="Backward_fnref_fnr-20" w:history="1">
        <w:r>
          <w:rPr>
            <w:rFonts w:ascii="arial" w:eastAsia="arial" w:hAnsi="arial" w:cs="arial"/>
            <w:b/>
            <w:color w:val="BE161D"/>
            <w:sz w:val="18"/>
            <w:shd w:val="clear" w:color="auto" w:fill="FFFFFF"/>
            <w:lang w:val="en-US" w:eastAsia="en-US" w:bidi="ar-SA"/>
          </w:rPr>
          <w:t>20</w:t>
        </w:r>
      </w:hyperlink>
      <w:bookmarkEnd w:id="204"/>
      <w:r>
        <w:rPr>
          <w:rFonts w:ascii="arial" w:eastAsia="arial" w:hAnsi="arial" w:cs="arial"/>
          <w:sz w:val="20"/>
          <w:lang w:val="en-US" w:eastAsia="en-US" w:bidi="ar-SA"/>
        </w:rPr>
        <w:tab/>
      </w:r>
      <w:r>
        <w:rPr>
          <w:rFonts w:ascii="arial" w:eastAsia="arial" w:hAnsi="arial" w:cs="arial"/>
          <w:color w:val="6D6E71"/>
          <w:sz w:val="18"/>
          <w:lang w:val="en-US" w:eastAsia="en-US" w:bidi="ar-SA"/>
        </w:rPr>
        <w:t>The third ground related to parts (a) and (c) of the three-part Student/Resident Test.</w:t>
      </w:r>
    </w:p>
    <w:p>
      <w:pPr>
        <w:spacing w:before="120" w:after="20" w:line="240" w:lineRule="atLeast"/>
        <w:ind w:left="720" w:hanging="360"/>
        <w:jc w:val="both"/>
        <w:rPr>
          <w:rFonts w:ascii="arial" w:eastAsia="arial" w:hAnsi="arial" w:cs="arial"/>
          <w:sz w:val="20"/>
          <w:lang w:val="en-US" w:eastAsia="en-US" w:bidi="ar-SA"/>
        </w:rPr>
      </w:pPr>
      <w:bookmarkStart w:id="205" w:name="Forward_fnref_fnr-21"/>
      <w:hyperlink w:anchor="Backward_fnref_fnr-21" w:history="1">
        <w:r>
          <w:rPr>
            <w:rFonts w:ascii="arial" w:eastAsia="arial" w:hAnsi="arial" w:cs="arial"/>
            <w:b/>
            <w:color w:val="BE161D"/>
            <w:sz w:val="18"/>
            <w:shd w:val="clear" w:color="auto" w:fill="FFFFFF"/>
            <w:lang w:val="en-US" w:eastAsia="en-US" w:bidi="ar-SA"/>
          </w:rPr>
          <w:t>21</w:t>
        </w:r>
      </w:hyperlink>
      <w:bookmarkEnd w:id="205"/>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The fourth and final ground related to the SL1.4 claim (which is not before me). Ultimately, the Re-Review Adjudicator accepted that in light of the guidance provided in </w:t>
      </w:r>
      <w:r>
        <w:rPr>
          <w:rFonts w:ascii="arial" w:eastAsia="arial" w:hAnsi="arial" w:cs="arial"/>
          <w:i/>
          <w:color w:val="6D6E71"/>
          <w:sz w:val="18"/>
          <w:lang w:val="en-US" w:eastAsia="en-US" w:bidi="ar-SA"/>
        </w:rPr>
        <w:t>J.W.</w:t>
      </w:r>
      <w:r>
        <w:rPr>
          <w:rFonts w:ascii="arial" w:eastAsia="arial" w:hAnsi="arial" w:cs="arial"/>
          <w:color w:val="6D6E71"/>
          <w:sz w:val="18"/>
          <w:lang w:val="en-US" w:eastAsia="en-US" w:bidi="ar-SA"/>
        </w:rPr>
        <w:t>, the Hearing Adjudicator had failed to apply the IAP Model to the SL1.4 claim - an error not corrected by the Review Adjudicator - and substituted a decision in which the Requestor was granted an award.</w:t>
      </w:r>
    </w:p>
    <w:p>
      <w:pPr>
        <w:spacing w:before="120" w:after="20" w:line="240" w:lineRule="atLeast"/>
        <w:ind w:left="720" w:hanging="360"/>
        <w:jc w:val="both"/>
        <w:rPr>
          <w:rFonts w:ascii="arial" w:eastAsia="arial" w:hAnsi="arial" w:cs="arial"/>
          <w:sz w:val="20"/>
          <w:lang w:val="en-US" w:eastAsia="en-US" w:bidi="ar-SA"/>
        </w:rPr>
      </w:pPr>
      <w:bookmarkStart w:id="206" w:name="Forward_fnref_fnr-22"/>
      <w:hyperlink w:anchor="Backward_fnref_fnr-22" w:history="1">
        <w:r>
          <w:rPr>
            <w:rFonts w:ascii="arial" w:eastAsia="arial" w:hAnsi="arial" w:cs="arial"/>
            <w:b/>
            <w:color w:val="BE161D"/>
            <w:sz w:val="18"/>
            <w:shd w:val="clear" w:color="auto" w:fill="FFFFFF"/>
            <w:lang w:val="en-US" w:eastAsia="en-US" w:bidi="ar-SA"/>
          </w:rPr>
          <w:t>22</w:t>
        </w:r>
      </w:hyperlink>
      <w:bookmarkEnd w:id="206"/>
      <w:r>
        <w:rPr>
          <w:rFonts w:ascii="arial" w:eastAsia="arial" w:hAnsi="arial" w:cs="arial"/>
          <w:sz w:val="20"/>
          <w:lang w:val="en-US" w:eastAsia="en-US" w:bidi="ar-SA"/>
        </w:rPr>
        <w:tab/>
      </w:r>
      <w:r>
        <w:rPr>
          <w:rFonts w:ascii="arial" w:eastAsia="arial" w:hAnsi="arial" w:cs="arial"/>
          <w:color w:val="6D6E71"/>
          <w:sz w:val="18"/>
          <w:lang w:val="en-US" w:eastAsia="en-US" w:bidi="ar-SA"/>
        </w:rPr>
        <w:t>In citing provisions of the IRSSA, I have used the conventions used in the IRSSA itself, which refers (for example, in Section 12.01(1) to "Section 12.01(2) of this Agreement".</w:t>
      </w:r>
    </w:p>
    <w:p>
      <w:pPr>
        <w:spacing w:before="120" w:after="20" w:line="240" w:lineRule="atLeast"/>
        <w:ind w:left="720" w:hanging="360"/>
        <w:jc w:val="both"/>
        <w:rPr>
          <w:rFonts w:ascii="arial" w:eastAsia="arial" w:hAnsi="arial" w:cs="arial"/>
          <w:sz w:val="20"/>
          <w:lang w:val="en-US" w:eastAsia="en-US" w:bidi="ar-SA"/>
        </w:rPr>
      </w:pPr>
      <w:bookmarkStart w:id="207" w:name="Forward_fnref_fnr-23"/>
      <w:hyperlink w:anchor="Backward_fnref_fnr-23" w:history="1">
        <w:r>
          <w:rPr>
            <w:rFonts w:ascii="arial" w:eastAsia="arial" w:hAnsi="arial" w:cs="arial"/>
            <w:b/>
            <w:color w:val="BE161D"/>
            <w:sz w:val="18"/>
            <w:shd w:val="clear" w:color="auto" w:fill="FFFFFF"/>
            <w:lang w:val="en-US" w:eastAsia="en-US" w:bidi="ar-SA"/>
          </w:rPr>
          <w:t>23</w:t>
        </w:r>
      </w:hyperlink>
      <w:bookmarkEnd w:id="207"/>
      <w:r>
        <w:rPr>
          <w:rFonts w:ascii="arial" w:eastAsia="arial" w:hAnsi="arial" w:cs="arial"/>
          <w:sz w:val="20"/>
          <w:lang w:val="en-US" w:eastAsia="en-US" w:bidi="ar-SA"/>
        </w:rPr>
        <w:tab/>
      </w:r>
      <w:r>
        <w:rPr>
          <w:rFonts w:ascii="arial" w:eastAsia="arial" w:hAnsi="arial" w:cs="arial"/>
          <w:color w:val="6D6E71"/>
          <w:sz w:val="18"/>
          <w:lang w:val="en-US" w:eastAsia="en-US" w:bidi="ar-SA"/>
        </w:rPr>
        <w:t>This submission included reference to three of the (non-exhaustive) indicators for determining whether Canada was jointly or severally responsible for the operation of the residence and care of the children, as set out in section 12.01(3). The three indicators referenced by the Requestor were whether: (1) the institution was federally owned; (2) Canada stood as a parent to the child; and (3) Canada was at least partially responsible for the administration of the institution.</w:t>
      </w:r>
    </w:p>
    <w:p>
      <w:pPr>
        <w:spacing w:before="120" w:after="20" w:line="240" w:lineRule="atLeast"/>
        <w:ind w:left="720" w:hanging="360"/>
        <w:jc w:val="both"/>
        <w:rPr>
          <w:rFonts w:ascii="arial" w:eastAsia="arial" w:hAnsi="arial" w:cs="arial"/>
          <w:sz w:val="20"/>
          <w:lang w:val="en-US" w:eastAsia="en-US" w:bidi="ar-SA"/>
        </w:rPr>
      </w:pPr>
      <w:bookmarkStart w:id="208" w:name="Forward_fnref_fnr-24"/>
      <w:hyperlink w:anchor="Backward_fnref_fnr-24" w:history="1">
        <w:r>
          <w:rPr>
            <w:rFonts w:ascii="arial" w:eastAsia="arial" w:hAnsi="arial" w:cs="arial"/>
            <w:b/>
            <w:color w:val="BE161D"/>
            <w:sz w:val="18"/>
            <w:shd w:val="clear" w:color="auto" w:fill="FFFFFF"/>
            <w:lang w:val="en-US" w:eastAsia="en-US" w:bidi="ar-SA"/>
          </w:rPr>
          <w:t>24</w:t>
        </w:r>
      </w:hyperlink>
      <w:bookmarkEnd w:id="208"/>
      <w:r>
        <w:rPr>
          <w:rFonts w:ascii="arial" w:eastAsia="arial" w:hAnsi="arial" w:cs="arial"/>
          <w:sz w:val="20"/>
          <w:lang w:val="en-US" w:eastAsia="en-US" w:bidi="ar-SA"/>
        </w:rPr>
        <w:tab/>
      </w:r>
      <w:r>
        <w:rPr>
          <w:rFonts w:ascii="arial" w:eastAsia="arial" w:hAnsi="arial" w:cs="arial"/>
          <w:i/>
          <w:color w:val="6D6E71"/>
          <w:sz w:val="18"/>
          <w:lang w:val="en-US" w:eastAsia="en-US" w:bidi="ar-SA"/>
        </w:rPr>
        <w:t>J.W</w:t>
      </w:r>
      <w:r>
        <w:rPr>
          <w:rFonts w:ascii="arial" w:eastAsia="arial" w:hAnsi="arial" w:cs="arial"/>
          <w:color w:val="6D6E71"/>
          <w:sz w:val="18"/>
          <w:lang w:val="en-US" w:eastAsia="en-US" w:bidi="ar-SA"/>
        </w:rPr>
        <w:t xml:space="preserve">. at para. 35, </w:t>
      </w:r>
      <w:r>
        <w:rPr>
          <w:rFonts w:ascii="arial" w:eastAsia="arial" w:hAnsi="arial" w:cs="arial"/>
          <w:i/>
          <w:color w:val="6D6E71"/>
          <w:sz w:val="18"/>
          <w:lang w:val="en-US" w:eastAsia="en-US" w:bidi="ar-SA"/>
        </w:rPr>
        <w:t>per</w:t>
      </w:r>
      <w:r>
        <w:rPr>
          <w:rFonts w:ascii="arial" w:eastAsia="arial" w:hAnsi="arial" w:cs="arial"/>
          <w:color w:val="6D6E71"/>
          <w:sz w:val="18"/>
          <w:lang w:val="en-US" w:eastAsia="en-US" w:bidi="ar-SA"/>
        </w:rPr>
        <w:t xml:space="preserve"> Abella J.</w:t>
      </w:r>
    </w:p>
    <w:p>
      <w:pPr>
        <w:spacing w:before="120" w:after="20" w:line="240" w:lineRule="atLeast"/>
        <w:ind w:left="720" w:hanging="360"/>
        <w:jc w:val="both"/>
        <w:rPr>
          <w:rFonts w:ascii="arial" w:eastAsia="arial" w:hAnsi="arial" w:cs="arial"/>
          <w:sz w:val="20"/>
          <w:lang w:val="en-US" w:eastAsia="en-US" w:bidi="ar-SA"/>
        </w:rPr>
      </w:pPr>
      <w:bookmarkStart w:id="209" w:name="Forward_fnref_fnr-25"/>
      <w:hyperlink w:anchor="Backward_fnref_fnr-25" w:history="1">
        <w:r>
          <w:rPr>
            <w:rFonts w:ascii="arial" w:eastAsia="arial" w:hAnsi="arial" w:cs="arial"/>
            <w:b/>
            <w:color w:val="BE161D"/>
            <w:sz w:val="18"/>
            <w:shd w:val="clear" w:color="auto" w:fill="FFFFFF"/>
            <w:lang w:val="en-US" w:eastAsia="en-US" w:bidi="ar-SA"/>
          </w:rPr>
          <w:t>25</w:t>
        </w:r>
      </w:hyperlink>
      <w:bookmarkEnd w:id="209"/>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In this respect, Mr. Omoruyi cited </w:t>
      </w:r>
      <w:r>
        <w:rPr>
          <w:rFonts w:ascii="arial" w:eastAsia="arial" w:hAnsi="arial" w:cs="arial"/>
          <w:i/>
          <w:color w:val="6D6E71"/>
          <w:sz w:val="18"/>
          <w:lang w:val="en-US" w:eastAsia="en-US" w:bidi="ar-SA"/>
        </w:rPr>
        <w:t>Brown v. Canada (Attorney General)</w:t>
      </w:r>
      <w:r>
        <w:rPr>
          <w:rFonts w:ascii="arial" w:eastAsia="arial" w:hAnsi="arial" w:cs="arial"/>
          <w:color w:val="6D6E71"/>
          <w:sz w:val="18"/>
          <w:lang w:val="en-US" w:eastAsia="en-US" w:bidi="ar-SA"/>
        </w:rPr>
        <w:t xml:space="preserve">, </w:t>
      </w:r>
      <w:hyperlink r:id="rId887" w:history="1">
        <w:r>
          <w:rPr>
            <w:rFonts w:ascii="arial" w:eastAsia="arial" w:hAnsi="arial" w:cs="arial"/>
            <w:i/>
            <w:color w:val="0077CC"/>
            <w:sz w:val="18"/>
            <w:u w:val="single"/>
            <w:shd w:val="clear" w:color="auto" w:fill="FFFFFF"/>
            <w:lang w:val="en-US" w:eastAsia="en-US" w:bidi="ar-SA"/>
          </w:rPr>
          <w:t>2019 BCCA 245</w:t>
        </w:r>
      </w:hyperlink>
      <w:r>
        <w:rPr>
          <w:rFonts w:ascii="arial" w:eastAsia="arial" w:hAnsi="arial" w:cs="arial"/>
          <w:color w:val="6D6E71"/>
          <w:sz w:val="18"/>
          <w:lang w:val="en-US" w:eastAsia="en-US" w:bidi="ar-SA"/>
        </w:rPr>
        <w:t xml:space="preserve"> at para. 84.</w:t>
      </w:r>
    </w:p>
    <w:p>
      <w:pPr>
        <w:spacing w:before="120" w:after="20" w:line="240" w:lineRule="atLeast"/>
        <w:ind w:left="720" w:hanging="360"/>
        <w:jc w:val="both"/>
        <w:rPr>
          <w:rFonts w:ascii="arial" w:eastAsia="arial" w:hAnsi="arial" w:cs="arial"/>
          <w:sz w:val="20"/>
          <w:lang w:val="en-US" w:eastAsia="en-US" w:bidi="ar-SA"/>
        </w:rPr>
      </w:pPr>
      <w:bookmarkStart w:id="210" w:name="Forward_fnref_fnr-26"/>
      <w:hyperlink w:anchor="Backward_fnref_fnr-26" w:history="1">
        <w:r>
          <w:rPr>
            <w:rFonts w:ascii="arial" w:eastAsia="arial" w:hAnsi="arial" w:cs="arial"/>
            <w:b/>
            <w:color w:val="BE161D"/>
            <w:sz w:val="18"/>
            <w:shd w:val="clear" w:color="auto" w:fill="FFFFFF"/>
            <w:lang w:val="en-US" w:eastAsia="en-US" w:bidi="ar-SA"/>
          </w:rPr>
          <w:t>26</w:t>
        </w:r>
      </w:hyperlink>
      <w:bookmarkEnd w:id="210"/>
      <w:r>
        <w:rPr>
          <w:rFonts w:ascii="arial" w:eastAsia="arial" w:hAnsi="arial" w:cs="arial"/>
          <w:sz w:val="20"/>
          <w:lang w:val="en-US" w:eastAsia="en-US" w:bidi="ar-SA"/>
        </w:rPr>
        <w:tab/>
      </w:r>
      <w:r>
        <w:rPr>
          <w:rFonts w:ascii="arial" w:eastAsia="arial" w:hAnsi="arial" w:cs="arial"/>
          <w:color w:val="6D6E71"/>
          <w:sz w:val="18"/>
          <w:lang w:val="en-US" w:eastAsia="en-US" w:bidi="ar-SA"/>
        </w:rPr>
        <w:t>Canada's response factum enumerated seven bases for the submission that judicial recourse is unavailable, treating the proper identification and application of the Non-Student/Non-Resident Test as distinct items.</w:t>
      </w:r>
    </w:p>
    <w:p>
      <w:pPr>
        <w:spacing w:before="120" w:after="20" w:line="240" w:lineRule="atLeast"/>
        <w:ind w:left="720" w:hanging="360"/>
        <w:jc w:val="both"/>
        <w:rPr>
          <w:rFonts w:ascii="arial" w:eastAsia="arial" w:hAnsi="arial" w:cs="arial"/>
          <w:sz w:val="20"/>
          <w:lang w:val="en-US" w:eastAsia="en-US" w:bidi="ar-SA"/>
        </w:rPr>
      </w:pPr>
      <w:bookmarkStart w:id="211" w:name="Forward_fnref_fnr-27"/>
      <w:hyperlink w:anchor="Backward_fnref_fnr-27" w:history="1">
        <w:r>
          <w:rPr>
            <w:rFonts w:ascii="arial" w:eastAsia="arial" w:hAnsi="arial" w:cs="arial"/>
            <w:b/>
            <w:color w:val="BE161D"/>
            <w:sz w:val="18"/>
            <w:shd w:val="clear" w:color="auto" w:fill="FFFFFF"/>
            <w:lang w:val="en-US" w:eastAsia="en-US" w:bidi="ar-SA"/>
          </w:rPr>
          <w:t>27</w:t>
        </w:r>
      </w:hyperlink>
      <w:bookmarkEnd w:id="211"/>
      <w:r>
        <w:rPr>
          <w:rFonts w:ascii="arial" w:eastAsia="arial" w:hAnsi="arial" w:cs="arial"/>
          <w:sz w:val="20"/>
          <w:lang w:val="en-US" w:eastAsia="en-US" w:bidi="ar-SA"/>
        </w:rPr>
        <w:tab/>
      </w:r>
      <w:r>
        <w:rPr>
          <w:rFonts w:ascii="arial" w:eastAsia="arial" w:hAnsi="arial" w:cs="arial"/>
          <w:i/>
          <w:color w:val="6D6E71"/>
          <w:sz w:val="18"/>
          <w:lang w:val="en-US" w:eastAsia="en-US" w:bidi="ar-SA"/>
        </w:rPr>
        <w:t>Fontaine v. Canada (Attorney General)</w:t>
      </w:r>
      <w:r>
        <w:rPr>
          <w:rFonts w:ascii="arial" w:eastAsia="arial" w:hAnsi="arial" w:cs="arial"/>
          <w:color w:val="6D6E71"/>
          <w:sz w:val="18"/>
          <w:lang w:val="en-US" w:eastAsia="en-US" w:bidi="ar-SA"/>
        </w:rPr>
        <w:t xml:space="preserve">, </w:t>
      </w:r>
      <w:hyperlink r:id="rId892" w:history="1">
        <w:r>
          <w:rPr>
            <w:rFonts w:ascii="arial" w:eastAsia="arial" w:hAnsi="arial" w:cs="arial"/>
            <w:i/>
            <w:color w:val="0077CC"/>
            <w:sz w:val="18"/>
            <w:u w:val="single"/>
            <w:shd w:val="clear" w:color="auto" w:fill="FFFFFF"/>
            <w:lang w:val="en-US" w:eastAsia="en-US" w:bidi="ar-SA"/>
          </w:rPr>
          <w:t>2016 BCSC 2218</w:t>
        </w:r>
      </w:hyperlink>
      <w:r>
        <w:rPr>
          <w:rFonts w:ascii="arial" w:eastAsia="arial" w:hAnsi="arial" w:cs="arial"/>
          <w:color w:val="6D6E71"/>
          <w:sz w:val="18"/>
          <w:lang w:val="en-US" w:eastAsia="en-US" w:bidi="ar-SA"/>
        </w:rPr>
        <w:t xml:space="preserve"> at para. 200.</w:t>
      </w:r>
    </w:p>
    <w:p>
      <w:pPr>
        <w:spacing w:before="120" w:after="20" w:line="240" w:lineRule="atLeast"/>
        <w:ind w:left="720" w:hanging="360"/>
        <w:jc w:val="both"/>
        <w:rPr>
          <w:rFonts w:ascii="arial" w:eastAsia="arial" w:hAnsi="arial" w:cs="arial"/>
          <w:sz w:val="20"/>
          <w:lang w:val="en-US" w:eastAsia="en-US" w:bidi="ar-SA"/>
        </w:rPr>
      </w:pPr>
      <w:bookmarkStart w:id="212" w:name="Forward_fnref_fnr-28"/>
      <w:hyperlink w:anchor="Backward_fnref_fnr-28" w:history="1">
        <w:r>
          <w:rPr>
            <w:rFonts w:ascii="arial" w:eastAsia="arial" w:hAnsi="arial" w:cs="arial"/>
            <w:b/>
            <w:color w:val="BE161D"/>
            <w:sz w:val="18"/>
            <w:shd w:val="clear" w:color="auto" w:fill="FFFFFF"/>
            <w:lang w:val="en-US" w:eastAsia="en-US" w:bidi="ar-SA"/>
          </w:rPr>
          <w:t>28</w:t>
        </w:r>
      </w:hyperlink>
      <w:bookmarkEnd w:id="212"/>
      <w:r>
        <w:rPr>
          <w:rFonts w:ascii="arial" w:eastAsia="arial" w:hAnsi="arial" w:cs="arial"/>
          <w:sz w:val="20"/>
          <w:lang w:val="en-US" w:eastAsia="en-US" w:bidi="ar-SA"/>
        </w:rPr>
        <w:tab/>
      </w:r>
      <w:r>
        <w:rPr>
          <w:rFonts w:ascii="arial" w:eastAsia="arial" w:hAnsi="arial" w:cs="arial"/>
          <w:i/>
          <w:color w:val="6D6E71"/>
          <w:sz w:val="18"/>
          <w:lang w:val="en-US" w:eastAsia="en-US" w:bidi="ar-SA"/>
        </w:rPr>
        <w:t>Fontaine 2019</w:t>
      </w:r>
      <w:r>
        <w:rPr>
          <w:rFonts w:ascii="arial" w:eastAsia="arial" w:hAnsi="arial" w:cs="arial"/>
          <w:color w:val="6D6E71"/>
          <w:sz w:val="18"/>
          <w:lang w:val="en-US" w:eastAsia="en-US" w:bidi="ar-SA"/>
        </w:rPr>
        <w:t>, at paras. 50-76.</w:t>
      </w:r>
    </w:p>
    <w:p>
      <w:pPr>
        <w:spacing w:before="120" w:after="20" w:line="240" w:lineRule="atLeast"/>
        <w:ind w:left="720" w:hanging="360"/>
        <w:jc w:val="both"/>
        <w:rPr>
          <w:rFonts w:ascii="arial" w:eastAsia="arial" w:hAnsi="arial" w:cs="arial"/>
          <w:sz w:val="20"/>
          <w:lang w:val="en-US" w:eastAsia="en-US" w:bidi="ar-SA"/>
        </w:rPr>
      </w:pPr>
      <w:bookmarkStart w:id="213" w:name="Forward_fnref_fnr-29"/>
      <w:hyperlink w:anchor="Backward_fnref_fnr-29" w:history="1">
        <w:r>
          <w:rPr>
            <w:rFonts w:ascii="arial" w:eastAsia="arial" w:hAnsi="arial" w:cs="arial"/>
            <w:b/>
            <w:color w:val="BE161D"/>
            <w:sz w:val="18"/>
            <w:shd w:val="clear" w:color="auto" w:fill="FFFFFF"/>
            <w:lang w:val="en-US" w:eastAsia="en-US" w:bidi="ar-SA"/>
          </w:rPr>
          <w:t>29</w:t>
        </w:r>
      </w:hyperlink>
      <w:bookmarkEnd w:id="213"/>
      <w:r>
        <w:rPr>
          <w:rFonts w:ascii="arial" w:eastAsia="arial" w:hAnsi="arial" w:cs="arial"/>
          <w:sz w:val="20"/>
          <w:lang w:val="en-US" w:eastAsia="en-US" w:bidi="ar-SA"/>
        </w:rPr>
        <w:tab/>
      </w:r>
      <w:r>
        <w:rPr>
          <w:rFonts w:ascii="arial" w:eastAsia="arial" w:hAnsi="arial" w:cs="arial"/>
          <w:i/>
          <w:color w:val="6D6E71"/>
          <w:sz w:val="18"/>
          <w:lang w:val="en-US" w:eastAsia="en-US" w:bidi="ar-SA"/>
        </w:rPr>
        <w:t>Fontaine v. Duboff Edwards Haight &amp; Schachter</w:t>
      </w:r>
      <w:r>
        <w:rPr>
          <w:rFonts w:ascii="arial" w:eastAsia="arial" w:hAnsi="arial" w:cs="arial"/>
          <w:color w:val="6D6E71"/>
          <w:sz w:val="18"/>
          <w:lang w:val="en-US" w:eastAsia="en-US" w:bidi="ar-SA"/>
        </w:rPr>
        <w:t xml:space="preserve">, </w:t>
      </w:r>
      <w:hyperlink r:id="rId893" w:history="1">
        <w:r>
          <w:rPr>
            <w:rFonts w:ascii="arial" w:eastAsia="arial" w:hAnsi="arial" w:cs="arial"/>
            <w:i/>
            <w:color w:val="0077CC"/>
            <w:sz w:val="18"/>
            <w:u w:val="single"/>
            <w:shd w:val="clear" w:color="auto" w:fill="FFFFFF"/>
            <w:lang w:val="en-US" w:eastAsia="en-US" w:bidi="ar-SA"/>
          </w:rPr>
          <w:t>2012 ONCA 471</w:t>
        </w:r>
      </w:hyperlink>
      <w:r>
        <w:rPr>
          <w:rFonts w:ascii="arial" w:eastAsia="arial" w:hAnsi="arial" w:cs="arial"/>
          <w:color w:val="6D6E71"/>
          <w:sz w:val="18"/>
          <w:lang w:val="en-US" w:eastAsia="en-US" w:bidi="ar-SA"/>
        </w:rPr>
        <w:t xml:space="preserve"> ("</w:t>
      </w:r>
      <w:r>
        <w:rPr>
          <w:rFonts w:ascii="arial" w:eastAsia="arial" w:hAnsi="arial" w:cs="arial"/>
          <w:i/>
          <w:color w:val="6D6E71"/>
          <w:sz w:val="18"/>
          <w:lang w:val="en-US" w:eastAsia="en-US" w:bidi="ar-SA"/>
        </w:rPr>
        <w:t>Schachter</w:t>
      </w:r>
      <w:r>
        <w:rPr>
          <w:rFonts w:ascii="arial" w:eastAsia="arial" w:hAnsi="arial" w:cs="arial"/>
          <w:color w:val="6D6E71"/>
          <w:sz w:val="18"/>
          <w:lang w:val="en-US" w:eastAsia="en-US" w:bidi="ar-SA"/>
        </w:rPr>
        <w:t xml:space="preserve">"); </w:t>
      </w:r>
      <w:r>
        <w:rPr>
          <w:rFonts w:ascii="arial" w:eastAsia="arial" w:hAnsi="arial" w:cs="arial"/>
          <w:i/>
          <w:color w:val="6D6E71"/>
          <w:sz w:val="18"/>
          <w:lang w:val="en-US" w:eastAsia="en-US" w:bidi="ar-SA"/>
        </w:rPr>
        <w:t>Fontaine v. Canada (Attorney General)</w:t>
      </w:r>
      <w:r>
        <w:rPr>
          <w:rFonts w:ascii="arial" w:eastAsia="arial" w:hAnsi="arial" w:cs="arial"/>
          <w:color w:val="6D6E71"/>
          <w:sz w:val="18"/>
          <w:lang w:val="en-US" w:eastAsia="en-US" w:bidi="ar-SA"/>
        </w:rPr>
        <w:t xml:space="preserve">, </w:t>
      </w:r>
      <w:hyperlink r:id="rId894" w:history="1">
        <w:r>
          <w:rPr>
            <w:rFonts w:ascii="arial" w:eastAsia="arial" w:hAnsi="arial" w:cs="arial"/>
            <w:i/>
            <w:color w:val="0077CC"/>
            <w:sz w:val="18"/>
            <w:u w:val="single"/>
            <w:shd w:val="clear" w:color="auto" w:fill="FFFFFF"/>
            <w:lang w:val="en-US" w:eastAsia="en-US" w:bidi="ar-SA"/>
          </w:rPr>
          <w:t>2017 ONCA 26</w:t>
        </w:r>
      </w:hyperlink>
      <w:r>
        <w:rPr>
          <w:rFonts w:ascii="arial" w:eastAsia="arial" w:hAnsi="arial" w:cs="arial"/>
          <w:color w:val="6D6E71"/>
          <w:sz w:val="18"/>
          <w:lang w:val="en-US" w:eastAsia="en-US" w:bidi="ar-SA"/>
        </w:rPr>
        <w:t xml:space="preserve"> ("</w:t>
      </w:r>
      <w:r>
        <w:rPr>
          <w:rFonts w:ascii="arial" w:eastAsia="arial" w:hAnsi="arial" w:cs="arial"/>
          <w:i/>
          <w:color w:val="6D6E71"/>
          <w:sz w:val="18"/>
          <w:lang w:val="en-US" w:eastAsia="en-US" w:bidi="ar-SA"/>
        </w:rPr>
        <w:t>Spanish IRS</w:t>
      </w:r>
      <w:r>
        <w:rPr>
          <w:rFonts w:ascii="arial" w:eastAsia="arial" w:hAnsi="arial" w:cs="arial"/>
          <w:color w:val="6D6E71"/>
          <w:sz w:val="18"/>
          <w:lang w:val="en-US" w:eastAsia="en-US" w:bidi="ar-SA"/>
        </w:rPr>
        <w:t xml:space="preserve">"); </w:t>
      </w:r>
      <w:r>
        <w:rPr>
          <w:rFonts w:ascii="arial" w:eastAsia="arial" w:hAnsi="arial" w:cs="arial"/>
          <w:i/>
          <w:color w:val="6D6E71"/>
          <w:sz w:val="18"/>
          <w:lang w:val="en-US" w:eastAsia="en-US" w:bidi="ar-SA"/>
        </w:rPr>
        <w:t>N.N. v. Canada (Attorney General)</w:t>
      </w:r>
      <w:r>
        <w:rPr>
          <w:rFonts w:ascii="arial" w:eastAsia="arial" w:hAnsi="arial" w:cs="arial"/>
          <w:color w:val="6D6E71"/>
          <w:sz w:val="18"/>
          <w:lang w:val="en-US" w:eastAsia="en-US" w:bidi="ar-SA"/>
        </w:rPr>
        <w:t xml:space="preserve">, </w:t>
      </w:r>
      <w:hyperlink r:id="rId895" w:history="1">
        <w:r>
          <w:rPr>
            <w:rFonts w:ascii="arial" w:eastAsia="arial" w:hAnsi="arial" w:cs="arial"/>
            <w:i/>
            <w:color w:val="0077CC"/>
            <w:sz w:val="18"/>
            <w:u w:val="single"/>
            <w:shd w:val="clear" w:color="auto" w:fill="FFFFFF"/>
            <w:lang w:val="en-US" w:eastAsia="en-US" w:bidi="ar-SA"/>
          </w:rPr>
          <w:t>2018 BCCA 105</w:t>
        </w:r>
      </w:hyperlink>
      <w:r>
        <w:rPr>
          <w:rFonts w:ascii="arial" w:eastAsia="arial" w:hAnsi="arial" w:cs="arial"/>
          <w:color w:val="6D6E71"/>
          <w:sz w:val="18"/>
          <w:lang w:val="en-US" w:eastAsia="en-US" w:bidi="ar-SA"/>
        </w:rPr>
        <w:t xml:space="preserve"> ("</w:t>
      </w:r>
      <w:r>
        <w:rPr>
          <w:rFonts w:ascii="arial" w:eastAsia="arial" w:hAnsi="arial" w:cs="arial"/>
          <w:i/>
          <w:color w:val="6D6E71"/>
          <w:sz w:val="18"/>
          <w:lang w:val="en-US" w:eastAsia="en-US" w:bidi="ar-SA"/>
        </w:rPr>
        <w:t>N.N</w:t>
      </w:r>
      <w:r>
        <w:rPr>
          <w:rFonts w:ascii="arial" w:eastAsia="arial" w:hAnsi="arial" w:cs="arial"/>
          <w:color w:val="6D6E71"/>
          <w:sz w:val="18"/>
          <w:lang w:val="en-US" w:eastAsia="en-US" w:bidi="ar-SA"/>
        </w:rPr>
        <w:t>.").</w:t>
      </w:r>
    </w:p>
    <w:p>
      <w:pPr>
        <w:spacing w:before="120" w:after="20" w:line="240" w:lineRule="atLeast"/>
        <w:ind w:left="720" w:hanging="360"/>
        <w:jc w:val="both"/>
        <w:rPr>
          <w:rFonts w:ascii="arial" w:eastAsia="arial" w:hAnsi="arial" w:cs="arial"/>
          <w:sz w:val="20"/>
          <w:lang w:val="en-US" w:eastAsia="en-US" w:bidi="ar-SA"/>
        </w:rPr>
      </w:pPr>
      <w:bookmarkStart w:id="214" w:name="Forward_fnref_fnr-30"/>
      <w:hyperlink w:anchor="Backward_fnref_fnr-30" w:history="1">
        <w:r>
          <w:rPr>
            <w:rFonts w:ascii="arial" w:eastAsia="arial" w:hAnsi="arial" w:cs="arial"/>
            <w:b/>
            <w:color w:val="BE161D"/>
            <w:sz w:val="18"/>
            <w:shd w:val="clear" w:color="auto" w:fill="FFFFFF"/>
            <w:lang w:val="en-US" w:eastAsia="en-US" w:bidi="ar-SA"/>
          </w:rPr>
          <w:t>30</w:t>
        </w:r>
      </w:hyperlink>
      <w:bookmarkEnd w:id="214"/>
      <w:r>
        <w:rPr>
          <w:rFonts w:ascii="arial" w:eastAsia="arial" w:hAnsi="arial" w:cs="arial"/>
          <w:sz w:val="20"/>
          <w:lang w:val="en-US" w:eastAsia="en-US" w:bidi="ar-SA"/>
        </w:rPr>
        <w:tab/>
      </w:r>
      <w:r>
        <w:rPr>
          <w:rFonts w:ascii="arial" w:eastAsia="arial" w:hAnsi="arial" w:cs="arial"/>
          <w:i/>
          <w:color w:val="6D6E71"/>
          <w:sz w:val="18"/>
          <w:lang w:val="en-US" w:eastAsia="en-US" w:bidi="ar-SA"/>
        </w:rPr>
        <w:t>J.W</w:t>
      </w:r>
      <w:r>
        <w:rPr>
          <w:rFonts w:ascii="arial" w:eastAsia="arial" w:hAnsi="arial" w:cs="arial"/>
          <w:color w:val="6D6E71"/>
          <w:sz w:val="18"/>
          <w:lang w:val="en-US" w:eastAsia="en-US" w:bidi="ar-SA"/>
        </w:rPr>
        <w:t>. at paras. 28, 32 (per Abella J.); para. 123 (per Côté J.); para. 175 (per Brown J.). Abella J. accepted that "there are compelling reasons for setting a high bar for judicial intervention in the IAP context". (at para. 28)</w:t>
      </w:r>
    </w:p>
    <w:p>
      <w:pPr>
        <w:spacing w:before="120" w:after="20" w:line="240" w:lineRule="atLeast"/>
        <w:ind w:left="720" w:hanging="360"/>
        <w:jc w:val="both"/>
        <w:rPr>
          <w:rFonts w:ascii="arial" w:eastAsia="arial" w:hAnsi="arial" w:cs="arial"/>
          <w:sz w:val="20"/>
          <w:lang w:val="en-US" w:eastAsia="en-US" w:bidi="ar-SA"/>
        </w:rPr>
      </w:pPr>
      <w:bookmarkStart w:id="215" w:name="Forward_fnref_fnr-31"/>
      <w:hyperlink w:anchor="Backward_fnref_fnr-31" w:history="1">
        <w:r>
          <w:rPr>
            <w:rFonts w:ascii="arial" w:eastAsia="arial" w:hAnsi="arial" w:cs="arial"/>
            <w:b/>
            <w:color w:val="BE161D"/>
            <w:sz w:val="18"/>
            <w:shd w:val="clear" w:color="auto" w:fill="FFFFFF"/>
            <w:lang w:val="en-US" w:eastAsia="en-US" w:bidi="ar-SA"/>
          </w:rPr>
          <w:t>31</w:t>
        </w:r>
      </w:hyperlink>
      <w:bookmarkEnd w:id="215"/>
      <w:r>
        <w:rPr>
          <w:rFonts w:ascii="arial" w:eastAsia="arial" w:hAnsi="arial" w:cs="arial"/>
          <w:sz w:val="20"/>
          <w:lang w:val="en-US" w:eastAsia="en-US" w:bidi="ar-SA"/>
        </w:rPr>
        <w:tab/>
      </w:r>
      <w:r>
        <w:rPr>
          <w:rFonts w:ascii="arial" w:eastAsia="arial" w:hAnsi="arial" w:cs="arial"/>
          <w:i/>
          <w:color w:val="6D6E71"/>
          <w:sz w:val="18"/>
          <w:lang w:val="en-US" w:eastAsia="en-US" w:bidi="ar-SA"/>
        </w:rPr>
        <w:t>J.W.</w:t>
      </w:r>
      <w:r>
        <w:rPr>
          <w:rFonts w:ascii="arial" w:eastAsia="arial" w:hAnsi="arial" w:cs="arial"/>
          <w:color w:val="6D6E71"/>
          <w:sz w:val="18"/>
          <w:lang w:val="en-US" w:eastAsia="en-US" w:bidi="ar-SA"/>
        </w:rPr>
        <w:t>, at paras. 25, 52, per Abella J; paras. 95, 128-129, per Côté J.; and para. 175, per Brown J.</w:t>
      </w:r>
    </w:p>
    <w:p>
      <w:pPr>
        <w:spacing w:before="120" w:after="20" w:line="240" w:lineRule="atLeast"/>
        <w:ind w:left="720" w:hanging="360"/>
        <w:jc w:val="both"/>
        <w:rPr>
          <w:rFonts w:ascii="arial" w:eastAsia="arial" w:hAnsi="arial" w:cs="arial"/>
          <w:sz w:val="20"/>
          <w:lang w:val="en-US" w:eastAsia="en-US" w:bidi="ar-SA"/>
        </w:rPr>
      </w:pPr>
      <w:bookmarkStart w:id="216" w:name="Forward_fnref_fnr-32"/>
      <w:hyperlink w:anchor="Backward_fnref_fnr-32" w:history="1">
        <w:r>
          <w:rPr>
            <w:rFonts w:ascii="arial" w:eastAsia="arial" w:hAnsi="arial" w:cs="arial"/>
            <w:b/>
            <w:color w:val="BE161D"/>
            <w:sz w:val="18"/>
            <w:shd w:val="clear" w:color="auto" w:fill="FFFFFF"/>
            <w:lang w:val="en-US" w:eastAsia="en-US" w:bidi="ar-SA"/>
          </w:rPr>
          <w:t>32</w:t>
        </w:r>
      </w:hyperlink>
      <w:bookmarkEnd w:id="216"/>
      <w:r>
        <w:rPr>
          <w:rFonts w:ascii="arial" w:eastAsia="arial" w:hAnsi="arial" w:cs="arial"/>
          <w:sz w:val="20"/>
          <w:lang w:val="en-US" w:eastAsia="en-US" w:bidi="ar-SA"/>
        </w:rPr>
        <w:tab/>
      </w:r>
      <w:r>
        <w:rPr>
          <w:rFonts w:ascii="arial" w:eastAsia="arial" w:hAnsi="arial" w:cs="arial"/>
          <w:color w:val="6D6E71"/>
          <w:sz w:val="18"/>
          <w:lang w:val="en-US" w:eastAsia="en-US" w:bidi="ar-SA"/>
        </w:rPr>
        <w:t>J.W. at paras. 123-124, 159, per Côté J.; paras. 175-176, per Brown J.</w:t>
      </w:r>
    </w:p>
    <w:p>
      <w:pPr>
        <w:spacing w:before="120" w:after="20" w:line="240" w:lineRule="atLeast"/>
        <w:ind w:left="720" w:hanging="360"/>
        <w:jc w:val="both"/>
        <w:rPr>
          <w:rFonts w:ascii="arial" w:eastAsia="arial" w:hAnsi="arial" w:cs="arial"/>
          <w:sz w:val="20"/>
          <w:lang w:val="en-US" w:eastAsia="en-US" w:bidi="ar-SA"/>
        </w:rPr>
      </w:pPr>
      <w:bookmarkStart w:id="217" w:name="Forward_fnref_fnr-33"/>
      <w:hyperlink w:anchor="Backward_fnref_fnr-33" w:history="1">
        <w:r>
          <w:rPr>
            <w:rFonts w:ascii="arial" w:eastAsia="arial" w:hAnsi="arial" w:cs="arial"/>
            <w:b/>
            <w:color w:val="BE161D"/>
            <w:sz w:val="18"/>
            <w:shd w:val="clear" w:color="auto" w:fill="FFFFFF"/>
            <w:lang w:val="en-US" w:eastAsia="en-US" w:bidi="ar-SA"/>
          </w:rPr>
          <w:t>33</w:t>
        </w:r>
      </w:hyperlink>
      <w:bookmarkEnd w:id="217"/>
      <w:r>
        <w:rPr>
          <w:rFonts w:ascii="arial" w:eastAsia="arial" w:hAnsi="arial" w:cs="arial"/>
          <w:sz w:val="20"/>
          <w:lang w:val="en-US" w:eastAsia="en-US" w:bidi="ar-SA"/>
        </w:rPr>
        <w:tab/>
      </w:r>
      <w:r>
        <w:rPr>
          <w:rFonts w:ascii="arial" w:eastAsia="arial" w:hAnsi="arial" w:cs="arial"/>
          <w:i/>
          <w:color w:val="6D6E71"/>
          <w:sz w:val="18"/>
          <w:lang w:val="en-US" w:eastAsia="en-US" w:bidi="ar-SA"/>
        </w:rPr>
        <w:t>Ibid</w:t>
      </w:r>
      <w:r>
        <w:rPr>
          <w:rFonts w:ascii="arial" w:eastAsia="arial" w:hAnsi="arial" w:cs="arial"/>
          <w:color w:val="6D6E71"/>
          <w:sz w:val="18"/>
          <w:lang w:val="en-US" w:eastAsia="en-US" w:bidi="ar-SA"/>
        </w:rPr>
        <w:t>.</w:t>
      </w:r>
    </w:p>
    <w:p>
      <w:pPr>
        <w:spacing w:before="120" w:after="20" w:line="240" w:lineRule="atLeast"/>
        <w:ind w:left="720" w:hanging="360"/>
        <w:jc w:val="both"/>
        <w:rPr>
          <w:rFonts w:ascii="arial" w:eastAsia="arial" w:hAnsi="arial" w:cs="arial"/>
          <w:sz w:val="20"/>
          <w:lang w:val="en-US" w:eastAsia="en-US" w:bidi="ar-SA"/>
        </w:rPr>
      </w:pPr>
      <w:bookmarkStart w:id="218" w:name="Forward_fnref_fnr-34"/>
      <w:hyperlink w:anchor="Backward_fnref_fnr-34" w:history="1">
        <w:r>
          <w:rPr>
            <w:rFonts w:ascii="arial" w:eastAsia="arial" w:hAnsi="arial" w:cs="arial"/>
            <w:b/>
            <w:color w:val="BE161D"/>
            <w:sz w:val="18"/>
            <w:shd w:val="clear" w:color="auto" w:fill="FFFFFF"/>
            <w:lang w:val="en-US" w:eastAsia="en-US" w:bidi="ar-SA"/>
          </w:rPr>
          <w:t>34</w:t>
        </w:r>
      </w:hyperlink>
      <w:bookmarkEnd w:id="218"/>
      <w:r>
        <w:rPr>
          <w:rFonts w:ascii="arial" w:eastAsia="arial" w:hAnsi="arial" w:cs="arial"/>
          <w:sz w:val="20"/>
          <w:lang w:val="en-US" w:eastAsia="en-US" w:bidi="ar-SA"/>
        </w:rPr>
        <w:tab/>
      </w:r>
      <w:r>
        <w:rPr>
          <w:rFonts w:ascii="arial" w:eastAsia="arial" w:hAnsi="arial" w:cs="arial"/>
          <w:i/>
          <w:color w:val="6D6E71"/>
          <w:sz w:val="18"/>
          <w:lang w:val="en-US" w:eastAsia="en-US" w:bidi="ar-SA"/>
        </w:rPr>
        <w:t>Fontaine v. Canada (Attorney General)</w:t>
      </w:r>
      <w:r>
        <w:rPr>
          <w:rFonts w:ascii="arial" w:eastAsia="arial" w:hAnsi="arial" w:cs="arial"/>
          <w:color w:val="6D6E71"/>
          <w:sz w:val="18"/>
          <w:lang w:val="en-US" w:eastAsia="en-US" w:bidi="ar-SA"/>
        </w:rPr>
        <w:t xml:space="preserve">, </w:t>
      </w:r>
      <w:hyperlink r:id="rId888" w:history="1">
        <w:r>
          <w:rPr>
            <w:rFonts w:ascii="arial" w:eastAsia="arial" w:hAnsi="arial" w:cs="arial"/>
            <w:i/>
            <w:color w:val="0077CC"/>
            <w:sz w:val="18"/>
            <w:u w:val="single"/>
            <w:shd w:val="clear" w:color="auto" w:fill="FFFFFF"/>
            <w:lang w:val="en-US" w:eastAsia="en-US" w:bidi="ar-SA"/>
          </w:rPr>
          <w:t>2019 BCCA 178</w:t>
        </w:r>
      </w:hyperlink>
      <w:r>
        <w:rPr>
          <w:rFonts w:ascii="arial" w:eastAsia="arial" w:hAnsi="arial" w:cs="arial"/>
          <w:color w:val="6D6E71"/>
          <w:sz w:val="18"/>
          <w:lang w:val="en-US" w:eastAsia="en-US" w:bidi="ar-SA"/>
        </w:rPr>
        <w:t xml:space="preserve"> ("</w:t>
      </w:r>
      <w:r>
        <w:rPr>
          <w:rFonts w:ascii="arial" w:eastAsia="arial" w:hAnsi="arial" w:cs="arial"/>
          <w:i/>
          <w:color w:val="6D6E71"/>
          <w:sz w:val="18"/>
          <w:lang w:val="en-US" w:eastAsia="en-US" w:bidi="ar-SA"/>
        </w:rPr>
        <w:t>Scout</w:t>
      </w:r>
      <w:r>
        <w:rPr>
          <w:rFonts w:ascii="arial" w:eastAsia="arial" w:hAnsi="arial" w:cs="arial"/>
          <w:color w:val="6D6E71"/>
          <w:sz w:val="18"/>
          <w:lang w:val="en-US" w:eastAsia="en-US" w:bidi="ar-SA"/>
        </w:rPr>
        <w:t>") at paras. 62-66.</w:t>
      </w:r>
    </w:p>
    <w:p>
      <w:pPr>
        <w:spacing w:before="120" w:after="20" w:line="240" w:lineRule="atLeast"/>
        <w:ind w:left="720" w:hanging="360"/>
        <w:jc w:val="both"/>
        <w:rPr>
          <w:rFonts w:ascii="arial" w:eastAsia="arial" w:hAnsi="arial" w:cs="arial"/>
          <w:sz w:val="20"/>
          <w:lang w:val="en-US" w:eastAsia="en-US" w:bidi="ar-SA"/>
        </w:rPr>
      </w:pPr>
      <w:bookmarkStart w:id="219" w:name="Forward_fnref_fnr-35"/>
      <w:hyperlink w:anchor="Backward_fnref_fnr-35" w:history="1">
        <w:r>
          <w:rPr>
            <w:rFonts w:ascii="arial" w:eastAsia="arial" w:hAnsi="arial" w:cs="arial"/>
            <w:b/>
            <w:color w:val="BE161D"/>
            <w:sz w:val="18"/>
            <w:shd w:val="clear" w:color="auto" w:fill="FFFFFF"/>
            <w:lang w:val="en-US" w:eastAsia="en-US" w:bidi="ar-SA"/>
          </w:rPr>
          <w:t>35</w:t>
        </w:r>
      </w:hyperlink>
      <w:bookmarkEnd w:id="219"/>
      <w:r>
        <w:rPr>
          <w:rFonts w:ascii="arial" w:eastAsia="arial" w:hAnsi="arial" w:cs="arial"/>
          <w:sz w:val="20"/>
          <w:lang w:val="en-US" w:eastAsia="en-US" w:bidi="ar-SA"/>
        </w:rPr>
        <w:tab/>
      </w:r>
      <w:r>
        <w:rPr>
          <w:rFonts w:ascii="arial" w:eastAsia="arial" w:hAnsi="arial" w:cs="arial"/>
          <w:i/>
          <w:color w:val="6D6E71"/>
          <w:sz w:val="18"/>
          <w:lang w:val="en-US" w:eastAsia="en-US" w:bidi="ar-SA"/>
        </w:rPr>
        <w:t>Brown</w:t>
      </w:r>
      <w:r>
        <w:rPr>
          <w:rFonts w:ascii="arial" w:eastAsia="arial" w:hAnsi="arial" w:cs="arial"/>
          <w:color w:val="6D6E71"/>
          <w:sz w:val="18"/>
          <w:lang w:val="en-US" w:eastAsia="en-US" w:bidi="ar-SA"/>
        </w:rPr>
        <w:t>, at para. 84, per Fisher J.A.</w:t>
      </w:r>
    </w:p>
    <w:p>
      <w:pPr>
        <w:spacing w:before="120" w:after="20" w:line="240" w:lineRule="atLeast"/>
        <w:ind w:left="720" w:hanging="360"/>
        <w:jc w:val="both"/>
        <w:rPr>
          <w:rFonts w:ascii="arial" w:eastAsia="arial" w:hAnsi="arial" w:cs="arial"/>
          <w:sz w:val="20"/>
          <w:lang w:val="en-US" w:eastAsia="en-US" w:bidi="ar-SA"/>
        </w:rPr>
      </w:pPr>
      <w:bookmarkStart w:id="220" w:name="Forward_fnref_fnr-36"/>
      <w:hyperlink w:anchor="Backward_fnref_fnr-36" w:history="1">
        <w:r>
          <w:rPr>
            <w:rFonts w:ascii="arial" w:eastAsia="arial" w:hAnsi="arial" w:cs="arial"/>
            <w:b/>
            <w:color w:val="BE161D"/>
            <w:sz w:val="18"/>
            <w:shd w:val="clear" w:color="auto" w:fill="FFFFFF"/>
            <w:lang w:val="en-US" w:eastAsia="en-US" w:bidi="ar-SA"/>
          </w:rPr>
          <w:t>36</w:t>
        </w:r>
      </w:hyperlink>
      <w:bookmarkEnd w:id="220"/>
      <w:r>
        <w:rPr>
          <w:rFonts w:ascii="arial" w:eastAsia="arial" w:hAnsi="arial" w:cs="arial"/>
          <w:sz w:val="20"/>
          <w:lang w:val="en-US" w:eastAsia="en-US" w:bidi="ar-SA"/>
        </w:rPr>
        <w:tab/>
      </w:r>
      <w:r>
        <w:rPr>
          <w:rFonts w:ascii="arial" w:eastAsia="arial" w:hAnsi="arial" w:cs="arial"/>
          <w:i/>
          <w:color w:val="6D6E71"/>
          <w:sz w:val="18"/>
          <w:lang w:val="en-US" w:eastAsia="en-US" w:bidi="ar-SA"/>
        </w:rPr>
        <w:t>Prince Albert IRS</w:t>
      </w:r>
      <w:r>
        <w:rPr>
          <w:rFonts w:ascii="arial" w:eastAsia="arial" w:hAnsi="arial" w:cs="arial"/>
          <w:color w:val="6D6E71"/>
          <w:sz w:val="18"/>
          <w:lang w:val="en-US" w:eastAsia="en-US" w:bidi="ar-SA"/>
        </w:rPr>
        <w:t>, at paras. 37-38, per Fisher J.A.</w:t>
      </w:r>
    </w:p>
    <w:p>
      <w:pPr>
        <w:spacing w:before="120" w:after="20" w:line="240" w:lineRule="atLeast"/>
        <w:ind w:left="720" w:hanging="360"/>
        <w:jc w:val="both"/>
        <w:rPr>
          <w:rFonts w:ascii="arial" w:eastAsia="arial" w:hAnsi="arial" w:cs="arial"/>
          <w:sz w:val="20"/>
          <w:lang w:val="en-US" w:eastAsia="en-US" w:bidi="ar-SA"/>
        </w:rPr>
      </w:pPr>
      <w:bookmarkStart w:id="221" w:name="Forward_fnref_fnr-37"/>
      <w:hyperlink w:anchor="Backward_fnref_fnr-37" w:history="1">
        <w:r>
          <w:rPr>
            <w:rFonts w:ascii="arial" w:eastAsia="arial" w:hAnsi="arial" w:cs="arial"/>
            <w:b/>
            <w:color w:val="BE161D"/>
            <w:sz w:val="18"/>
            <w:shd w:val="clear" w:color="auto" w:fill="FFFFFF"/>
            <w:lang w:val="en-US" w:eastAsia="en-US" w:bidi="ar-SA"/>
          </w:rPr>
          <w:t>37</w:t>
        </w:r>
      </w:hyperlink>
      <w:bookmarkEnd w:id="221"/>
      <w:r>
        <w:rPr>
          <w:rFonts w:ascii="arial" w:eastAsia="arial" w:hAnsi="arial" w:cs="arial"/>
          <w:sz w:val="20"/>
          <w:lang w:val="en-US" w:eastAsia="en-US" w:bidi="ar-SA"/>
        </w:rPr>
        <w:tab/>
      </w:r>
      <w:r>
        <w:rPr>
          <w:rFonts w:ascii="arial" w:eastAsia="arial" w:hAnsi="arial" w:cs="arial"/>
          <w:i/>
          <w:color w:val="6D6E71"/>
          <w:sz w:val="18"/>
          <w:lang w:val="en-US" w:eastAsia="en-US" w:bidi="ar-SA"/>
        </w:rPr>
        <w:t>National Administration Committee</w:t>
      </w:r>
      <w:r>
        <w:rPr>
          <w:rFonts w:ascii="arial" w:eastAsia="arial" w:hAnsi="arial" w:cs="arial"/>
          <w:color w:val="6D6E71"/>
          <w:sz w:val="18"/>
          <w:lang w:val="en-US" w:eastAsia="en-US" w:bidi="ar-SA"/>
        </w:rPr>
        <w:t xml:space="preserve">, at para. 9, per Groberman J.A., citing </w:t>
      </w:r>
      <w:r>
        <w:rPr>
          <w:rFonts w:ascii="arial" w:eastAsia="arial" w:hAnsi="arial" w:cs="arial"/>
          <w:i/>
          <w:color w:val="6D6E71"/>
          <w:sz w:val="18"/>
          <w:lang w:val="en-US" w:eastAsia="en-US" w:bidi="ar-SA"/>
        </w:rPr>
        <w:t>J.W</w:t>
      </w:r>
      <w:r>
        <w:rPr>
          <w:rFonts w:ascii="arial" w:eastAsia="arial" w:hAnsi="arial" w:cs="arial"/>
          <w:color w:val="6D6E71"/>
          <w:sz w:val="18"/>
          <w:lang w:val="en-US" w:eastAsia="en-US" w:bidi="ar-SA"/>
        </w:rPr>
        <w:t xml:space="preserve">. and </w:t>
      </w:r>
      <w:r>
        <w:rPr>
          <w:rFonts w:ascii="arial" w:eastAsia="arial" w:hAnsi="arial" w:cs="arial"/>
          <w:i/>
          <w:color w:val="6D6E71"/>
          <w:sz w:val="18"/>
          <w:lang w:val="en-US" w:eastAsia="en-US" w:bidi="ar-SA"/>
        </w:rPr>
        <w:t>Brown</w:t>
      </w:r>
      <w:r>
        <w:rPr>
          <w:rFonts w:ascii="arial" w:eastAsia="arial" w:hAnsi="arial" w:cs="arial"/>
          <w:color w:val="6D6E71"/>
          <w:sz w:val="18"/>
          <w:lang w:val="en-US" w:eastAsia="en-US" w:bidi="ar-SA"/>
        </w:rPr>
        <w:t>.</w:t>
      </w:r>
    </w:p>
    <w:p>
      <w:pPr>
        <w:spacing w:before="120" w:after="20" w:line="240" w:lineRule="atLeast"/>
        <w:ind w:left="720" w:hanging="360"/>
        <w:jc w:val="both"/>
        <w:rPr>
          <w:rFonts w:ascii="arial" w:eastAsia="arial" w:hAnsi="arial" w:cs="arial"/>
          <w:sz w:val="20"/>
          <w:lang w:val="en-US" w:eastAsia="en-US" w:bidi="ar-SA"/>
        </w:rPr>
      </w:pPr>
      <w:bookmarkStart w:id="222" w:name="Forward_fnref_fnr-38"/>
      <w:hyperlink w:anchor="Backward_fnref_fnr-38" w:history="1">
        <w:r>
          <w:rPr>
            <w:rFonts w:ascii="arial" w:eastAsia="arial" w:hAnsi="arial" w:cs="arial"/>
            <w:b/>
            <w:color w:val="BE161D"/>
            <w:sz w:val="18"/>
            <w:shd w:val="clear" w:color="auto" w:fill="FFFFFF"/>
            <w:lang w:val="en-US" w:eastAsia="en-US" w:bidi="ar-SA"/>
          </w:rPr>
          <w:t>38</w:t>
        </w:r>
      </w:hyperlink>
      <w:bookmarkEnd w:id="222"/>
      <w:r>
        <w:rPr>
          <w:rFonts w:ascii="arial" w:eastAsia="arial" w:hAnsi="arial" w:cs="arial"/>
          <w:sz w:val="20"/>
          <w:lang w:val="en-US" w:eastAsia="en-US" w:bidi="ar-SA"/>
        </w:rPr>
        <w:tab/>
      </w:r>
      <w:r>
        <w:rPr>
          <w:rFonts w:ascii="arial" w:eastAsia="arial" w:hAnsi="arial" w:cs="arial"/>
          <w:i/>
          <w:color w:val="6D6E71"/>
          <w:sz w:val="18"/>
          <w:lang w:val="en-US" w:eastAsia="en-US" w:bidi="ar-SA"/>
        </w:rPr>
        <w:t>J.W</w:t>
      </w:r>
      <w:r>
        <w:rPr>
          <w:rFonts w:ascii="arial" w:eastAsia="arial" w:hAnsi="arial" w:cs="arial"/>
          <w:color w:val="6D6E71"/>
          <w:sz w:val="18"/>
          <w:lang w:val="en-US" w:eastAsia="en-US" w:bidi="ar-SA"/>
        </w:rPr>
        <w:t>. at para. 177, per Brown J.</w:t>
      </w:r>
    </w:p>
    <w:p>
      <w:pPr>
        <w:spacing w:before="120" w:after="20" w:line="240" w:lineRule="atLeast"/>
        <w:ind w:left="720" w:hanging="360"/>
        <w:jc w:val="both"/>
        <w:rPr>
          <w:rFonts w:ascii="arial" w:eastAsia="arial" w:hAnsi="arial" w:cs="arial"/>
          <w:sz w:val="20"/>
          <w:lang w:val="en-US" w:eastAsia="en-US" w:bidi="ar-SA"/>
        </w:rPr>
      </w:pPr>
      <w:bookmarkStart w:id="223" w:name="Forward_fnref_fnr-39"/>
      <w:hyperlink w:anchor="Backward_fnref_fnr-39" w:history="1">
        <w:r>
          <w:rPr>
            <w:rFonts w:ascii="arial" w:eastAsia="arial" w:hAnsi="arial" w:cs="arial"/>
            <w:b/>
            <w:color w:val="BE161D"/>
            <w:sz w:val="18"/>
            <w:shd w:val="clear" w:color="auto" w:fill="FFFFFF"/>
            <w:lang w:val="en-US" w:eastAsia="en-US" w:bidi="ar-SA"/>
          </w:rPr>
          <w:t>39</w:t>
        </w:r>
      </w:hyperlink>
      <w:bookmarkEnd w:id="223"/>
      <w:r>
        <w:rPr>
          <w:rFonts w:ascii="arial" w:eastAsia="arial" w:hAnsi="arial" w:cs="arial"/>
          <w:sz w:val="20"/>
          <w:lang w:val="en-US" w:eastAsia="en-US" w:bidi="ar-SA"/>
        </w:rPr>
        <w:tab/>
      </w:r>
      <w:r>
        <w:rPr>
          <w:rFonts w:ascii="arial" w:eastAsia="arial" w:hAnsi="arial" w:cs="arial"/>
          <w:color w:val="6D6E71"/>
          <w:sz w:val="18"/>
          <w:lang w:val="en-US" w:eastAsia="en-US" w:bidi="ar-SA"/>
        </w:rPr>
        <w:t>Re-Review Adjudicator's Decision, para. 26.</w:t>
      </w:r>
    </w:p>
    <w:p>
      <w:pPr>
        <w:spacing w:before="120" w:after="20" w:line="240" w:lineRule="atLeast"/>
        <w:ind w:left="720" w:hanging="360"/>
        <w:jc w:val="both"/>
        <w:rPr>
          <w:rFonts w:ascii="arial" w:eastAsia="arial" w:hAnsi="arial" w:cs="arial"/>
          <w:sz w:val="20"/>
          <w:lang w:val="en-US" w:eastAsia="en-US" w:bidi="ar-SA"/>
        </w:rPr>
      </w:pPr>
      <w:bookmarkStart w:id="224" w:name="Forward_fnref_fnr-40"/>
      <w:hyperlink w:anchor="Backward_fnref_fnr-40" w:history="1">
        <w:r>
          <w:rPr>
            <w:rFonts w:ascii="arial" w:eastAsia="arial" w:hAnsi="arial" w:cs="arial"/>
            <w:b/>
            <w:color w:val="BE161D"/>
            <w:sz w:val="18"/>
            <w:shd w:val="clear" w:color="auto" w:fill="FFFFFF"/>
            <w:lang w:val="en-US" w:eastAsia="en-US" w:bidi="ar-SA"/>
          </w:rPr>
          <w:t>40</w:t>
        </w:r>
      </w:hyperlink>
      <w:bookmarkEnd w:id="224"/>
      <w:r>
        <w:rPr>
          <w:rFonts w:ascii="arial" w:eastAsia="arial" w:hAnsi="arial" w:cs="arial"/>
          <w:sz w:val="20"/>
          <w:lang w:val="en-US" w:eastAsia="en-US" w:bidi="ar-SA"/>
        </w:rPr>
        <w:tab/>
      </w:r>
      <w:r>
        <w:rPr>
          <w:rFonts w:ascii="arial" w:eastAsia="arial" w:hAnsi="arial" w:cs="arial"/>
          <w:color w:val="6D6E71"/>
          <w:sz w:val="18"/>
          <w:lang w:val="en-US" w:eastAsia="en-US" w:bidi="ar-SA"/>
        </w:rPr>
        <w:t>Put differently, parts (a) and (b) of the two tests are identical.</w:t>
      </w:r>
    </w:p>
    <w:p>
      <w:pPr>
        <w:spacing w:before="120" w:after="20" w:line="240" w:lineRule="atLeast"/>
        <w:ind w:left="720" w:hanging="360"/>
        <w:jc w:val="both"/>
        <w:rPr>
          <w:rFonts w:ascii="arial" w:eastAsia="arial" w:hAnsi="arial" w:cs="arial"/>
          <w:sz w:val="20"/>
          <w:lang w:val="en-US" w:eastAsia="en-US" w:bidi="ar-SA"/>
        </w:rPr>
      </w:pPr>
      <w:bookmarkStart w:id="225" w:name="Forward_fnref_fnr-41"/>
      <w:hyperlink w:anchor="Backward_fnref_fnr-41" w:history="1">
        <w:r>
          <w:rPr>
            <w:rFonts w:ascii="arial" w:eastAsia="arial" w:hAnsi="arial" w:cs="arial"/>
            <w:b/>
            <w:color w:val="BE161D"/>
            <w:sz w:val="18"/>
            <w:shd w:val="clear" w:color="auto" w:fill="FFFFFF"/>
            <w:lang w:val="en-US" w:eastAsia="en-US" w:bidi="ar-SA"/>
          </w:rPr>
          <w:t>41</w:t>
        </w:r>
      </w:hyperlink>
      <w:bookmarkEnd w:id="225"/>
      <w:r>
        <w:rPr>
          <w:rFonts w:ascii="arial" w:eastAsia="arial" w:hAnsi="arial" w:cs="arial"/>
          <w:sz w:val="20"/>
          <w:lang w:val="en-US" w:eastAsia="en-US" w:bidi="ar-SA"/>
        </w:rPr>
        <w:tab/>
      </w:r>
      <w:r>
        <w:rPr>
          <w:rFonts w:ascii="arial" w:eastAsia="arial" w:hAnsi="arial" w:cs="arial"/>
          <w:color w:val="6D6E71"/>
          <w:sz w:val="18"/>
          <w:lang w:val="en-US" w:eastAsia="en-US" w:bidi="ar-SA"/>
        </w:rPr>
        <w:t>IRSSA, Schedule "D" (IAP Model), Appendix IX (Instructions for Adjudicators), p. 31.</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2" style="position:absolute;z-index:2518138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96"/>
          <w:headerReference w:type="default" r:id="rId897"/>
          <w:footerReference w:type="even" r:id="rId898"/>
          <w:footerReference w:type="default" r:id="rId899"/>
          <w:headerReference w:type="first" r:id="rId900"/>
          <w:footerReference w:type="first" r:id="rId90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02" w:history="1">
        <w:r>
          <w:rPr>
            <w:rFonts w:ascii="arial" w:eastAsia="arial" w:hAnsi="arial" w:cs="arial"/>
            <w:b/>
            <w:bCs/>
            <w:i/>
            <w:color w:val="0077CC"/>
            <w:kern w:val="32"/>
            <w:sz w:val="28"/>
            <w:szCs w:val="32"/>
            <w:u w:val="single"/>
            <w:shd w:val="clear" w:color="auto" w:fill="FFFFFF"/>
            <w:lang w:val="en-US" w:eastAsia="en-US" w:bidi="ar-SA"/>
          </w:rPr>
          <w:t>Freshway Specialty Foods Inc. (Re), [2007] B.C.J. No. 827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 Bankruptcy and Insolvency)</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Goepel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10,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24,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B070286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827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553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31 C.B.R. (5th) 288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156 A.C.W.S. (3d) 529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CarswellBC 849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IN THE MATTER OF the Bankruptcy of Freshway Specialty Foods Inc.</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(53 paras.)</w:t>
      </w:r>
    </w:p>
    <w:p>
      <w:pPr>
        <w:jc w:val="both"/>
        <w:rPr>
          <w:rFonts w:ascii="arial" w:eastAsia="arial" w:hAnsi="arial" w:cs="arial"/>
          <w:sz w:val="20"/>
          <w:lang w:val="en-US" w:eastAsia="en-US" w:bidi="ar-SA"/>
        </w:rPr>
      </w:pPr>
      <w:bookmarkStart w:id="226" w:name="Counsel_43"/>
      <w:bookmarkEnd w:id="22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3" style="position:absolute;z-index:2517043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Freshway Specialty Foods Inc.: V. Chiang.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Fruit &amp; Vegetable Dispute Resolution Corporation: K. Jackson.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27" w:name="Judgment_43"/>
      <w:bookmarkEnd w:id="227"/>
      <w:r>
        <w:pict>
          <v:line id="_x0000_s1174" style="position:absolute;z-index:25175552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28" w:name="GOEPEL J."/>
            <w:bookmarkEnd w:id="228"/>
            <w:r>
              <w:rPr>
                <w:rFonts w:ascii="arial" w:eastAsia="arial" w:hAnsi="arial" w:cs="arial"/>
                <w:b/>
                <w:color w:val="000000"/>
                <w:sz w:val="30"/>
                <w:lang w:val="en-US" w:eastAsia="en-US" w:bidi="ar-SA"/>
              </w:rPr>
              <w:t>GOEPEL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Fruit &amp; Vegetable Dispute Resolution Corporation (the "DRC") seeks an order pursuant to the provisions of the </w:t>
      </w:r>
      <w:r>
        <w:rPr>
          <w:rFonts w:ascii="arial" w:eastAsia="arial" w:hAnsi="arial" w:cs="arial"/>
          <w:b/>
          <w:i/>
          <w:color w:val="000000"/>
          <w:sz w:val="20"/>
          <w:lang w:val="en-US" w:eastAsia="en-US" w:bidi="ar-SA"/>
        </w:rPr>
        <w:t>Bankruptcy and Insolvency Act</w:t>
      </w:r>
      <w:r>
        <w:rPr>
          <w:rFonts w:ascii="arial" w:eastAsia="arial" w:hAnsi="arial" w:cs="arial"/>
          <w:color w:val="000000"/>
          <w:sz w:val="20"/>
          <w:lang w:val="en-US" w:eastAsia="en-US" w:bidi="ar-SA"/>
        </w:rPr>
        <w:t xml:space="preserve">, </w:t>
      </w:r>
      <w:hyperlink r:id="rId903" w:history="1">
        <w:r>
          <w:rPr>
            <w:rFonts w:ascii="arial" w:eastAsia="arial" w:hAnsi="arial" w:cs="arial"/>
            <w:i/>
            <w:color w:val="0077CC"/>
            <w:sz w:val="20"/>
            <w:u w:val="single"/>
            <w:shd w:val="clear" w:color="auto" w:fill="FFFFFF"/>
            <w:lang w:val="en-US" w:eastAsia="en-US" w:bidi="ar-SA"/>
          </w:rPr>
          <w:t>R.S.C. 1985, c. B-3</w:t>
        </w:r>
      </w:hyperlink>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BIA</w:t>
      </w:r>
      <w:r>
        <w:rPr>
          <w:rFonts w:ascii="arial" w:eastAsia="arial" w:hAnsi="arial" w:cs="arial"/>
          <w:color w:val="000000"/>
          <w:sz w:val="20"/>
          <w:lang w:val="en-US" w:eastAsia="en-US" w:bidi="ar-SA"/>
        </w:rPr>
        <w:t>") that Freshway Specialty Foods Inc. ("Freshway") be adjudged bankrupt and that Hazra &amp; Associates Inc. be appointed trustee of its bankruptcy estate. The DRC submits that Freshway has committed an act of bankruptcy in the six months immediately preceding the filing of the petition as it has ceased to meet its liabilities generally as they become due.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DRC has judgments against Freshway totalling $26,843.69. As will be set out in further detail below, the judgments arise from a series of costs awards made against Freshway in litigation that Freshway has brought in British Columbia and Ontario against the DRC and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Freshway opposes the application. It seeks an order dismissing the petition or, alternatively, an order staying the petition until the trial of proceedings it has brought in British Columbia against the DRC (the "BC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DRC is a not-for-profit corporation established to provide a dispute resolution forum for its members by way of mandatory arbitration. Membership in the DRC is voluntary. The DRC has in excess of 1,300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DRC administers trading practises as well as mediation and arbitration procedures. DRC members agree to be bound by the DRC's rules. The DRC requires that all disputes between its members be resolved exclusively pursuant to the DRC's Mediation and Arbitration Rules. The Rules deem Ontario as the place of any arbitration.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Freshway is a federally incorporated company with its office in Richmond, British Columbia. In 1999, it commenced business in the fresh produce trade. In April 2000, Freshway joined the DRC and agreed to be bound by its rules. By 2002, Freshway's annual sales exceeded $2,500,000.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MAP ARBITRATION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2004, Freshway and Map Produce LLC ("Map") had business dealings which ended in a dispute over payment. Because both companies are members of the DRC, the dispute was resolved under the DRC arbitration rules (the "Map Arbitration").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dispute arose out of Freshway's refusal to pay Map for a shipment of mangoes in late August or early September 2004. In November 2004, Map instituted arbitration proceedings under the DRC rules against Freshway.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Freshway participated in the arbitration. During the arbitration, it maintained that it was not the purchaser, but only assisted Map with a consignment sale to a third party. On January 26, 2005, the arbitrator rejected Freshway's contention that it was not a purchaser and ordered Freshway to pay Map US $12,414 (the "Arbitration Award"). The Arbitration Award remains unpaid and is relied on by the DRC as evidence of Freshway's inability to meet its liabilities as they become due.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RESIGNATION/SUSPENSION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February 4, 2005, Freshway purported to resign from the DRC. The DRC advised Freshway that the resignation would only be effective upon Freshway paying all outstanding arbitration awards and obligations. The DRC warned Freshway that its membership in the DRC would be suspended if it did not pay the Arbitration Award within 30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March 2, 2005, the DRC suspended Freshway from membership. It sent a notice to all its members advising that Freshway had been suspended from the DRC for failing to comply with an arbitration award in violation of the DRC's By-laws and the Mediation and Arbitration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BC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On February 21, 2001, Freshway commenced the BC Action against the DRC, Map and others. The writ claimed "damages and relief for breach of contract, conspiracy to injure, misrepresentation, breach of fiduciary duty,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conversion, and inducement of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March 11, 2005, Freshway obtained short leave to hear a notice of motion seeking the following relief:</w:t>
      </w:r>
      <w:r>
        <w:rPr>
          <w:rFonts w:ascii="arial" w:eastAsia="arial" w:hAnsi="arial" w:cs="arial"/>
          <w:sz w:val="20"/>
          <w:lang w:val="en-US" w:eastAsia="en-US" w:bidi="ar-SA"/>
        </w:rPr>
        <w:cr/>
      </w:r>
    </w:p>
    <w:p>
      <w:pPr>
        <w:numPr>
          <w:numId w:val="1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Declaring the March 2, 2005 notice of suspension by the Fruit and Vegetable Dispute Resolution Corporation ("DRC") as wrongful interference with the applicant's business;</w:t>
      </w:r>
    </w:p>
    <w:p>
      <w:pPr>
        <w:numPr>
          <w:numId w:val="1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Requiring DRC to issue:</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public apology to the shareholders, namely Vivian Chiang and Rossana Lin, of the applicant for defaming them;</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retraction of the March 2, 2005 notice of suspension; and</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Restraining the DRC from issuing further notices regarding Freshway and otherwise preventing, dissuading or attempting to dissuade companies from doing business with the applicant.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March 15, 2005, Smith J. heard the application. On March 16, 2005, in oral reasons for judgment, she dismissed the application. In regard to the first ground, she held that the application for a declaration was not available as a form of interlocutory relief. She noted that the foundation of the second and third grounds of relief was the proposition that the notice of suspension defamed the plaintiff and its two shareholders. Smith J. found that Freshway had not raised a fair question to be tried that the notice of suspension was defamatory because Freshway conceded that the facts stated in the notice of suspension were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Smith J. stated that she was not reaching any conclusion as to whether the court had jurisdiction over the underlying proceedings. She denied the plaintiff's application for an order restraining the defendants from issuing other notices regarding the plaintiff because she found the plaintiff had not raised a fair question to be tried. She directed the parties to make submissions on costs in writing.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On April 21, 2005, Smith J., in reasons found at </w:t>
      </w:r>
      <w:hyperlink r:id="rId904" w:history="1">
        <w:r>
          <w:rPr>
            <w:rFonts w:ascii="arial" w:eastAsia="arial" w:hAnsi="arial" w:cs="arial"/>
            <w:i/>
            <w:color w:val="0077CC"/>
            <w:sz w:val="20"/>
            <w:u w:val="single"/>
            <w:shd w:val="clear" w:color="auto" w:fill="FFFFFF"/>
            <w:lang w:val="en-US" w:eastAsia="en-US" w:bidi="ar-SA"/>
          </w:rPr>
          <w:t>2005 BCSC 594</w:t>
        </w:r>
      </w:hyperlink>
      <w:r>
        <w:rPr>
          <w:rFonts w:ascii="arial" w:eastAsia="arial" w:hAnsi="arial" w:cs="arial"/>
          <w:color w:val="000000"/>
          <w:sz w:val="20"/>
          <w:lang w:val="en-US" w:eastAsia="en-US" w:bidi="ar-SA"/>
        </w:rPr>
        <w:t>, held that Freshway should not have brought the application. She awarded the DRC the costs of the application in any event of the cause, payable forthwith.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May 12, 2005, the Registrar certified the DRC's costs arising from the application at $2,169.08.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June 1, 2005, Freshway filed its statement of claim. As against the DRC, there are complaints respecting the conduct of the arbitration including an allegation that the DRC breached a fiduciary duty to be fair and impartial "by fostering systemic bias against the plaintiff, such that the arbitrator appointed by the DRC rendered an Award which was clearly unfair and wrong". Additionally Freshway alleged that defamatory statements were made by the DRC following the commencement of the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On August 8, 2005, the DRC and the other defendants applied before Macaulay J. to dismiss or, alternatively, stay the BC Action. The DRC submitted that Freshway's claims disclosed no reasonable cause of action and that the action was vexatious and otherwise an abuse of process. It relied on Rules 19(24)(a)(b) and (d) of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221/90</w:t>
      </w:r>
      <w:r>
        <w:rPr>
          <w:rFonts w:ascii="arial" w:eastAsia="arial" w:hAnsi="arial" w:cs="arial"/>
          <w:color w:val="000000"/>
          <w:sz w:val="20"/>
          <w:lang w:val="en-US" w:eastAsia="en-US" w:bidi="ar-SA"/>
        </w:rPr>
        <w:t>. In addition, the DRC contended that the court lacked jurisdiction or, alternatively, should decline jurisdiction and, finally, if necessary to be decided, that the action ought to be stayed because the parties had agreed to resolve any differences by arbitration rather than by court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On October 10, 2005, Macaulay J., in reasons found at </w:t>
      </w:r>
      <w:hyperlink r:id="rId905" w:history="1">
        <w:r>
          <w:rPr>
            <w:rFonts w:ascii="arial" w:eastAsia="arial" w:hAnsi="arial" w:cs="arial"/>
            <w:i/>
            <w:color w:val="0077CC"/>
            <w:sz w:val="20"/>
            <w:u w:val="single"/>
            <w:shd w:val="clear" w:color="auto" w:fill="FFFFFF"/>
            <w:lang w:val="en-US" w:eastAsia="en-US" w:bidi="ar-SA"/>
          </w:rPr>
          <w:t>2005 BCSC 1485</w:t>
        </w:r>
      </w:hyperlink>
      <w:r>
        <w:rPr>
          <w:rFonts w:ascii="arial" w:eastAsia="arial" w:hAnsi="arial" w:cs="arial"/>
          <w:color w:val="000000"/>
          <w:sz w:val="20"/>
          <w:lang w:val="en-US" w:eastAsia="en-US" w:bidi="ar-SA"/>
        </w:rPr>
        <w:t>, dismissed the BC Action against the DRC. He struck out the claim respecting the appointment of the arbitrator and the conduct of the Map Arbitration under Rule 19(24)(a). He held that it was plain and obvious that the claim, if permitted to proceed, was bound to fail and, as a result, there was no fit action to be tried. He held that Ontario was the proper forum in respect to any dispute concerning the correctness of the Arbitration Award or the arbitration process. He held that permitting such a review by action would defeat the legislative regimes governing arbitration awards throughout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regard to the defamation claim, Macaulay J. noted that Freshway had conceded in the earlier proceeding before Smith J. that the underlying statements were true. He held that in light of that concession, it would be an abuse of process to permit the defamation claim to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Macaulay J. also dismissed, on various grounds, Freshway's claims against the other defendants. Freshway was ordered to pay the costs of each defendant. The DRC has yet to tax its costs arising from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Freshway appealed the decision of Mr. Justice Macaulay and sought leave to appeal from the order of Madam Justice Smith.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February 3, 2006, the DRC applied before Saunders J.A. seeking security of costs for the proceedings before Smith J. and Macaulay J. and the costs of the appeal. Because there was no evidence before her concerning Freshway's financial position, Saunders J.A. agreed to adjourn the application on condition that Freshway post $2,500 as security for the costs of that day's application. She awarded the DRC the costs of that day's appearance thrown away in any event of the cause, which costs were to be payable forthwith from the sum posted for security.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February 8, 2006, Freshway paid $2,500 into court in compliance with the order of Saunders J.A..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On April 26, 2006, pursuant to s. 25(1) of the </w:t>
      </w:r>
      <w:r>
        <w:rPr>
          <w:rFonts w:ascii="arial" w:eastAsia="arial" w:hAnsi="arial" w:cs="arial"/>
          <w:b/>
          <w:i/>
          <w:color w:val="000000"/>
          <w:sz w:val="20"/>
          <w:lang w:val="en-US" w:eastAsia="en-US" w:bidi="ar-SA"/>
        </w:rPr>
        <w:t>Court of Appeal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77</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CAA</w:t>
      </w:r>
      <w:r>
        <w:rPr>
          <w:rFonts w:ascii="arial" w:eastAsia="arial" w:hAnsi="arial" w:cs="arial"/>
          <w:color w:val="000000"/>
          <w:sz w:val="20"/>
          <w:lang w:val="en-US" w:eastAsia="en-US" w:bidi="ar-SA"/>
        </w:rPr>
        <w:t>"), the application for leave to appeal the order of Smith J. was placed on the inactive appeal 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May 10, 2006, the DRC's application for security for costs came back on before Saunders J.A.. On May 15, 2006, she gave oral reasons for judgment. She ordered that Freshway post $12,169.08 as security and that their appeal be stayed pending the posting, except for the filing of Freshway's factum. In the course of her reasons she said "... the appeal appears to me to be very weak as against the [DRC]. I would go so far to say that on the material before me, the appeal is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On August 15, 2006, Freshway applied to vary the order of Saunders J.A. Rule 34(1) of the </w:t>
      </w:r>
      <w:r>
        <w:rPr>
          <w:rFonts w:ascii="arial" w:eastAsia="arial" w:hAnsi="arial" w:cs="arial"/>
          <w:b/>
          <w:i/>
          <w:color w:val="000000"/>
          <w:sz w:val="20"/>
          <w:lang w:val="en-US" w:eastAsia="en-US" w:bidi="ar-SA"/>
        </w:rPr>
        <w:t>Court of Appeal Rules</w:t>
      </w:r>
      <w:r>
        <w:rPr>
          <w:rFonts w:ascii="arial" w:eastAsia="arial" w:hAnsi="arial" w:cs="arial"/>
          <w:i/>
          <w:color w:val="000000"/>
          <w:sz w:val="20"/>
          <w:lang w:val="en-US" w:eastAsia="en-US" w:bidi="ar-SA"/>
        </w:rPr>
        <w:t>B.C. Reg. 297/2001</w:t>
      </w:r>
      <w:r>
        <w:rPr>
          <w:rFonts w:ascii="arial" w:eastAsia="arial" w:hAnsi="arial" w:cs="arial"/>
          <w:color w:val="000000"/>
          <w:sz w:val="20"/>
          <w:lang w:val="en-US" w:eastAsia="en-US" w:bidi="ar-SA"/>
        </w:rPr>
        <w:t xml:space="preserve"> requires that such an application be brought within seven days after the day the order was made. On August 17, 2006, Freshway filed a notice of motion returnable September 5, 2006, to extend the time to file its application to vary. That application did not proceed and has not been reset. The security ordered by Saunders J.A. has not been paid and the stay order remains in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October 20, 2006, Rowles J.A. dismissed Freshway's application to remove the appeal of Smith J. from the inactive list. She held that appeal was moot because the action in which it was brought had been dismissed. She stated that Freshway's chances on their appeal of Macaulay J. were "in my view, poor." She ordered Freshway to pay the DRC lump sum costs of $700.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On October 30, 2006, the appeal of the order of Macaulay J. was placed on the inactive list. Pursuant to s. 25(5) of the </w:t>
      </w:r>
      <w:r>
        <w:rPr>
          <w:rFonts w:ascii="arial" w:eastAsia="arial" w:hAnsi="arial" w:cs="arial"/>
          <w:b/>
          <w:i/>
          <w:color w:val="000000"/>
          <w:sz w:val="20"/>
          <w:lang w:val="en-US" w:eastAsia="en-US" w:bidi="ar-SA"/>
        </w:rPr>
        <w:t>CAA</w:t>
      </w:r>
      <w:r>
        <w:rPr>
          <w:rFonts w:ascii="arial" w:eastAsia="arial" w:hAnsi="arial" w:cs="arial"/>
          <w:color w:val="000000"/>
          <w:sz w:val="20"/>
          <w:lang w:val="en-US" w:eastAsia="en-US" w:bidi="ar-SA"/>
        </w:rPr>
        <w:t>, unless the appeal is removed from the inactive appeal list by April 30, 2007, it will stand dismissed as abandoned. An appeal dismissed as abandoned can still be reinstated on the order of a single justice (s. 25(6)).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On November 22, 2006, Levine J.A. dismissed Freshway's application to remove the appeal from Mr. Justice Macaulay's order from the inactive list. She held that the stay ordered by Saunders J.A. precluded Freshway from bringing any application before the security was posted. She ordered Freshway to pay the DRC lump sum costs of $400.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ONTARIO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 April 21, 2005, after commencement of the BC Action, Freshway brought an application to the Ontario Divisional Court seeking judicial review of the Arbitration Award. On May 9, 2005, Mr. Justice Carnwath dismissed the application on the grounds that he had no jurisdiction to hear the matter. He held that any attempt to set aside the Arbitration Award had to be brought in the Ontario Superior Court of Justice. Justice Carnwath fixed the DRC's costs at $10,700.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Freshway appealed the decision of Mr. Justice Carnwath to the Ontario Court of Appeal. On October 6, 2005, the Ontario Court of Appeal quashed the appeal on the grounds that it should have been brought to a panel of the Divisional Court. Freshway was ordered to pay the DRC $2,500 in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Freshway then applied to the Ontario Court of Appeal to vary or set aside its costs award. On November 14, 2005, that application was dismissed. Freshway was ordered to pay the DRC's costs of the motion which were fixed at $1,500.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Freshway then sought leave to appeal to the Supreme Court of Canada. That application was dismissed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After the Supreme Court of Canada application, Freshway sought to appeal Justice Carnwath's decision to a panel of the Divisional Court. On February 14, 2006, the Divisional Court dismissed the application and ordered costs payable by Freshway to the DRC of $5,000.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Freshway sought leave from the Ontario Court of Appeal to appeal the order of February 14, 2006 of the Divisional Court. On August 21, 2006, the application for leave to appeal was dismissed. The court ordered Freshway to pay the DRC's costs in the amount of $1,500 plus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Freshway, again, sought leave to appeal to the Supreme Court of Canada. On May 18, 2006, the application for leave to appeal was dismissed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STATUTORY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applicable provisions of the </w:t>
      </w:r>
      <w:r>
        <w:rPr>
          <w:rFonts w:ascii="arial" w:eastAsia="arial" w:hAnsi="arial" w:cs="arial"/>
          <w:b/>
          <w:i/>
          <w:color w:val="000000"/>
          <w:sz w:val="20"/>
          <w:lang w:val="en-US" w:eastAsia="en-US" w:bidi="ar-SA"/>
        </w:rPr>
        <w:t>BIA</w:t>
      </w:r>
      <w:r>
        <w:rPr>
          <w:rFonts w:ascii="arial" w:eastAsia="arial" w:hAnsi="arial" w:cs="arial"/>
          <w:color w:val="000000"/>
          <w:sz w:val="20"/>
          <w:lang w:val="en-US" w:eastAsia="en-US" w:bidi="ar-SA"/>
        </w:rPr>
        <w:t xml:space="preserve">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Acts of bankruptcy -- s. 42(1)</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(1) A debtor commits an act of bankruptcy in each of the following cases: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he ceases to meet his liabilities generally as they become due.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Bankruptcy application -- s. 43(1)</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(1) Subject to this section, one or more creditors may file in court an application for a bankruptcy order against a debtor if it is alleged in the application that</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debt or debts owing to the applicant creditor or creditors amount to one thousand dollars; and</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debtor has committed an act of bankruptcy within the six months preceding the filing of the application.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Affidavit -- s. 43(3)</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application shall be verified by affidavit of the applicant or by someone duly authorized on their behalf having personal knowledge of the facts alleged in the application.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Proof of facts, etc. -- s. 43(6)</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hearing of the application, the court shall require proof of the facts alleged in the application and of the service of the application, and, if satisfied, with the proof, may make a bankruptcy order.</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Dismissal of application -- s. 43(7)</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court is not satisfied with the proof of the facts alleged in the application or of the service of the application, or is satisfied by the debtor that the debtor is able to pay their debts, or that for other sufficient cause no order ought to be made, it shall dismiss the application.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Stay of proceedings if facts denied -- s. 43(10)</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debtor appears at the hearing of the application and denies the truth of the facts alleged in the application, the court may, instead of dismissing the application, stay all proceedings on the application on any terms that it may see fit to impose on the applicant as to costs or on the debtor to prevent alienation of the debtor's property and for any period of time that may be required for trial of the issue relating to the disputed facts.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Stay of proceedings for other reasons -- s. 43(11)</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may for other sufficient reason make an order staying the proceedings under an application, either altogether or for a limited time, on any terms and subject to any conditions that the court may think just.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DRC filed its petition on February 21, 2007. The petition was served on Freshway's registered and records office on February 27, 2007. The hearing of the petition was initially set for March 27, 2007, on which date Freshway attended and obtained an adjournment to April 10,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Freshway owes the DRC $26,843.69 arising from costs awarded in the BC Action and the proceedings in Ontario. In addition, the DRC has been awarded the costs of several other applications, including those before Macaulay J. and the Supreme Court of Canada, which have yet to be assessed. Freshway has not paid Map the Arbitration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Freshway has not carried on active business operations since July 2005, when it laid off all of its employees. There is no evidence that Freshway is presently able to pay its outstanding debts.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DRC is a creditor in an amount exceeding $1,000. Freshway has ceased to meet its liabilities generally as they become due, in that it has failed to make court ordered payments to the DRC and MAP. I find that the DRC has met the preconditions for a bankruptcy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BIA</w:t>
      </w:r>
      <w:r>
        <w:rPr>
          <w:rFonts w:ascii="arial" w:eastAsia="arial" w:hAnsi="arial" w:cs="arial"/>
          <w:color w:val="000000"/>
          <w:sz w:val="20"/>
          <w:lang w:val="en-US" w:eastAsia="en-US" w:bidi="ar-SA"/>
        </w:rPr>
        <w:t xml:space="preserve"> bestows a discretion on the court to refuse or stay a petition even when the preconditions for a bankruptcy order are met: </w:t>
      </w:r>
      <w:r>
        <w:rPr>
          <w:rFonts w:ascii="arial" w:eastAsia="arial" w:hAnsi="arial" w:cs="arial"/>
          <w:b/>
          <w:i/>
          <w:color w:val="000000"/>
          <w:sz w:val="20"/>
          <w:lang w:val="en-US" w:eastAsia="en-US" w:bidi="ar-SA"/>
        </w:rPr>
        <w:t>Re Abalone Holdings Limited (No. 2)</w:t>
      </w:r>
      <w:r>
        <w:rPr>
          <w:rFonts w:ascii="arial" w:eastAsia="arial" w:hAnsi="arial" w:cs="arial"/>
          <w:color w:val="000000"/>
          <w:sz w:val="20"/>
          <w:lang w:val="en-US" w:eastAsia="en-US" w:bidi="ar-SA"/>
        </w:rPr>
        <w:t xml:space="preserve"> </w:t>
      </w:r>
      <w:hyperlink r:id="rId906" w:history="1">
        <w:r>
          <w:rPr>
            <w:rFonts w:ascii="arial" w:eastAsia="arial" w:hAnsi="arial" w:cs="arial"/>
            <w:i/>
            <w:color w:val="0077CC"/>
            <w:sz w:val="20"/>
            <w:u w:val="single"/>
            <w:shd w:val="clear" w:color="auto" w:fill="FFFFFF"/>
            <w:lang w:val="en-US" w:eastAsia="en-US" w:bidi="ar-SA"/>
          </w:rPr>
          <w:t>(1979), 29 C.B.R. (N.S.) 174</w:t>
        </w:r>
      </w:hyperlink>
      <w:r>
        <w:rPr>
          <w:rFonts w:ascii="arial" w:eastAsia="arial" w:hAnsi="arial" w:cs="arial"/>
          <w:color w:val="000000"/>
          <w:sz w:val="20"/>
          <w:lang w:val="en-US" w:eastAsia="en-US" w:bidi="ar-SA"/>
        </w:rPr>
        <w:t xml:space="preserve"> (Ont. S.C.). The discretion must be exercised judicially: </w:t>
      </w:r>
      <w:r>
        <w:rPr>
          <w:rFonts w:ascii="arial" w:eastAsia="arial" w:hAnsi="arial" w:cs="arial"/>
          <w:b/>
          <w:i/>
          <w:color w:val="000000"/>
          <w:sz w:val="20"/>
          <w:lang w:val="en-US" w:eastAsia="en-US" w:bidi="ar-SA"/>
        </w:rPr>
        <w:t>Re Churchill Forest Industries (Manitoba) Limited</w:t>
      </w:r>
      <w:r>
        <w:rPr>
          <w:rFonts w:ascii="arial" w:eastAsia="arial" w:hAnsi="arial" w:cs="arial"/>
          <w:color w:val="000000"/>
          <w:sz w:val="20"/>
          <w:lang w:val="en-US" w:eastAsia="en-US" w:bidi="ar-SA"/>
        </w:rPr>
        <w:t xml:space="preserve"> </w:t>
      </w:r>
      <w:hyperlink r:id="rId907" w:history="1">
        <w:r>
          <w:rPr>
            <w:rFonts w:ascii="arial" w:eastAsia="arial" w:hAnsi="arial" w:cs="arial"/>
            <w:i/>
            <w:color w:val="0077CC"/>
            <w:sz w:val="20"/>
            <w:u w:val="single"/>
            <w:shd w:val="clear" w:color="auto" w:fill="FFFFFF"/>
            <w:lang w:val="en-US" w:eastAsia="en-US" w:bidi="ar-SA"/>
          </w:rPr>
          <w:t>(1971), 16 C.B.R. (N.S.) 158</w:t>
        </w:r>
      </w:hyperlink>
      <w:r>
        <w:rPr>
          <w:rFonts w:ascii="arial" w:eastAsia="arial" w:hAnsi="arial" w:cs="arial"/>
          <w:color w:val="000000"/>
          <w:sz w:val="20"/>
          <w:lang w:val="en-US" w:eastAsia="en-US" w:bidi="ar-SA"/>
        </w:rPr>
        <w:t xml:space="preserve"> (Man. Q.B.). Wrongful conduct by a petitioner may lead to the dismissal of a petition even when the debtor has committed an act of bankruptcy: </w:t>
      </w:r>
      <w:r>
        <w:rPr>
          <w:rFonts w:ascii="arial" w:eastAsia="arial" w:hAnsi="arial" w:cs="arial"/>
          <w:b/>
          <w:i/>
          <w:color w:val="000000"/>
          <w:sz w:val="20"/>
          <w:lang w:val="en-US" w:eastAsia="en-US" w:bidi="ar-SA"/>
        </w:rPr>
        <w:t>Buth-na-bodhiaga, Inc. v. Lambert</w:t>
      </w:r>
      <w:r>
        <w:rPr>
          <w:rFonts w:ascii="arial" w:eastAsia="arial" w:hAnsi="arial" w:cs="arial"/>
          <w:color w:val="000000"/>
          <w:sz w:val="20"/>
          <w:lang w:val="en-US" w:eastAsia="en-US" w:bidi="ar-SA"/>
        </w:rPr>
        <w:t xml:space="preserve"> </w:t>
      </w:r>
      <w:hyperlink r:id="rId908" w:history="1">
        <w:r>
          <w:rPr>
            <w:rFonts w:ascii="arial" w:eastAsia="arial" w:hAnsi="arial" w:cs="arial"/>
            <w:i/>
            <w:color w:val="0077CC"/>
            <w:sz w:val="20"/>
            <w:u w:val="single"/>
            <w:shd w:val="clear" w:color="auto" w:fill="FFFFFF"/>
            <w:lang w:val="en-US" w:eastAsia="en-US" w:bidi="ar-SA"/>
          </w:rPr>
          <w:t>(2002), 60 O.R. (3d) 787</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Freshway submits that it has been the victim of fraud and conversions by parties associated with the DRC, who not only failed to discipline any of those parties, but forced an unfair arbitration on Freshway under threat of expulsion and then maliciously suspended Freshway and authored its misfortunes. It submits that to reward such wrongful conduct would bring the judicial system into disrepute. It also submits that the bankruptcy petition would give the DRC an improper collateral advantage by preventing Freshway from advancing its claims in the BC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There is no evidence before me of any wrongful conduct by the DRC. The DRC has been forced to defend itself in numerous court proceedings commenced by Freshway. Freshway has been singularly unsuccessful in the various proceedings it has launched. For the most part, those proceedings have been ill-conceived and without merit. Many have been brought in the wrong court. Freshway has no one but itself to blame for its present predicament. The evidence discloses no grounds to dismiss the petition and I refuse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debtor has the onus of satisfying the court that there is sufficient reason to grant a stay: </w:t>
      </w:r>
      <w:r>
        <w:rPr>
          <w:rFonts w:ascii="arial" w:eastAsia="arial" w:hAnsi="arial" w:cs="arial"/>
          <w:b/>
          <w:i/>
          <w:color w:val="000000"/>
          <w:sz w:val="20"/>
          <w:lang w:val="en-US" w:eastAsia="en-US" w:bidi="ar-SA"/>
        </w:rPr>
        <w:t>Re Mediacoat Inc.</w:t>
      </w:r>
      <w:r>
        <w:rPr>
          <w:rFonts w:ascii="arial" w:eastAsia="arial" w:hAnsi="arial" w:cs="arial"/>
          <w:color w:val="000000"/>
          <w:sz w:val="20"/>
          <w:lang w:val="en-US" w:eastAsia="en-US" w:bidi="ar-SA"/>
        </w:rPr>
        <w:t xml:space="preserve"> </w:t>
      </w:r>
      <w:hyperlink r:id="rId909" w:history="1">
        <w:r>
          <w:rPr>
            <w:rFonts w:ascii="arial" w:eastAsia="arial" w:hAnsi="arial" w:cs="arial"/>
            <w:i/>
            <w:color w:val="0077CC"/>
            <w:sz w:val="20"/>
            <w:u w:val="single"/>
            <w:shd w:val="clear" w:color="auto" w:fill="FFFFFF"/>
            <w:lang w:val="en-US" w:eastAsia="en-US" w:bidi="ar-SA"/>
          </w:rPr>
          <w:t>(1990), 80 C.B.R. (N.S.) 39</w:t>
        </w:r>
      </w:hyperlink>
      <w:r>
        <w:rPr>
          <w:rFonts w:ascii="arial" w:eastAsia="arial" w:hAnsi="arial" w:cs="arial"/>
          <w:color w:val="000000"/>
          <w:sz w:val="20"/>
          <w:lang w:val="en-US" w:eastAsia="en-US" w:bidi="ar-SA"/>
        </w:rPr>
        <w:t xml:space="preserve"> (Ont. H.C.J.). The court has the power to stay a petition pending conclusion of a civil action. The fact that civil proceedings are outstanding between the debtor and petitioning creditor will not give the debtor an absolute right to a stay. Such an order may be justified if the court concludes that a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dispute exists: </w:t>
      </w:r>
      <w:r>
        <w:rPr>
          <w:rFonts w:ascii="arial" w:eastAsia="arial" w:hAnsi="arial" w:cs="arial"/>
          <w:b/>
          <w:i/>
          <w:color w:val="000000"/>
          <w:sz w:val="20"/>
          <w:lang w:val="en-US" w:eastAsia="en-US" w:bidi="ar-SA"/>
        </w:rPr>
        <w:t>Royal Bank of Canada v. 1130703 Ontario Ltd.</w:t>
      </w:r>
      <w:r>
        <w:rPr>
          <w:rFonts w:ascii="arial" w:eastAsia="arial" w:hAnsi="arial" w:cs="arial"/>
          <w:color w:val="000000"/>
          <w:sz w:val="20"/>
          <w:lang w:val="en-US" w:eastAsia="en-US" w:bidi="ar-SA"/>
        </w:rPr>
        <w:t xml:space="preserve"> </w:t>
      </w:r>
      <w:hyperlink r:id="rId910" w:history="1">
        <w:r>
          <w:rPr>
            <w:rFonts w:ascii="arial" w:eastAsia="arial" w:hAnsi="arial" w:cs="arial"/>
            <w:i/>
            <w:color w:val="0077CC"/>
            <w:sz w:val="20"/>
            <w:u w:val="single"/>
            <w:shd w:val="clear" w:color="auto" w:fill="FFFFFF"/>
            <w:lang w:val="en-US" w:eastAsia="en-US" w:bidi="ar-SA"/>
          </w:rPr>
          <w:t>(2003), 45 C.B.R (4th) 320</w:t>
        </w:r>
      </w:hyperlink>
      <w:r>
        <w:rPr>
          <w:rFonts w:ascii="arial" w:eastAsia="arial" w:hAnsi="arial" w:cs="arial"/>
          <w:color w:val="000000"/>
          <w:sz w:val="20"/>
          <w:lang w:val="en-US" w:eastAsia="en-US" w:bidi="ar-SA"/>
        </w:rPr>
        <w:t xml:space="preserve"> (Ont. S.C.J.).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In this case, there is no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dispute. The BC Action has been dismissed. Although Freshway has appealed, it has not prosecuted that appeal with diligence. Indeed, the appeal itself will likely shortly be dismissed for want of prosecution.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To reinstitute its appeal, Freshway will have to post security for costs which, to date, it has not done and convince a justice of the Court of Appeal that the appeal should be removed from the inactive appeal list. In </w:t>
      </w:r>
      <w:r>
        <w:rPr>
          <w:rFonts w:ascii="arial" w:eastAsia="arial" w:hAnsi="arial" w:cs="arial"/>
          <w:b/>
          <w:i/>
          <w:color w:val="000000"/>
          <w:sz w:val="20"/>
          <w:lang w:val="en-US" w:eastAsia="en-US" w:bidi="ar-SA"/>
        </w:rPr>
        <w:t>Hannigan v. Hannigan</w:t>
      </w:r>
      <w:r>
        <w:rPr>
          <w:rFonts w:ascii="arial" w:eastAsia="arial" w:hAnsi="arial" w:cs="arial"/>
          <w:color w:val="000000"/>
          <w:sz w:val="20"/>
          <w:lang w:val="en-US" w:eastAsia="en-US" w:bidi="ar-SA"/>
        </w:rPr>
        <w:t xml:space="preserve">, </w:t>
      </w:r>
      <w:hyperlink r:id="rId911" w:history="1">
        <w:r>
          <w:rPr>
            <w:rFonts w:ascii="arial" w:eastAsia="arial" w:hAnsi="arial" w:cs="arial"/>
            <w:i/>
            <w:color w:val="0077CC"/>
            <w:sz w:val="20"/>
            <w:u w:val="single"/>
            <w:shd w:val="clear" w:color="auto" w:fill="FFFFFF"/>
            <w:lang w:val="en-US" w:eastAsia="en-US" w:bidi="ar-SA"/>
          </w:rPr>
          <w:t>2006 BCCA 167</w:t>
        </w:r>
      </w:hyperlink>
      <w:r>
        <w:rPr>
          <w:rFonts w:ascii="arial" w:eastAsia="arial" w:hAnsi="arial" w:cs="arial"/>
          <w:color w:val="000000"/>
          <w:sz w:val="20"/>
          <w:lang w:val="en-US" w:eastAsia="en-US" w:bidi="ar-SA"/>
        </w:rPr>
        <w:t>, the Court discussed at [paragraph] 12 the factors to be considered on such an application, namely whether:</w:t>
      </w:r>
      <w:r>
        <w:rPr>
          <w:rFonts w:ascii="arial" w:eastAsia="arial" w:hAnsi="arial" w:cs="arial"/>
          <w:sz w:val="20"/>
          <w:lang w:val="en-US" w:eastAsia="en-US" w:bidi="ar-SA"/>
        </w:rPr>
        <w:cr/>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has been inordinate delay;</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delay is excusable;</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respondent has suffered prejudice as a result of the delay;</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merit to the appeal; and</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interests of justice are served by reinstatement.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Two justices of the Court of Appeal have already indicated that Freshway's appeal has little or no chance of success. My own reading of Macaulay J.'s reasons concurs with that view. The chance of Freshway re-instating the appeal is, in my opinion, minimal and does not justify a stay of these proceedings. If Freshway's claim against the DRC or any other party are of merit, the trustee (or on application another creditor) can pursue those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DRC has not brought this petition to collect a disputed claim. It has several unsatisfied judgments against Freshway. Circumstances to be considered in determining whether to grant the bankruptcy order include: (a) whether the debtor is operating as a business; (b) whether, based on the evidence before the court, there will be a substantial shortfall to creditors; and (c) the merits of the debtor's claim against the petitioning creditor: </w:t>
      </w:r>
      <w:r>
        <w:rPr>
          <w:rFonts w:ascii="arial" w:eastAsia="arial" w:hAnsi="arial" w:cs="arial"/>
          <w:b/>
          <w:i/>
          <w:color w:val="000000"/>
          <w:sz w:val="20"/>
          <w:lang w:val="en-US" w:eastAsia="en-US" w:bidi="ar-SA"/>
        </w:rPr>
        <w:t>Real Time Fibre Supply Ltd. (Re)</w:t>
      </w:r>
      <w:r>
        <w:rPr>
          <w:rFonts w:ascii="arial" w:eastAsia="arial" w:hAnsi="arial" w:cs="arial"/>
          <w:color w:val="000000"/>
          <w:sz w:val="20"/>
          <w:lang w:val="en-US" w:eastAsia="en-US" w:bidi="ar-SA"/>
        </w:rPr>
        <w:t xml:space="preserve">, </w:t>
      </w:r>
      <w:hyperlink r:id="rId912" w:history="1">
        <w:r>
          <w:rPr>
            <w:rFonts w:ascii="arial" w:eastAsia="arial" w:hAnsi="arial" w:cs="arial"/>
            <w:i/>
            <w:color w:val="0077CC"/>
            <w:sz w:val="20"/>
            <w:u w:val="single"/>
            <w:shd w:val="clear" w:color="auto" w:fill="FFFFFF"/>
            <w:lang w:val="en-US" w:eastAsia="en-US" w:bidi="ar-SA"/>
          </w:rPr>
          <w:t>2007 BCSC 371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Freshway has not operated as a business since July 2005. The evidence before the court suggests that the creditors, including the DRC, will receive little if anything on their debts. Freshway has no outstanding action against the DRC and its claim against the DRC was dismissed as being an abuse of process for failing to disclose a reasonable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DRC has satisfied the requirements of the </w:t>
      </w:r>
      <w:r>
        <w:rPr>
          <w:rFonts w:ascii="arial" w:eastAsia="arial" w:hAnsi="arial" w:cs="arial"/>
          <w:b/>
          <w:i/>
          <w:color w:val="000000"/>
          <w:sz w:val="20"/>
          <w:lang w:val="en-US" w:eastAsia="en-US" w:bidi="ar-SA"/>
        </w:rPr>
        <w:t>BIA</w:t>
      </w:r>
      <w:r>
        <w:rPr>
          <w:rFonts w:ascii="arial" w:eastAsia="arial" w:hAnsi="arial" w:cs="arial"/>
          <w:color w:val="000000"/>
          <w:sz w:val="20"/>
          <w:lang w:val="en-US" w:eastAsia="en-US" w:bidi="ar-SA"/>
        </w:rPr>
        <w:t xml:space="preserve"> for a bankruptcy order against Freshway. The debts owing to the DRC and MAP are incapable of being disputed and remain due and owing. In the circumstances, the DRC is entitled to the order it seeks. Freshway is adjudged bankrupt and a bankruptcy order in respect of its property is granted. Hazra &amp; Associates is appointed trustee of the bankruptcy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GOEPEL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5" style="position:absolute;z-index:25180569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13"/>
          <w:headerReference w:type="default" r:id="rId914"/>
          <w:footerReference w:type="even" r:id="rId915"/>
          <w:footerReference w:type="default" r:id="rId916"/>
          <w:headerReference w:type="first" r:id="rId917"/>
          <w:footerReference w:type="first" r:id="rId91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19" w:history="1">
        <w:r>
          <w:rPr>
            <w:rFonts w:ascii="arial" w:eastAsia="arial" w:hAnsi="arial" w:cs="arial"/>
            <w:b/>
            <w:bCs/>
            <w:i/>
            <w:color w:val="0077CC"/>
            <w:kern w:val="32"/>
            <w:sz w:val="28"/>
            <w:szCs w:val="32"/>
            <w:u w:val="single"/>
            <w:shd w:val="clear" w:color="auto" w:fill="FFFFFF"/>
            <w:lang w:val="en-US" w:eastAsia="en-US" w:bidi="ar-SA"/>
          </w:rPr>
          <w:t>Holt v. Farm Industry Review Board, [2014] B.C.J. No. 1930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Kelowna,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T.C. Armstrong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10-12,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23,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99192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Kelowna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1930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1389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Pirjo Holt dba Serendipity Farms, Appellant, and Farm Industry Review Board, Nicholas Swart, and Sandra Swart, Respondents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(271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6" style="position:absolute;z-index:251705344" from="0,2pt" to="512pt,2pt" strokecolor="#009ddb" strokeweight="2pt">
            <v:stroke linestyle="single"/>
          </v:line>
        </w:pict>
      </w:r>
    </w:p>
    <w:p>
      <w:pPr>
        <w:spacing w:line="240" w:lineRule="exact"/>
        <w:rPr>
          <w:rFonts w:ascii="arial" w:eastAsia="arial" w:hAnsi="arial" w:cs="arial"/>
          <w:sz w:val="20"/>
          <w:lang w:val="en-US" w:eastAsia="en-US" w:bidi="ar-SA"/>
        </w:rPr>
      </w:pP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spacing w:before="120" w:line="260" w:lineRule="atLeast"/>
              <w:ind w:left="240"/>
              <w:rPr>
                <w:rFonts w:ascii="arial" w:eastAsia="arial" w:hAnsi="arial" w:cs="arial"/>
                <w:sz w:val="20"/>
                <w:lang w:val="en-US" w:eastAsia="en-US" w:bidi="ar-SA"/>
              </w:rPr>
            </w:pPr>
            <w:bookmarkStart w:id="229" w:name="Case Summary_1"/>
            <w:bookmarkEnd w:id="229"/>
            <w:r>
              <w:rPr>
                <w:rFonts w:ascii="arial" w:eastAsia="arial" w:hAnsi="arial" w:cs="arial"/>
                <w:b/>
                <w:color w:val="000000"/>
                <w:sz w:val="20"/>
                <w:lang w:val="en-US" w:eastAsia="en-US" w:bidi="ar-SA"/>
              </w:rPr>
              <w:t>Appeal From:</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On judicial review from an order of the Farm Industry Review Board, dated March 4, 2013 (</w:t>
            </w:r>
            <w:r>
              <w:rPr>
                <w:rFonts w:ascii="arial" w:eastAsia="arial" w:hAnsi="arial" w:cs="arial"/>
                <w:i/>
                <w:color w:val="000000"/>
                <w:sz w:val="20"/>
                <w:lang w:val="en-US" w:eastAsia="en-US" w:bidi="ar-SA"/>
              </w:rPr>
              <w:t>Swart v. Holt</w:t>
            </w:r>
            <w:r>
              <w:rPr>
                <w:rFonts w:ascii="arial" w:eastAsia="arial" w:hAnsi="arial" w:cs="arial"/>
                <w:color w:val="000000"/>
                <w:sz w:val="20"/>
                <w:lang w:val="en-US" w:eastAsia="en-US" w:bidi="ar-SA"/>
              </w:rPr>
              <w:t xml:space="preserv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30" w:name="Counsel_44"/>
      <w:bookmarkEnd w:id="23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7" style="position:absolute;z-index:2517565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Appellant: D. Flannigan.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Respondent, Farm Industry Review Board: F.A.V. Falzon, Q.C., C.J. Elsaesser.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Respondents, Nicholas Swart and Sandra Swart: J.D. Metherell.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31" w:name="Judgment_44"/>
      <w:bookmarkEnd w:id="231"/>
      <w:r>
        <w:pict>
          <v:line id="_x0000_s1178" style="position:absolute;z-index:25180672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32" w:name="T.C. ARMSTRONG J."/>
            <w:bookmarkEnd w:id="232"/>
            <w:r>
              <w:rPr>
                <w:rFonts w:ascii="arial" w:eastAsia="arial" w:hAnsi="arial" w:cs="arial"/>
                <w:b/>
                <w:color w:val="000000"/>
                <w:sz w:val="30"/>
                <w:lang w:val="en-US" w:eastAsia="en-US" w:bidi="ar-SA"/>
              </w:rPr>
              <w:t>T.C. ARMSTRONG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These reasons for judgment address the appellant's appeal under s. 8(1) of the </w:t>
      </w:r>
      <w:r>
        <w:rPr>
          <w:rFonts w:ascii="arial" w:eastAsia="arial" w:hAnsi="arial" w:cs="arial"/>
          <w:i/>
          <w:color w:val="000000"/>
          <w:sz w:val="20"/>
          <w:lang w:val="en-US" w:eastAsia="en-US" w:bidi="ar-SA"/>
        </w:rPr>
        <w:t>Farm Practices Protection (Right to Farm)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131</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FPPA</w:t>
      </w:r>
      <w:r>
        <w:rPr>
          <w:rFonts w:ascii="arial" w:eastAsia="arial" w:hAnsi="arial" w:cs="arial"/>
          <w:color w:val="000000"/>
          <w:sz w:val="20"/>
          <w:lang w:val="en-US" w:eastAsia="en-US" w:bidi="ar-SA"/>
        </w:rPr>
        <w:t>] of an adverse decision by the Farm Industry Review Board ("FIRB").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In brief, this dispute began in 2009 when Pirjo Holt constructed a new barn on her Kelowna farm property to accommodate an equestrian business. Nicholas and Sandra Swart ("Swarts"), the appellant's southerly neighbours, brought a complaint pursuant to s. 3 of the </w:t>
      </w:r>
      <w:r>
        <w:rPr>
          <w:rFonts w:ascii="arial" w:eastAsia="arial" w:hAnsi="arial" w:cs="arial"/>
          <w:i/>
          <w:color w:val="000000"/>
          <w:sz w:val="20"/>
          <w:lang w:val="en-US" w:eastAsia="en-US" w:bidi="ar-SA"/>
        </w:rPr>
        <w:t>FPPA</w:t>
      </w:r>
      <w:r>
        <w:rPr>
          <w:rFonts w:ascii="arial" w:eastAsia="arial" w:hAnsi="arial" w:cs="arial"/>
          <w:color w:val="000000"/>
          <w:sz w:val="20"/>
          <w:lang w:val="en-US" w:eastAsia="en-US" w:bidi="ar-SA"/>
        </w:rPr>
        <w:t xml:space="preserve"> to the FIRB claiming that they were aggrieved by noise, light, flies and odour emanating from the appellant's farm.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On March 4, 2013, the FIRB found that a section of the appellant's horse farm and equestrian centre (livestock area B) was not a normal farm practice pursuant to s. 1 of the </w:t>
      </w:r>
      <w:r>
        <w:rPr>
          <w:rFonts w:ascii="arial" w:eastAsia="arial" w:hAnsi="arial" w:cs="arial"/>
          <w:i/>
          <w:color w:val="000000"/>
          <w:sz w:val="20"/>
          <w:lang w:val="en-US" w:eastAsia="en-US" w:bidi="ar-SA"/>
        </w:rPr>
        <w:t>FPPA</w:t>
      </w:r>
      <w:r>
        <w:rPr>
          <w:rFonts w:ascii="arial" w:eastAsia="arial" w:hAnsi="arial" w:cs="arial"/>
          <w:color w:val="000000"/>
          <w:sz w:val="20"/>
          <w:lang w:val="en-US" w:eastAsia="en-US" w:bidi="ar-SA"/>
        </w:rPr>
        <w:t xml:space="preserve"> because turning out horses within 15m of the farm's southerly property line was not a normal farm practice based on the City of Kelowna's zoning bylaw ("bylaw") and the Ministry of Agriculture Farm Practice Review Guide ("provincial guidelines").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FIRB dismissed the noise and light complaints and concluded that the appellant's manure management practices were a normal farm practice. But it found that the location of the livestock area B run outs were not consistent with normal farm practices as defined under the </w:t>
      </w:r>
      <w:r>
        <w:rPr>
          <w:rFonts w:ascii="arial" w:eastAsia="arial" w:hAnsi="arial" w:cs="arial"/>
          <w:i/>
          <w:color w:val="000000"/>
          <w:sz w:val="20"/>
          <w:lang w:val="en-US" w:eastAsia="en-US" w:bidi="ar-SA"/>
        </w:rPr>
        <w:t>FPPA</w:t>
      </w:r>
      <w:r>
        <w:rPr>
          <w:rFonts w:ascii="arial" w:eastAsia="arial" w:hAnsi="arial" w:cs="arial"/>
          <w:color w:val="000000"/>
          <w:sz w:val="20"/>
          <w:lang w:val="en-US" w:eastAsia="en-US" w:bidi="ar-SA"/>
        </w:rPr>
        <w:t xml:space="preserve"> because the livestock area B run outs were not setback from the Swarts' property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Accordingly, the FIRB ordered the appellant to set livestock area B run outs back at least 15m from the farm's southerly property line or discontinue using livestock area B for turning out horses.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appellant raised multiple procedural fairness and substantive issues. I will address each issue individually.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sum, I find that the FIRB decision was not reasonable, and I remit the matter back to the FIRB for re-hearing.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Farm Practices Protection (Right to Farm)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 will briefly describe the legislative scheme from which this issue arose, including the complaint process, the FIRB's power, the definition of normal farm practice, and the appeal process.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The </w:t>
      </w:r>
      <w:r>
        <w:rPr>
          <w:rFonts w:ascii="arial" w:eastAsia="arial" w:hAnsi="arial" w:cs="arial"/>
          <w:b/>
          <w:i/>
          <w:color w:val="000000"/>
          <w:sz w:val="20"/>
          <w:lang w:val="en-US" w:eastAsia="en-US" w:bidi="ar-SA"/>
        </w:rPr>
        <w:t>FPPA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In 1995, the BC legislature enacted the </w:t>
      </w:r>
      <w:r>
        <w:rPr>
          <w:rFonts w:ascii="arial" w:eastAsia="arial" w:hAnsi="arial" w:cs="arial"/>
          <w:i/>
          <w:color w:val="000000"/>
          <w:sz w:val="20"/>
          <w:lang w:val="en-US" w:eastAsia="en-US" w:bidi="ar-SA"/>
        </w:rPr>
        <w:t>FPPA</w:t>
      </w:r>
      <w:r>
        <w:rPr>
          <w:rFonts w:ascii="arial" w:eastAsia="arial" w:hAnsi="arial" w:cs="arial"/>
          <w:color w:val="000000"/>
          <w:sz w:val="20"/>
          <w:lang w:val="en-US" w:eastAsia="en-US" w:bidi="ar-SA"/>
        </w:rPr>
        <w:t xml:space="preserve"> to protect farmer's rights in BC. The </w:t>
      </w:r>
      <w:r>
        <w:rPr>
          <w:rFonts w:ascii="arial" w:eastAsia="arial" w:hAnsi="arial" w:cs="arial"/>
          <w:i/>
          <w:color w:val="000000"/>
          <w:sz w:val="20"/>
          <w:lang w:val="en-US" w:eastAsia="en-US" w:bidi="ar-SA"/>
        </w:rPr>
        <w:t>FPPA</w:t>
      </w:r>
      <w:r>
        <w:rPr>
          <w:rFonts w:ascii="arial" w:eastAsia="arial" w:hAnsi="arial" w:cs="arial"/>
          <w:color w:val="000000"/>
          <w:sz w:val="20"/>
          <w:lang w:val="en-US" w:eastAsia="en-US" w:bidi="ar-SA"/>
        </w:rPr>
        <w:t xml:space="preserve"> specifically relates to nuisances such as odour, noise, dust or other disturbances. Under the </w:t>
      </w:r>
      <w:r>
        <w:rPr>
          <w:rFonts w:ascii="arial" w:eastAsia="arial" w:hAnsi="arial" w:cs="arial"/>
          <w:i/>
          <w:color w:val="000000"/>
          <w:sz w:val="20"/>
          <w:lang w:val="en-US" w:eastAsia="en-US" w:bidi="ar-SA"/>
        </w:rPr>
        <w:t>FPPA</w:t>
      </w:r>
      <w:r>
        <w:rPr>
          <w:rFonts w:ascii="arial" w:eastAsia="arial" w:hAnsi="arial" w:cs="arial"/>
          <w:color w:val="000000"/>
          <w:sz w:val="20"/>
          <w:lang w:val="en-US" w:eastAsia="en-US" w:bidi="ar-SA"/>
        </w:rPr>
        <w:t>, if a farmer uses normal farm practices and does not contravene any other legislation, the farmer is not liable to any person for nuisance and cannot be prevented from operating a farm by an injunction or court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Section 2 of the </w:t>
      </w:r>
      <w:r>
        <w:rPr>
          <w:rFonts w:ascii="arial" w:eastAsia="arial" w:hAnsi="arial" w:cs="arial"/>
          <w:i/>
          <w:color w:val="000000"/>
          <w:sz w:val="20"/>
          <w:lang w:val="en-US" w:eastAsia="en-US" w:bidi="ar-SA"/>
        </w:rPr>
        <w:t>FPPA</w:t>
      </w:r>
      <w:r>
        <w:rPr>
          <w:rFonts w:ascii="arial" w:eastAsia="arial" w:hAnsi="arial" w:cs="arial"/>
          <w:color w:val="000000"/>
          <w:sz w:val="20"/>
          <w:lang w:val="en-US" w:eastAsia="en-US" w:bidi="ar-SA"/>
        </w:rPr>
        <w:t xml:space="preserve"> contains the framework for protecting farm operations:</w:t>
      </w:r>
      <w:r>
        <w:rPr>
          <w:rFonts w:ascii="arial" w:eastAsia="arial" w:hAnsi="arial" w:cs="arial"/>
          <w:sz w:val="20"/>
          <w:lang w:val="en-US" w:eastAsia="en-US" w:bidi="ar-SA"/>
        </w:rPr>
        <w:cr/>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each of the requirements of subsection (2) is fulfilled in relation to a farm operation conducted as part of a farm business,</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farmer is not liable in nuisance to any person for any odour, noise, dust or other disturbance resulting from the farm operation, and</w:t>
      </w:r>
    </w:p>
    <w:p>
      <w:pPr>
        <w:numPr>
          <w:numId w:val="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farmer must not be prevented by injunction or other order of a court from conducting that farm operation.</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requirements referred to in subsection (1) are that the farm operation must</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be conducted in accordance with normal farm practices,</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be conducted on, in or over land that is in an agricultural land reserve,</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which, under the </w:t>
      </w:r>
      <w:r>
        <w:rPr>
          <w:rFonts w:ascii="arial" w:eastAsia="arial" w:hAnsi="arial" w:cs="arial"/>
          <w:i/>
          <w:color w:val="000000"/>
          <w:sz w:val="20"/>
          <w:lang w:val="en-US" w:eastAsia="en-US" w:bidi="ar-SA"/>
        </w:rPr>
        <w:t>Local Government Act</w:t>
      </w:r>
      <w:r>
        <w:rPr>
          <w:rFonts w:ascii="arial" w:eastAsia="arial" w:hAnsi="arial" w:cs="arial"/>
          <w:color w:val="000000"/>
          <w:sz w:val="20"/>
          <w:lang w:val="en-US" w:eastAsia="en-US" w:bidi="ar-SA"/>
        </w:rPr>
        <w:t>, farm use is allowed,</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permitted by a valid and subsisting licence, issued to that person under the </w:t>
      </w:r>
      <w:r>
        <w:rPr>
          <w:rFonts w:ascii="arial" w:eastAsia="arial" w:hAnsi="arial" w:cs="arial"/>
          <w:i/>
          <w:color w:val="000000"/>
          <w:sz w:val="20"/>
          <w:lang w:val="en-US" w:eastAsia="en-US" w:bidi="ar-SA"/>
        </w:rPr>
        <w:t>Fisheries Act</w:t>
      </w:r>
      <w:r>
        <w:rPr>
          <w:rFonts w:ascii="arial" w:eastAsia="arial" w:hAnsi="arial" w:cs="arial"/>
          <w:color w:val="000000"/>
          <w:sz w:val="20"/>
          <w:lang w:val="en-US" w:eastAsia="en-US" w:bidi="ar-SA"/>
        </w:rPr>
        <w:t>, for aquaculture, or</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is Crown land designated as a farming area under subsection (2.1), and</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not be conducted in contravention of the </w:t>
      </w:r>
      <w:r>
        <w:rPr>
          <w:rFonts w:ascii="arial" w:eastAsia="arial" w:hAnsi="arial" w:cs="arial"/>
          <w:i/>
          <w:color w:val="000000"/>
          <w:sz w:val="20"/>
          <w:lang w:val="en-US" w:eastAsia="en-US" w:bidi="ar-SA"/>
        </w:rPr>
        <w:t>Public Health Act, Integrated Pest Management Act, Environmental Management Act</w:t>
      </w:r>
      <w:r>
        <w:rPr>
          <w:rFonts w:ascii="arial" w:eastAsia="arial" w:hAnsi="arial" w:cs="arial"/>
          <w:color w:val="000000"/>
          <w:sz w:val="20"/>
          <w:lang w:val="en-US" w:eastAsia="en-US" w:bidi="ar-SA"/>
        </w:rPr>
        <w:t>, the regulations under those Acts or any land use regulation.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Complaint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FPPA</w:t>
      </w:r>
      <w:r>
        <w:rPr>
          <w:rFonts w:ascii="arial" w:eastAsia="arial" w:hAnsi="arial" w:cs="arial"/>
          <w:color w:val="000000"/>
          <w:sz w:val="20"/>
          <w:lang w:val="en-US" w:eastAsia="en-US" w:bidi="ar-SA"/>
        </w:rPr>
        <w:t xml:space="preserve"> strikes a balance with those who might be affected by farm operations, and it provides a complaint mechanism for individuals who suffer nuisances created by farms.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If the nuisance results from a normal farm practice, then the FIRB must dismiss the complaint. If the nuisance results from an abnormal farm practice, the FIRB can order that farmer to change the practice causing the nuisance or discontinue the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Section 3 of the </w:t>
      </w:r>
      <w:r>
        <w:rPr>
          <w:rFonts w:ascii="arial" w:eastAsia="arial" w:hAnsi="arial" w:cs="arial"/>
          <w:i/>
          <w:color w:val="000000"/>
          <w:sz w:val="20"/>
          <w:lang w:val="en-US" w:eastAsia="en-US" w:bidi="ar-SA"/>
        </w:rPr>
        <w:t>FPPA</w:t>
      </w:r>
      <w:r>
        <w:rPr>
          <w:rFonts w:ascii="arial" w:eastAsia="arial" w:hAnsi="arial" w:cs="arial"/>
          <w:color w:val="000000"/>
          <w:sz w:val="20"/>
          <w:lang w:val="en-US" w:eastAsia="en-US" w:bidi="ar-SA"/>
        </w:rPr>
        <w:t xml:space="preserve"> prescribes the process for complaints to the FIRB:</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 person is aggrieved by any odour, noise, dust or other disturbance resulting from a farm operation conducted as part of a farm business, the person may apply in writing to the board for a determination as to whether the odour, noise, dust or other disturbance results from a normal farm practice.</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Every application under subsection (1) must</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contain a statement of the nature of the complaint, the name and address of the person making the application, the name and address of the farmer and the location of the farm,</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be in a form acceptable to the chair of board, and</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be accompanied by the fee prescribed by the Lieutenant Governor in Council.</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FIRB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FIRB is an independent administrative tribunal that receives power from two statutes.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First, s. 3(1) of the </w:t>
      </w:r>
      <w:r>
        <w:rPr>
          <w:rFonts w:ascii="arial" w:eastAsia="arial" w:hAnsi="arial" w:cs="arial"/>
          <w:i/>
          <w:color w:val="000000"/>
          <w:sz w:val="20"/>
          <w:lang w:val="en-US" w:eastAsia="en-US" w:bidi="ar-SA"/>
        </w:rPr>
        <w:t>Natural Products Marketing (BC)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330</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British Columbia Farm Industry Review Board is continued consisting of up to 10 individuals appointed as follows by the Lieutenant Governor in Council after a merit based process: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one member designated as the chair:</w:t>
      </w:r>
    </w:p>
    <w:p>
      <w:pPr>
        <w:numPr>
          <w:numId w:val="1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one or more members designated as vice chairs after consultation with the chair;</w:t>
      </w:r>
    </w:p>
    <w:p>
      <w:pPr>
        <w:numPr>
          <w:numId w:val="1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members appointed after consultation with the chair.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Second, the </w:t>
      </w:r>
      <w:r>
        <w:rPr>
          <w:rFonts w:ascii="arial" w:eastAsia="arial" w:hAnsi="arial" w:cs="arial"/>
          <w:i/>
          <w:color w:val="000000"/>
          <w:sz w:val="20"/>
          <w:lang w:val="en-US" w:eastAsia="en-US" w:bidi="ar-SA"/>
        </w:rPr>
        <w:t>FPPA</w:t>
      </w:r>
      <w:r>
        <w:rPr>
          <w:rFonts w:ascii="arial" w:eastAsia="arial" w:hAnsi="arial" w:cs="arial"/>
          <w:color w:val="000000"/>
          <w:sz w:val="20"/>
          <w:lang w:val="en-US" w:eastAsia="en-US" w:bidi="ar-SA"/>
        </w:rPr>
        <w:t xml:space="preserve"> defines "board" as meaning "the Provincial board under the Natural Products Marketing (BC) Act". The FIRB chair is authorized to establish a panel with the appointment of three members to hear a complaint made under s.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FIRB may inquire into a complaint at any time before reaching a settlement or making a determination. And s. 4 of </w:t>
      </w:r>
      <w:r>
        <w:rPr>
          <w:rFonts w:ascii="arial" w:eastAsia="arial" w:hAnsi="arial" w:cs="arial"/>
          <w:i/>
          <w:color w:val="000000"/>
          <w:sz w:val="20"/>
          <w:lang w:val="en-US" w:eastAsia="en-US" w:bidi="ar-SA"/>
        </w:rPr>
        <w:t>FPPA</w:t>
      </w:r>
      <w:r>
        <w:rPr>
          <w:rFonts w:ascii="arial" w:eastAsia="arial" w:hAnsi="arial" w:cs="arial"/>
          <w:color w:val="000000"/>
          <w:sz w:val="20"/>
          <w:lang w:val="en-US" w:eastAsia="en-US" w:bidi="ar-SA"/>
        </w:rPr>
        <w:t xml:space="preserve"> authorizes the FIRB chair to address settlement of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52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the interest of reaching a settlement of a complaint that is the subject of an application under section 3 (1), the chair of the board, at any time before a panel of the board has decided the application, may inquire into matters relevant to the complaint, and, as part of that inquiry, may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obtain the advice of persons who are knowledgeable about normal farm practices, and</w:t>
      </w:r>
    </w:p>
    <w:p>
      <w:pPr>
        <w:numPr>
          <w:numId w:val="2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consult with the farmer identified in the application and the complainant.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And s. 6 of the </w:t>
      </w:r>
      <w:r>
        <w:rPr>
          <w:rFonts w:ascii="arial" w:eastAsia="arial" w:hAnsi="arial" w:cs="arial"/>
          <w:i/>
          <w:color w:val="000000"/>
          <w:sz w:val="20"/>
          <w:lang w:val="en-US" w:eastAsia="en-US" w:bidi="ar-SA"/>
        </w:rPr>
        <w:t>FPPA</w:t>
      </w:r>
      <w:r>
        <w:rPr>
          <w:rFonts w:ascii="arial" w:eastAsia="arial" w:hAnsi="arial" w:cs="arial"/>
          <w:color w:val="000000"/>
          <w:sz w:val="20"/>
          <w:lang w:val="en-US" w:eastAsia="en-US" w:bidi="ar-SA"/>
        </w:rPr>
        <w:t xml:space="preserve"> sets out how the FIRB adjudicates complaints: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6(1) The panel established to hear an application must hold a hearing and must</w:t>
      </w:r>
    </w:p>
    <w:p>
      <w:pPr>
        <w:numPr>
          <w:numId w:val="2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dismiss the complaint if the panel is of the opinion that the odour, noise, dust or other disturbance results from a normal farm practice, or</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the farmer to cease the practice that causes the odour, noise, dust or other disturbance if it is not a normal farm practice, or to modify the practice in the manner set out in the order, to be consistent with normal farm practice.</w:t>
      </w:r>
    </w:p>
    <w:p>
      <w:pPr>
        <w:numPr>
          <w:numId w:val="2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chair of the board, after giving the complainant an opportunity to be heard, may refuse to refer an application to a panel for the purpose of a hearing, or, after a hearing has begun, the panel to which an application has been referred may refuse to continue the hearing or to make a decision if, in the opinion of the chair of the board or the panel, as the case may be,</w:t>
      </w:r>
    </w:p>
    <w:p>
      <w:pPr>
        <w:numPr>
          <w:numId w:val="2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subject matter of the application is trivial,</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application is frivolous or vexatious or is not made in good faith, or</w:t>
      </w:r>
    </w:p>
    <w:p>
      <w:pPr>
        <w:numPr>
          <w:numId w:val="3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complainant does not have a sufficient personal interest in the subject matter of the application.</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chair of the board must give written reasons for a decision under subsection (2) refusing to refer an application to a panel.</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panel must give written reasons for a decision under subsection (1) or (2).</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Written notice of the decision, under this section, of the chair of the board or a panel, accompanied by the written reasons for the decision, must be delivered to the complainant and the farmer affected by the decision.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Normal Farm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Section 1 of the </w:t>
      </w:r>
      <w:r>
        <w:rPr>
          <w:rFonts w:ascii="arial" w:eastAsia="arial" w:hAnsi="arial" w:cs="arial"/>
          <w:i/>
          <w:color w:val="000000"/>
          <w:sz w:val="20"/>
          <w:lang w:val="en-US" w:eastAsia="en-US" w:bidi="ar-SA"/>
        </w:rPr>
        <w:t>FPPA</w:t>
      </w:r>
      <w:r>
        <w:rPr>
          <w:rFonts w:ascii="arial" w:eastAsia="arial" w:hAnsi="arial" w:cs="arial"/>
          <w:color w:val="000000"/>
          <w:sz w:val="20"/>
          <w:lang w:val="en-US" w:eastAsia="en-US" w:bidi="ar-SA"/>
        </w:rPr>
        <w:t xml:space="preserve"> establishes the definition of "normal farm practice":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"normal farm practice"</w:t>
      </w:r>
      <w:r>
        <w:rPr>
          <w:rFonts w:ascii="arial" w:eastAsia="arial" w:hAnsi="arial" w:cs="arial"/>
          <w:color w:val="000000"/>
          <w:sz w:val="20"/>
          <w:lang w:val="en-US" w:eastAsia="en-US" w:bidi="ar-SA"/>
        </w:rPr>
        <w:t xml:space="preserve"> means a practice that is conducted by a farm business in a manner consistent with</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proper and accepted customs and standards as established and followed by similar farm businesses under similar circumstances, and</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standards prescribed by the Lieutenant Governor in Council,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includes a practice that makes use of innovative technology in a manner consistent with proper advanced farm management practices and with any standards prescribed under paragraph (b).</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Appeal Mechanism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Section 8(1) of the </w:t>
      </w:r>
      <w:r>
        <w:rPr>
          <w:rFonts w:ascii="arial" w:eastAsia="arial" w:hAnsi="arial" w:cs="arial"/>
          <w:i/>
          <w:color w:val="000000"/>
          <w:sz w:val="20"/>
          <w:lang w:val="en-US" w:eastAsia="en-US" w:bidi="ar-SA"/>
        </w:rPr>
        <w:t>FPPA</w:t>
      </w:r>
      <w:r>
        <w:rPr>
          <w:rFonts w:ascii="arial" w:eastAsia="arial" w:hAnsi="arial" w:cs="arial"/>
          <w:color w:val="000000"/>
          <w:sz w:val="20"/>
          <w:lang w:val="en-US" w:eastAsia="en-US" w:bidi="ar-SA"/>
        </w:rPr>
        <w:t xml:space="preserve"> sets out the ground of appeal: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Within 60 days after receiving written notice, in accordance with section 6(5), of a decision of the chair or a panel of the board made under section 6, the complainant or farmer affected by the decision may appeal the decision to the Supreme Court on </w:t>
      </w:r>
      <w:r>
        <w:rPr>
          <w:rFonts w:ascii="arial" w:eastAsia="arial" w:hAnsi="arial" w:cs="arial"/>
          <w:color w:val="000000"/>
          <w:sz w:val="20"/>
          <w:u w:val="single"/>
          <w:lang w:val="en-US" w:eastAsia="en-US" w:bidi="ar-SA"/>
        </w:rPr>
        <w:t>a question of law or jurisdiction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Lubchynski v. Farm Practices Board</w:t>
      </w:r>
      <w:r>
        <w:rPr>
          <w:rFonts w:ascii="arial" w:eastAsia="arial" w:hAnsi="arial" w:cs="arial"/>
          <w:color w:val="000000"/>
          <w:sz w:val="20"/>
          <w:lang w:val="en-US" w:eastAsia="en-US" w:bidi="ar-SA"/>
        </w:rPr>
        <w:t xml:space="preserve">, </w:t>
      </w:r>
      <w:hyperlink r:id="rId920" w:history="1">
        <w:r>
          <w:rPr>
            <w:rFonts w:ascii="arial" w:eastAsia="arial" w:hAnsi="arial" w:cs="arial"/>
            <w:i/>
            <w:color w:val="0077CC"/>
            <w:sz w:val="20"/>
            <w:u w:val="single"/>
            <w:shd w:val="clear" w:color="auto" w:fill="FFFFFF"/>
            <w:lang w:val="en-US" w:eastAsia="en-US" w:bidi="ar-SA"/>
          </w:rPr>
          <w:t>2004 BCSC 657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Lubchynski</w:t>
      </w:r>
      <w:r>
        <w:rPr>
          <w:rFonts w:ascii="arial" w:eastAsia="arial" w:hAnsi="arial" w:cs="arial"/>
          <w:color w:val="000000"/>
          <w:sz w:val="20"/>
          <w:lang w:val="en-US" w:eastAsia="en-US" w:bidi="ar-SA"/>
        </w:rPr>
        <w:t>] , one of the few appeals in British Columbia of an FIRB decision, Beames J. said the following about the FIRB's role at para. 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determination of normal farm practice is not, I conclude, a matter of statutory interpretation. The F.P.B. has been constituted by the legislature as a specialized board. Its members include all members of the B.C. Marketing Board. It is empowered by its legislation to use processes not available to the court in the resolution of a complaint. Its initial mandate is to attempt to resolve the dispute through consultation and in that process, it may also obtain advice from persons knowledgeable about normal farm practices. Hearings may be conducted informally and the panel may, in its discretion, receive evidence which would not be admissible in a court of law. Specialists and consultants may be retained directly by the Board. The Board may also be ordered to study any matter related to farm practices and to report findings and recommendations to the Minister. If the Board finds that a farmer's practice is not normal farm practice, it may order the farmer to modify his practice in a specified manner, including in manners not available by way of a remedy which could be granted by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Complaint and the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scheme the </w:t>
      </w:r>
      <w:r>
        <w:rPr>
          <w:rFonts w:ascii="arial" w:eastAsia="arial" w:hAnsi="arial" w:cs="arial"/>
          <w:i/>
          <w:color w:val="000000"/>
          <w:sz w:val="20"/>
          <w:lang w:val="en-US" w:eastAsia="en-US" w:bidi="ar-SA"/>
        </w:rPr>
        <w:t>FPPA</w:t>
      </w:r>
      <w:r>
        <w:rPr>
          <w:rFonts w:ascii="arial" w:eastAsia="arial" w:hAnsi="arial" w:cs="arial"/>
          <w:color w:val="000000"/>
          <w:sz w:val="20"/>
          <w:lang w:val="en-US" w:eastAsia="en-US" w:bidi="ar-SA"/>
        </w:rPr>
        <w:t xml:space="preserve"> creates authorizes the FIRB to promote settling complaints before any hearing and to obtain the advice of a person knowledgeable of normal farm practices (often called the "knowledgeable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Swarts made several complaints to City of Kelowna ("Kelowna"), the Agricultural Land Commission and the Property Assessment Review Panel about the appellant's farming operation before making a FIRB complaint.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Kelowna reviewed the issue of setback provisions in its zoning bylaw, and it advised the appellant that her current plans did not meet the bylaw's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Based on its advice, the appellant made modifications to its barn layout that satisfied Kelowna. Then Kelowna considered the 15m setback and concluded that the modifications the appellant made obviated the need for any setback. Thus her business complied with its bylaw and she was permitted to build in accord with her amended plans.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Swarts were dissatisfied with the results of their submissions to Kelowna and the other government bodies. So they lodged a complaint to the FIRB.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May 3 and 4, 2012, the FIRB conducted a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FIRB retained Carl Withler, a professional agrologist employed by the Ministry of Agriculture, as the "knowledgeable person" to assist it and to advise it on normal farm practices.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Withler's report incorporated his opinions on the complaints regarding noise, light, and odour. His conclusions were:</w:t>
      </w:r>
      <w:r>
        <w:rPr>
          <w:rFonts w:ascii="arial" w:eastAsia="arial" w:hAnsi="arial" w:cs="arial"/>
          <w:sz w:val="20"/>
          <w:lang w:val="en-US" w:eastAsia="en-US" w:bidi="ar-SA"/>
        </w:rPr>
        <w:cr/>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noise the appellant's farm generated was a normal farm practice;</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light the appellant's farm generated was a normal farm practice;</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appellant's farm manure storing, spreading and management were a normal farm practice, and some larger manure piles could be alleviated with a minor change; and</w:t>
      </w:r>
    </w:p>
    <w:p>
      <w:pPr>
        <w:numPr>
          <w:numId w:val="4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appellant's barn run outs that permit livestock into a confined area within 15m of a lot line did not meet the provincial guidelines. But he did not address the question of "normal farm practice" as defined by the </w:t>
      </w:r>
      <w:r>
        <w:rPr>
          <w:rFonts w:ascii="arial" w:eastAsia="arial" w:hAnsi="arial" w:cs="arial"/>
          <w:i/>
          <w:color w:val="000000"/>
          <w:sz w:val="20"/>
          <w:lang w:val="en-US" w:eastAsia="en-US" w:bidi="ar-SA"/>
        </w:rPr>
        <w:t>FPPA</w:t>
      </w:r>
      <w:r>
        <w:rPr>
          <w:rFonts w:ascii="arial" w:eastAsia="arial" w:hAnsi="arial" w:cs="arial"/>
          <w:color w:val="000000"/>
          <w:sz w:val="20"/>
          <w:lang w:val="en-US" w:eastAsia="en-US" w:bidi="ar-SA"/>
        </w:rPr>
        <w:t xml:space="preserve"> in his written report, and in his oral testimony, he described the appellant's equestrian centre (not referring to run outs) as generally closer to the lot line than most equestrian centres he had seen.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Withler and the FIRB disagreed with Kelowna's interpretation of its bylaw. And contrary to Kelowna's interpretation, he interpreted Kelowna's zoning bylaw to require that "confined livestock areas" be setback 15m from the property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Withler said that a 15m setback for confined livestock areas was consistent with farm practices in other areas such as the Township of Langley.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Withler criticized himself, the Ministry of Agriculture, and Kelowna for their failure to address the city's bylaw and its relationship to normal farm practices.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Swarts entered photographs showing the areas along their common boundary line with the appellant's property. They pointed to livestock area B as the main sources of odor and flies. They complained of extremely bothersome flies that were not a problem before the appellant created livestock area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appellant advanced seven grounds of appeal:</w:t>
      </w:r>
      <w:r>
        <w:rPr>
          <w:rFonts w:ascii="arial" w:eastAsia="arial" w:hAnsi="arial" w:cs="arial"/>
          <w:sz w:val="20"/>
          <w:lang w:val="en-US" w:eastAsia="en-US" w:bidi="ar-SA"/>
        </w:rPr>
        <w:cr/>
      </w:r>
    </w:p>
    <w:p>
      <w:pPr>
        <w:numPr>
          <w:numId w:val="4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FIRB relied on expert evidence that was based on incorrect terms of reference because the terms of reference were made outside of the FIRB's jurisdiction;</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FIRB in its decision infringed the appellant's right to procedural fairness by analyzing the bylaw without giving the appellant adequate notice;</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FIRB order exceeds the FIRB's jurisdiction as the order amounts to a municipal bylaw ruling and purported enforcement;</w:t>
      </w:r>
    </w:p>
    <w:p>
      <w:pPr>
        <w:numPr>
          <w:numId w:val="4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FIRB in its decision erred in law by failing to give sufficient weight to Kelowna's interpretation of its own bylaw and by failing to give any weight to the appellant's evidence regarding normal farm practices of similar farm businesses under similar circumstances;</w:t>
      </w:r>
    </w:p>
    <w:p>
      <w:pPr>
        <w:numPr>
          <w:numId w:val="4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FIRB erred interpreting the bylaw;</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FIRB erred by concluding that normal farm practices requires a 15m setback and whether that conclusion is supported on the evidence before the FIRB; and,</w:t>
      </w:r>
    </w:p>
    <w:p>
      <w:pPr>
        <w:numPr>
          <w:numId w:val="4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Whether the FIRB decision is unreasonable and exceeds its jurisdiction under the </w:t>
      </w:r>
      <w:r>
        <w:rPr>
          <w:rFonts w:ascii="arial" w:eastAsia="arial" w:hAnsi="arial" w:cs="arial"/>
          <w:i/>
          <w:color w:val="000000"/>
          <w:sz w:val="20"/>
          <w:lang w:val="en-US" w:eastAsia="en-US" w:bidi="ar-SA"/>
        </w:rPr>
        <w:t>FPPA</w:t>
      </w:r>
      <w:r>
        <w:rPr>
          <w:rFonts w:ascii="arial" w:eastAsia="arial" w:hAnsi="arial" w:cs="arial"/>
          <w:color w:val="000000"/>
          <w:sz w:val="20"/>
          <w:lang w:val="en-US" w:eastAsia="en-US" w:bidi="ar-SA"/>
        </w:rPr>
        <w:t xml:space="preserve"> to protect the right of farmers and whether the FIRB's decision limits the right to farm without adequate reasons for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Standard of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Before turning to the substantive analysis, I will address the applicable standard of review on this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appellant summarized the standard of review in an administrative law proceeding as settled in </w:t>
      </w:r>
      <w:r>
        <w:rPr>
          <w:rFonts w:ascii="arial" w:eastAsia="arial" w:hAnsi="arial" w:cs="arial"/>
          <w:i/>
          <w:color w:val="000000"/>
          <w:sz w:val="20"/>
          <w:lang w:val="en-US" w:eastAsia="en-US" w:bidi="ar-SA"/>
        </w:rPr>
        <w:t>Dunsmuir v. New Brunswick</w:t>
      </w:r>
      <w:r>
        <w:rPr>
          <w:rFonts w:ascii="arial" w:eastAsia="arial" w:hAnsi="arial" w:cs="arial"/>
          <w:color w:val="000000"/>
          <w:sz w:val="20"/>
          <w:lang w:val="en-US" w:eastAsia="en-US" w:bidi="ar-SA"/>
        </w:rPr>
        <w:t xml:space="preserve">, </w:t>
      </w:r>
      <w:hyperlink r:id="rId921" w:history="1">
        <w:r>
          <w:rPr>
            <w:rFonts w:ascii="arial" w:eastAsia="arial" w:hAnsi="arial" w:cs="arial"/>
            <w:i/>
            <w:color w:val="0077CC"/>
            <w:sz w:val="20"/>
            <w:u w:val="single"/>
            <w:shd w:val="clear" w:color="auto" w:fill="FFFFFF"/>
            <w:lang w:val="en-US" w:eastAsia="en-US" w:bidi="ar-SA"/>
          </w:rPr>
          <w:t>2008 SCC 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Alberta (Information and Privacy Commissioner) v. Alberta Teachers' Association,</w:t>
      </w:r>
      <w:r>
        <w:rPr>
          <w:rFonts w:ascii="arial" w:eastAsia="arial" w:hAnsi="arial" w:cs="arial"/>
          <w:color w:val="000000"/>
          <w:sz w:val="20"/>
          <w:lang w:val="en-US" w:eastAsia="en-US" w:bidi="ar-SA"/>
        </w:rPr>
        <w:t xml:space="preserve"> </w:t>
      </w:r>
      <w:hyperlink r:id="rId922" w:history="1">
        <w:r>
          <w:rPr>
            <w:rFonts w:ascii="arial" w:eastAsia="arial" w:hAnsi="arial" w:cs="arial"/>
            <w:i/>
            <w:color w:val="0077CC"/>
            <w:sz w:val="20"/>
            <w:u w:val="single"/>
            <w:shd w:val="clear" w:color="auto" w:fill="FFFFFF"/>
            <w:lang w:val="en-US" w:eastAsia="en-US" w:bidi="ar-SA"/>
          </w:rPr>
          <w:t>2011 SCC 61</w:t>
        </w:r>
      </w:hyperlink>
      <w:r>
        <w:rPr>
          <w:rFonts w:ascii="arial" w:eastAsia="arial" w:hAnsi="arial" w:cs="arial"/>
          <w:color w:val="000000"/>
          <w:sz w:val="20"/>
          <w:lang w:val="en-US" w:eastAsia="en-US" w:bidi="ar-SA"/>
        </w:rPr>
        <w:t xml:space="preserve"> [brief ], the Court elaborated on this analysis, and it made the following points:</w:t>
      </w:r>
      <w:r>
        <w:rPr>
          <w:rFonts w:ascii="arial" w:eastAsia="arial" w:hAnsi="arial" w:cs="arial"/>
          <w:sz w:val="20"/>
          <w:lang w:val="en-US" w:eastAsia="en-US" w:bidi="ar-SA"/>
        </w:rPr>
        <w:cr/>
      </w:r>
    </w:p>
    <w:p>
      <w:pPr>
        <w:numPr>
          <w:numId w:val="4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matters of true jurisdiction, the standard is correctness. But parties invoking jurisdictional challenges must demonstrate "why the court should not review a tribunal's interpretation of its home statute on the deferential standard of reasonableness": at para. 39.</w:t>
      </w:r>
    </w:p>
    <w:p>
      <w:pPr>
        <w:numPr>
          <w:numId w:val="5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questions of central importance to the legal system as a whole or that are outside the decision maker's specialized expertise, the standard is correctness: at para. 46.</w:t>
      </w:r>
    </w:p>
    <w:p>
      <w:pPr>
        <w:numPr>
          <w:numId w:val="52"/>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an alleged error is within the decision maker's specialized expertise and does not raise issues of general legal importance, the court must give substantial deference to the conclusion and apply the reasonableness standard: at para. 83.</w:t>
      </w:r>
    </w:p>
    <w:p>
      <w:pPr>
        <w:numPr>
          <w:numId w:val="5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decision maker is interpreting its own home statute or a closely connected statute, the standard should be presumed to be reasonableness: at para. 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Canada (Human Rights Commission) v. Canada (Attorney General)</w:t>
      </w:r>
      <w:r>
        <w:rPr>
          <w:rFonts w:ascii="arial" w:eastAsia="arial" w:hAnsi="arial" w:cs="arial"/>
          <w:color w:val="000000"/>
          <w:sz w:val="20"/>
          <w:lang w:val="en-US" w:eastAsia="en-US" w:bidi="ar-SA"/>
        </w:rPr>
        <w:t xml:space="preserve">, </w:t>
      </w:r>
      <w:hyperlink r:id="rId923" w:history="1">
        <w:r>
          <w:rPr>
            <w:rFonts w:ascii="arial" w:eastAsia="arial" w:hAnsi="arial" w:cs="arial"/>
            <w:i/>
            <w:color w:val="0077CC"/>
            <w:sz w:val="20"/>
            <w:u w:val="single"/>
            <w:shd w:val="clear" w:color="auto" w:fill="FFFFFF"/>
            <w:lang w:val="en-US" w:eastAsia="en-US" w:bidi="ar-SA"/>
          </w:rPr>
          <w:t>2011 SCC 53</w:t>
        </w:r>
      </w:hyperlink>
      <w:r>
        <w:rPr>
          <w:rFonts w:ascii="arial" w:eastAsia="arial" w:hAnsi="arial" w:cs="arial"/>
          <w:color w:val="000000"/>
          <w:sz w:val="20"/>
          <w:lang w:val="en-US" w:eastAsia="en-US" w:bidi="ar-SA"/>
        </w:rPr>
        <w:t xml:space="preserve"> at para. 16, the Court laid out the approach apposite to this appeal: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Dunsmuir</w:t>
      </w:r>
      <w:r>
        <w:rPr>
          <w:rFonts w:ascii="arial" w:eastAsia="arial" w:hAnsi="arial" w:cs="arial"/>
          <w:color w:val="000000"/>
          <w:sz w:val="20"/>
          <w:lang w:val="en-US" w:eastAsia="en-US" w:bidi="ar-SA"/>
        </w:rPr>
        <w:t xml:space="preserve"> kept in place an analytical approach to determine the appropriate standard of review, the standard of review analysis. </w:t>
      </w:r>
      <w:r>
        <w:rPr>
          <w:rFonts w:ascii="arial" w:eastAsia="arial" w:hAnsi="arial" w:cs="arial"/>
          <w:color w:val="000000"/>
          <w:sz w:val="20"/>
          <w:u w:val="single"/>
          <w:lang w:val="en-US" w:eastAsia="en-US" w:bidi="ar-SA"/>
        </w:rPr>
        <w:t>The two-step process in the standard of review analysis is first to "ascertain whether the jurisprudence has already determined in a satisfactory manner the degree of deference to be accorded with regard to a particular category of question. Second, where the first inquiry proves unfruitful, courts must proceed to an analysis of the factors making it possible to identify the proper standard of review</w:t>
      </w:r>
      <w:r>
        <w:rPr>
          <w:rFonts w:ascii="arial" w:eastAsia="arial" w:hAnsi="arial" w:cs="arial"/>
          <w:color w:val="000000"/>
          <w:sz w:val="20"/>
          <w:lang w:val="en-US" w:eastAsia="en-US" w:bidi="ar-SA"/>
        </w:rPr>
        <w:t>" (para. 62). The focus of the analysis remains on the nature of the issue that was before the tribunal under review (</w:t>
      </w:r>
      <w:r>
        <w:rPr>
          <w:rFonts w:ascii="arial" w:eastAsia="arial" w:hAnsi="arial" w:cs="arial"/>
          <w:i/>
          <w:color w:val="000000"/>
          <w:sz w:val="20"/>
          <w:lang w:val="en-US" w:eastAsia="en-US" w:bidi="ar-SA"/>
        </w:rPr>
        <w:t>Khosa</w:t>
      </w:r>
      <w:r>
        <w:rPr>
          <w:rFonts w:ascii="arial" w:eastAsia="arial" w:hAnsi="arial" w:cs="arial"/>
          <w:color w:val="000000"/>
          <w:sz w:val="20"/>
          <w:lang w:val="en-US" w:eastAsia="en-US" w:bidi="ar-SA"/>
        </w:rPr>
        <w:t xml:space="preserve">, at para. 4,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Binnie J.). The factors that a reviewing court has to consider in order to determine whether an administrative decision maker is entitled to deference are: the existence of a privative clause; a discrete and special administrative regime in which the decision maker has special expertise; and the nature of the question of law (</w:t>
      </w:r>
      <w:r>
        <w:rPr>
          <w:rFonts w:ascii="arial" w:eastAsia="arial" w:hAnsi="arial" w:cs="arial"/>
          <w:i/>
          <w:color w:val="000000"/>
          <w:sz w:val="20"/>
          <w:lang w:val="en-US" w:eastAsia="en-US" w:bidi="ar-SA"/>
        </w:rPr>
        <w:t>Dunsmuir</w:t>
      </w:r>
      <w:r>
        <w:rPr>
          <w:rFonts w:ascii="arial" w:eastAsia="arial" w:hAnsi="arial" w:cs="arial"/>
          <w:color w:val="000000"/>
          <w:sz w:val="20"/>
          <w:lang w:val="en-US" w:eastAsia="en-US" w:bidi="ar-SA"/>
        </w:rPr>
        <w:t xml:space="preserve">, at para. 55). </w:t>
      </w:r>
      <w:r>
        <w:rPr>
          <w:rFonts w:ascii="arial" w:eastAsia="arial" w:hAnsi="arial" w:cs="arial"/>
          <w:i/>
          <w:color w:val="000000"/>
          <w:sz w:val="20"/>
          <w:lang w:val="en-US" w:eastAsia="en-US" w:bidi="ar-SA"/>
        </w:rPr>
        <w:t>Dunsmuir</w:t>
      </w:r>
      <w:r>
        <w:rPr>
          <w:rFonts w:ascii="arial" w:eastAsia="arial" w:hAnsi="arial" w:cs="arial"/>
          <w:color w:val="000000"/>
          <w:sz w:val="20"/>
          <w:lang w:val="en-US" w:eastAsia="en-US" w:bidi="ar-SA"/>
        </w:rPr>
        <w:t xml:space="preserve"> recognized that deference is generally appropriate where a tribunal is interpreting its own home statute or statutes that are closely connected to its function and with which the tribunal has particular familiarity. Deference may also be warranted where a tribunal has developed particular expertise in the application of a general common law or civil law rule in relation to a specific statutory context (</w:t>
      </w:r>
      <w:r>
        <w:rPr>
          <w:rFonts w:ascii="arial" w:eastAsia="arial" w:hAnsi="arial" w:cs="arial"/>
          <w:i/>
          <w:color w:val="000000"/>
          <w:sz w:val="20"/>
          <w:lang w:val="en-US" w:eastAsia="en-US" w:bidi="ar-SA"/>
        </w:rPr>
        <w:t>Dunsmuir</w:t>
      </w:r>
      <w:r>
        <w:rPr>
          <w:rFonts w:ascii="arial" w:eastAsia="arial" w:hAnsi="arial" w:cs="arial"/>
          <w:color w:val="000000"/>
          <w:sz w:val="20"/>
          <w:lang w:val="en-US" w:eastAsia="en-US" w:bidi="ar-SA"/>
        </w:rPr>
        <w:t xml:space="preserve">, at para. 54; </w:t>
      </w:r>
      <w:r>
        <w:rPr>
          <w:rFonts w:ascii="arial" w:eastAsia="arial" w:hAnsi="arial" w:cs="arial"/>
          <w:i/>
          <w:color w:val="000000"/>
          <w:sz w:val="20"/>
          <w:lang w:val="en-US" w:eastAsia="en-US" w:bidi="ar-SA"/>
        </w:rPr>
        <w:t>Khosa</w:t>
      </w:r>
      <w:r>
        <w:rPr>
          <w:rFonts w:ascii="arial" w:eastAsia="arial" w:hAnsi="arial" w:cs="arial"/>
          <w:color w:val="000000"/>
          <w:sz w:val="20"/>
          <w:lang w:val="en-US" w:eastAsia="en-US" w:bidi="ar-SA"/>
        </w:rPr>
        <w:t>, at para. 25).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Regarding the standard of review, the respondents contend that this Court's previous decisions have determined the deference to be accorded on questions relating to normal farm practices.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Lubchynski</w:t>
      </w:r>
      <w:r>
        <w:rPr>
          <w:rFonts w:ascii="arial" w:eastAsia="arial" w:hAnsi="arial" w:cs="arial"/>
          <w:color w:val="000000"/>
          <w:sz w:val="20"/>
          <w:lang w:val="en-US" w:eastAsia="en-US" w:bidi="ar-SA"/>
        </w:rPr>
        <w:t>, Beames J. noted that the FIRB is entitled to significant deference when she found the appropriate standard of review was reasonableness at para. 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Board's decision on such an issue is, because of the Board's expertise, entitled to </w:t>
      </w:r>
      <w:r>
        <w:rPr>
          <w:rFonts w:ascii="arial" w:eastAsia="arial" w:hAnsi="arial" w:cs="arial"/>
          <w:color w:val="000000"/>
          <w:sz w:val="20"/>
          <w:u w:val="single"/>
          <w:lang w:val="en-US" w:eastAsia="en-US" w:bidi="ar-SA"/>
        </w:rPr>
        <w:t>significant deference. The test on review is not whether this court would have arrived at the same conclusion. I conclude that unless the Board's decision is patently unreasonable</w:t>
      </w:r>
      <w:r>
        <w:rPr>
          <w:rFonts w:ascii="arial" w:eastAsia="arial" w:hAnsi="arial" w:cs="arial"/>
          <w:color w:val="000000"/>
          <w:sz w:val="20"/>
          <w:lang w:val="en-US" w:eastAsia="en-US" w:bidi="ar-SA"/>
        </w:rPr>
        <w:t>, for example if it were completely unsupported by any evidence, this court cannot simply substitute its discretion for the Board's discretion, nor re-weigh and re-evaluate the evidence heard by the Board for the purpose of reaching its own conclusion.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respondents submit that the Court does not need to proceed with the second step of a fresh standard of review analysis because of </w:t>
      </w:r>
      <w:r>
        <w:rPr>
          <w:rFonts w:ascii="arial" w:eastAsia="arial" w:hAnsi="arial" w:cs="arial"/>
          <w:i/>
          <w:color w:val="000000"/>
          <w:sz w:val="20"/>
          <w:lang w:val="en-US" w:eastAsia="en-US" w:bidi="ar-SA"/>
        </w:rPr>
        <w:t>Lubchynski</w:t>
      </w:r>
      <w:r>
        <w:rPr>
          <w:rFonts w:ascii="arial" w:eastAsia="arial" w:hAnsi="arial" w:cs="arial"/>
          <w:color w:val="000000"/>
          <w:sz w:val="20"/>
          <w:lang w:val="en-US" w:eastAsia="en-US" w:bidi="ar-SA"/>
        </w:rPr>
        <w:t xml:space="preserve">. Although </w:t>
      </w:r>
      <w:r>
        <w:rPr>
          <w:rFonts w:ascii="arial" w:eastAsia="arial" w:hAnsi="arial" w:cs="arial"/>
          <w:i/>
          <w:color w:val="000000"/>
          <w:sz w:val="20"/>
          <w:lang w:val="en-US" w:eastAsia="en-US" w:bidi="ar-SA"/>
        </w:rPr>
        <w:t>Lubchynski</w:t>
      </w:r>
      <w:r>
        <w:rPr>
          <w:rFonts w:ascii="arial" w:eastAsia="arial" w:hAnsi="arial" w:cs="arial"/>
          <w:color w:val="000000"/>
          <w:sz w:val="20"/>
          <w:lang w:val="en-US" w:eastAsia="en-US" w:bidi="ar-SA"/>
        </w:rPr>
        <w:t xml:space="preserve"> was decided before </w:t>
      </w:r>
      <w:r>
        <w:rPr>
          <w:rFonts w:ascii="arial" w:eastAsia="arial" w:hAnsi="arial" w:cs="arial"/>
          <w:i/>
          <w:color w:val="000000"/>
          <w:sz w:val="20"/>
          <w:lang w:val="en-US" w:eastAsia="en-US" w:bidi="ar-SA"/>
        </w:rPr>
        <w:t>Dunsmuir</w:t>
      </w:r>
      <w:r>
        <w:rPr>
          <w:rFonts w:ascii="arial" w:eastAsia="arial" w:hAnsi="arial" w:cs="arial"/>
          <w:color w:val="000000"/>
          <w:sz w:val="20"/>
          <w:lang w:val="en-US" w:eastAsia="en-US" w:bidi="ar-SA"/>
        </w:rPr>
        <w:t>, I find that the standard of review has been already established, and I accede to the respondents' argument on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 also note that these standards or review apply to judicial review and statutory appeals from administrative tribunals: </w:t>
      </w:r>
      <w:r>
        <w:rPr>
          <w:rFonts w:ascii="arial" w:eastAsia="arial" w:hAnsi="arial" w:cs="arial"/>
          <w:i/>
          <w:color w:val="000000"/>
          <w:sz w:val="20"/>
          <w:lang w:val="en-US" w:eastAsia="en-US" w:bidi="ar-SA"/>
        </w:rPr>
        <w:t>Salway v. Assn of Professional Engineers and Geoscientists of British Columbia,</w:t>
      </w:r>
      <w:r>
        <w:rPr>
          <w:rFonts w:ascii="arial" w:eastAsia="arial" w:hAnsi="arial" w:cs="arial"/>
          <w:color w:val="000000"/>
          <w:sz w:val="20"/>
          <w:lang w:val="en-US" w:eastAsia="en-US" w:bidi="ar-SA"/>
        </w:rPr>
        <w:t xml:space="preserve"> </w:t>
      </w:r>
      <w:hyperlink r:id="rId924" w:history="1">
        <w:r>
          <w:rPr>
            <w:rFonts w:ascii="arial" w:eastAsia="arial" w:hAnsi="arial" w:cs="arial"/>
            <w:i/>
            <w:color w:val="0077CC"/>
            <w:sz w:val="20"/>
            <w:u w:val="single"/>
            <w:shd w:val="clear" w:color="auto" w:fill="FFFFFF"/>
            <w:lang w:val="en-US" w:eastAsia="en-US" w:bidi="ar-SA"/>
          </w:rPr>
          <w:t>2010 BCCA 94</w:t>
        </w:r>
      </w:hyperlink>
      <w:r>
        <w:rPr>
          <w:rFonts w:ascii="arial" w:eastAsia="arial" w:hAnsi="arial" w:cs="arial"/>
          <w:color w:val="000000"/>
          <w:sz w:val="20"/>
          <w:lang w:val="en-US" w:eastAsia="en-US" w:bidi="ar-SA"/>
        </w:rPr>
        <w:t xml:space="preserve"> at para.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Dunsmuir</w:t>
      </w:r>
      <w:r>
        <w:rPr>
          <w:rFonts w:ascii="arial" w:eastAsia="arial" w:hAnsi="arial" w:cs="arial"/>
          <w:color w:val="000000"/>
          <w:sz w:val="20"/>
          <w:lang w:val="en-US" w:eastAsia="en-US" w:bidi="ar-SA"/>
        </w:rPr>
        <w:t xml:space="preserve"> the Court addressed the meaning of "reasonableness" at para. 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[47]</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Reasonableness is a deferential standard animated by the principle that underlies the development of the two previous standards of reasonableness: certain questions that come before administrative tribunals do not lend themselves to one specific, particular result. Instead, they may give rise to a number of possible, reasonable conclusions. Tribunals have a margin of appreciation within the range of acceptable and rational solutions. A court conducting a review for reasonableness inquires into the qualities that make a decision reasonable, referring both to the process of articulating the reasons and to outcomes. </w:t>
            </w:r>
            <w:r>
              <w:rPr>
                <w:rFonts w:ascii="arial" w:eastAsia="arial" w:hAnsi="arial" w:cs="arial"/>
                <w:color w:val="000000"/>
                <w:sz w:val="18"/>
                <w:u w:val="single"/>
                <w:lang w:val="en-US" w:eastAsia="en-US" w:bidi="ar-SA"/>
              </w:rPr>
              <w:t>In judicial review, reasonableness is concerned mostly with the existence of justification, transparency and intelligibility within the decision-making process. But it is also concerned with whether the decision falls within a range of possible, acceptable outcomes which are defensible in respect of the facts and law.</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Newfoundland and Labrador Nurses' Union v. Newfoundland and Labrador (Treasury Board)</w:t>
      </w:r>
      <w:r>
        <w:rPr>
          <w:rFonts w:ascii="arial" w:eastAsia="arial" w:hAnsi="arial" w:cs="arial"/>
          <w:color w:val="000000"/>
          <w:sz w:val="20"/>
          <w:lang w:val="en-US" w:eastAsia="en-US" w:bidi="ar-SA"/>
        </w:rPr>
        <w:t xml:space="preserve">, </w:t>
      </w:r>
      <w:hyperlink r:id="rId925" w:history="1">
        <w:r>
          <w:rPr>
            <w:rFonts w:ascii="arial" w:eastAsia="arial" w:hAnsi="arial" w:cs="arial"/>
            <w:i/>
            <w:color w:val="0077CC"/>
            <w:sz w:val="20"/>
            <w:u w:val="single"/>
            <w:shd w:val="clear" w:color="auto" w:fill="FFFFFF"/>
            <w:lang w:val="en-US" w:eastAsia="en-US" w:bidi="ar-SA"/>
          </w:rPr>
          <w:t>2011 SCC 62</w:t>
        </w:r>
      </w:hyperlink>
      <w:r>
        <w:rPr>
          <w:rFonts w:ascii="arial" w:eastAsia="arial" w:hAnsi="arial" w:cs="arial"/>
          <w:color w:val="000000"/>
          <w:sz w:val="20"/>
          <w:lang w:val="en-US" w:eastAsia="en-US" w:bidi="ar-SA"/>
        </w:rPr>
        <w:t xml:space="preserve">, </w:t>
      </w:r>
      <w:hyperlink r:id="rId925" w:history="1">
        <w:r>
          <w:rPr>
            <w:rFonts w:ascii="arial" w:eastAsia="arial" w:hAnsi="arial" w:cs="arial"/>
            <w:i/>
            <w:color w:val="0077CC"/>
            <w:sz w:val="20"/>
            <w:u w:val="single"/>
            <w:shd w:val="clear" w:color="auto" w:fill="FFFFFF"/>
            <w:lang w:val="en-US" w:eastAsia="en-US" w:bidi="ar-SA"/>
          </w:rPr>
          <w:t>[2011] 3 SCR 708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Newfoundland Nurses</w:t>
      </w:r>
      <w:r>
        <w:rPr>
          <w:rFonts w:ascii="arial" w:eastAsia="arial" w:hAnsi="arial" w:cs="arial"/>
          <w:color w:val="000000"/>
          <w:sz w:val="20"/>
          <w:lang w:val="en-US" w:eastAsia="en-US" w:bidi="ar-SA"/>
        </w:rPr>
        <w:t>] the Court commented on the meaning of "reasonableness." Reasons serve the purpose of showing whether the results "fall within a range of possible outcomes". It said that if a board's reasons are deficient, the reviewing court must seek to supplement those reasons before it seeks to subvert the decision. Indeed, reasons must be read together with the outcome. Finally, at para. 15, the Court warned reviewing courts to be cautious in their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assessing whether the decision is reasonable in light of the outcome and the reasons, courts must show "respect for the decision-making process of adjudicative bodies with regard to both the facts and the law" (</w:t>
            </w:r>
            <w:r>
              <w:rPr>
                <w:rFonts w:ascii="arial" w:eastAsia="arial" w:hAnsi="arial" w:cs="arial"/>
                <w:i/>
                <w:color w:val="000000"/>
                <w:sz w:val="18"/>
                <w:lang w:val="en-US" w:eastAsia="en-US" w:bidi="ar-SA"/>
              </w:rPr>
              <w:t>Dunsmuir</w:t>
            </w:r>
            <w:r>
              <w:rPr>
                <w:rFonts w:ascii="arial" w:eastAsia="arial" w:hAnsi="arial" w:cs="arial"/>
                <w:color w:val="000000"/>
                <w:sz w:val="18"/>
                <w:lang w:val="en-US" w:eastAsia="en-US" w:bidi="ar-SA"/>
              </w:rPr>
              <w:t>, at para. 48). This means that courts should not substitute their own reasons, but they may, if they find it necessary, look to the record for the purpose of assessing the reasonableness of the outcome.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Communications, Energy and Paperworkers Union of Canada, Local 30 v. Irving Pulp &amp; Paper, Ltd</w:t>
      </w:r>
      <w:r>
        <w:rPr>
          <w:rFonts w:ascii="arial" w:eastAsia="arial" w:hAnsi="arial" w:cs="arial"/>
          <w:color w:val="000000"/>
          <w:sz w:val="20"/>
          <w:lang w:val="en-US" w:eastAsia="en-US" w:bidi="ar-SA"/>
        </w:rPr>
        <w:t xml:space="preserve">., </w:t>
      </w:r>
      <w:hyperlink r:id="rId926" w:history="1">
        <w:r>
          <w:rPr>
            <w:rFonts w:ascii="arial" w:eastAsia="arial" w:hAnsi="arial" w:cs="arial"/>
            <w:i/>
            <w:color w:val="0077CC"/>
            <w:sz w:val="20"/>
            <w:u w:val="single"/>
            <w:shd w:val="clear" w:color="auto" w:fill="FFFFFF"/>
            <w:lang w:val="en-US" w:eastAsia="en-US" w:bidi="ar-SA"/>
          </w:rPr>
          <w:t>2013 SCC 34</w:t>
        </w:r>
      </w:hyperlink>
      <w:r>
        <w:rPr>
          <w:rFonts w:ascii="arial" w:eastAsia="arial" w:hAnsi="arial" w:cs="arial"/>
          <w:color w:val="000000"/>
          <w:sz w:val="20"/>
          <w:lang w:val="en-US" w:eastAsia="en-US" w:bidi="ar-SA"/>
        </w:rPr>
        <w:t xml:space="preserve">, </w:t>
      </w:r>
      <w:hyperlink r:id="rId926" w:history="1">
        <w:r>
          <w:rPr>
            <w:rFonts w:ascii="arial" w:eastAsia="arial" w:hAnsi="arial" w:cs="arial"/>
            <w:i/>
            <w:color w:val="0077CC"/>
            <w:sz w:val="20"/>
            <w:u w:val="single"/>
            <w:shd w:val="clear" w:color="auto" w:fill="FFFFFF"/>
            <w:lang w:val="en-US" w:eastAsia="en-US" w:bidi="ar-SA"/>
          </w:rPr>
          <w:t>[2013] 2 SCR 458</w:t>
        </w:r>
      </w:hyperlink>
      <w:r>
        <w:rPr>
          <w:rFonts w:ascii="arial" w:eastAsia="arial" w:hAnsi="arial" w:cs="arial"/>
          <w:color w:val="000000"/>
          <w:sz w:val="20"/>
          <w:lang w:val="en-US" w:eastAsia="en-US" w:bidi="ar-SA"/>
        </w:rPr>
        <w:t xml:space="preserve"> the Supreme Court of Canada reiterated this point at para. 54: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board's decision should be approached as an organic whole, without a line-by-line treasure hunt for error (</w:t>
      </w:r>
      <w:r>
        <w:rPr>
          <w:rFonts w:ascii="arial" w:eastAsia="arial" w:hAnsi="arial" w:cs="arial"/>
          <w:i/>
          <w:color w:val="000000"/>
          <w:sz w:val="20"/>
          <w:lang w:val="en-US" w:eastAsia="en-US" w:bidi="ar-SA"/>
        </w:rPr>
        <w:t>Newfoundland Nurses</w:t>
      </w:r>
      <w:r>
        <w:rPr>
          <w:rFonts w:ascii="arial" w:eastAsia="arial" w:hAnsi="arial" w:cs="arial"/>
          <w:color w:val="000000"/>
          <w:sz w:val="20"/>
          <w:lang w:val="en-US" w:eastAsia="en-US" w:bidi="ar-SA"/>
        </w:rPr>
        <w:t>, at para. 14). In the absence of finding that the decision, based on the record, is outside the range of reasonable outcomes, the decision should not be disturbed. In this case, the board's conclusion was reasonable and ought not to have been disturbed by the reviewing courts.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Specialized tribunals regularly address complex administrative schemes and bring expertise and sensitivity to the task with an awareness of "imperatives and nuances of the legislative scheme" is most important. The Supreme Court made this exact point at para. 49 of </w:t>
      </w:r>
      <w:r>
        <w:rPr>
          <w:rFonts w:ascii="arial" w:eastAsia="arial" w:hAnsi="arial" w:cs="arial"/>
          <w:i/>
          <w:color w:val="000000"/>
          <w:sz w:val="20"/>
          <w:lang w:val="en-US" w:eastAsia="en-US" w:bidi="ar-SA"/>
        </w:rPr>
        <w:t>Dunsmuir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[49]</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Deference in the context of the reasonableness standard therefore implies that courts will give due consideration to the determinations of decision makers. As Mullan explains, a policy of deference "recognizes the reality that, in many instances, those working day to day in the implementation of frequently complex administrative schemes have or will develop a considerable degree of expertise or field sensitivity to the imperatives and nuances of the legislative regime": D. J. Mullan, "Establishing the Standard of Review: The Struggle for Complexity?" (2004), 17 </w:t>
            </w:r>
            <w:r>
              <w:rPr>
                <w:rFonts w:ascii="arial" w:eastAsia="arial" w:hAnsi="arial" w:cs="arial"/>
                <w:i/>
                <w:color w:val="000000"/>
                <w:sz w:val="18"/>
                <w:lang w:val="en-US" w:eastAsia="en-US" w:bidi="ar-SA"/>
              </w:rPr>
              <w:t>C.J.A.L.P.</w:t>
            </w:r>
            <w:r>
              <w:rPr>
                <w:rFonts w:ascii="arial" w:eastAsia="arial" w:hAnsi="arial" w:cs="arial"/>
                <w:color w:val="000000"/>
                <w:sz w:val="18"/>
                <w:lang w:val="en-US" w:eastAsia="en-US" w:bidi="ar-SA"/>
              </w:rPr>
              <w:t xml:space="preserve"> 59, at p. 93. In short, deference requires respect for the legislative choices to leave some matters in the hands of administrative decision makers, for the processes and determinations that draw on particular expertise and experiences, and for the different roles of the courts and administrative bodies within the Canadian constitutional system.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FIRB is a specialized board with expertise in farm practice and with the necessary sensitivity to the interrelationship between farms, farmers and farm practices. It is entitled to deference in assessing normal farm practice and in the remedies it deems appropriate if a farm practice is not normal: </w:t>
      </w:r>
      <w:r>
        <w:rPr>
          <w:rFonts w:ascii="arial" w:eastAsia="arial" w:hAnsi="arial" w:cs="arial"/>
          <w:i/>
          <w:color w:val="000000"/>
          <w:sz w:val="20"/>
          <w:lang w:val="en-US" w:eastAsia="en-US" w:bidi="ar-SA"/>
        </w:rPr>
        <w:t>Lubchynski</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Ollenberger v. Farm Practices Board</w:t>
      </w:r>
      <w:r>
        <w:rPr>
          <w:rFonts w:ascii="arial" w:eastAsia="arial" w:hAnsi="arial" w:cs="arial"/>
          <w:color w:val="000000"/>
          <w:sz w:val="20"/>
          <w:lang w:val="en-US" w:eastAsia="en-US" w:bidi="ar-SA"/>
        </w:rPr>
        <w:t>, August 10, 2006, Chilliwack registry No. S16527.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appellant contends that this case presents true jurisdictional issues concerning the interpretation and use of the bylaw as a measure of normal farm practice. They argued these issues should be analyzed on the correctness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Despite the appellant's helpful submissions, I do not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Administrative tribunal decisions can only be reviewed on the correctness standard in the very </w:t>
      </w:r>
      <w:r>
        <w:rPr>
          <w:rFonts w:ascii="arial" w:eastAsia="arial" w:hAnsi="arial" w:cs="arial"/>
          <w:color w:val="000000"/>
          <w:sz w:val="20"/>
          <w:u w:val="single"/>
          <w:lang w:val="en-US" w:eastAsia="en-US" w:bidi="ar-SA"/>
        </w:rPr>
        <w:t>limited</w:t>
      </w:r>
      <w:r>
        <w:rPr>
          <w:rFonts w:ascii="arial" w:eastAsia="arial" w:hAnsi="arial" w:cs="arial"/>
          <w:color w:val="000000"/>
          <w:sz w:val="20"/>
          <w:lang w:val="en-US" w:eastAsia="en-US" w:bidi="ar-SA"/>
        </w:rPr>
        <w:t xml:space="preserve"> circumstances described in </w:t>
      </w:r>
      <w:r>
        <w:rPr>
          <w:rFonts w:ascii="arial" w:eastAsia="arial" w:hAnsi="arial" w:cs="arial"/>
          <w:i/>
          <w:color w:val="000000"/>
          <w:sz w:val="20"/>
          <w:lang w:val="en-US" w:eastAsia="en-US" w:bidi="ar-SA"/>
        </w:rPr>
        <w:t>Nor-Man Regional Health Authority Inc. v. Manitoba Association of Health Care Professionals</w:t>
      </w:r>
      <w:r>
        <w:rPr>
          <w:rFonts w:ascii="arial" w:eastAsia="arial" w:hAnsi="arial" w:cs="arial"/>
          <w:color w:val="000000"/>
          <w:sz w:val="20"/>
          <w:lang w:val="en-US" w:eastAsia="en-US" w:bidi="ar-SA"/>
        </w:rPr>
        <w:t xml:space="preserve">, </w:t>
      </w:r>
      <w:hyperlink r:id="rId927" w:history="1">
        <w:r>
          <w:rPr>
            <w:rFonts w:ascii="arial" w:eastAsia="arial" w:hAnsi="arial" w:cs="arial"/>
            <w:i/>
            <w:color w:val="0077CC"/>
            <w:sz w:val="20"/>
            <w:u w:val="single"/>
            <w:shd w:val="clear" w:color="auto" w:fill="FFFFFF"/>
            <w:lang w:val="en-US" w:eastAsia="en-US" w:bidi="ar-SA"/>
          </w:rPr>
          <w:t>2011 SCC 59</w:t>
        </w:r>
      </w:hyperlink>
      <w:r>
        <w:rPr>
          <w:rFonts w:ascii="arial" w:eastAsia="arial" w:hAnsi="arial" w:cs="arial"/>
          <w:color w:val="000000"/>
          <w:sz w:val="20"/>
          <w:lang w:val="en-US" w:eastAsia="en-US" w:bidi="ar-SA"/>
        </w:rPr>
        <w:t xml:space="preserve"> at para. 35: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administrative tribunal's decision will be reviewable for correctness if it raises a constitutional issue, a question of "general law 'that is both of central importance to the legal system as a whole and outside the adjudicator's specialized area of expertise'", or a "true question of jurisdiction or </w:t>
      </w:r>
      <w:r>
        <w:rPr>
          <w:rFonts w:ascii="arial" w:eastAsia="arial" w:hAnsi="arial" w:cs="arial"/>
          <w:i/>
          <w:color w:val="000000"/>
          <w:sz w:val="20"/>
          <w:lang w:val="en-US" w:eastAsia="en-US" w:bidi="ar-SA"/>
        </w:rPr>
        <w:t>vires</w:t>
      </w:r>
      <w:r>
        <w:rPr>
          <w:rFonts w:ascii="arial" w:eastAsia="arial" w:hAnsi="arial" w:cs="arial"/>
          <w:color w:val="000000"/>
          <w:sz w:val="20"/>
          <w:lang w:val="en-US" w:eastAsia="en-US" w:bidi="ar-SA"/>
        </w:rPr>
        <w:t>". It will be reviewable for correctness as well if it involves the drawing of jurisdictional lines between two or more competing specialized tribunals (</w:t>
      </w:r>
      <w:r>
        <w:rPr>
          <w:rFonts w:ascii="arial" w:eastAsia="arial" w:hAnsi="arial" w:cs="arial"/>
          <w:i/>
          <w:color w:val="000000"/>
          <w:sz w:val="20"/>
          <w:lang w:val="en-US" w:eastAsia="en-US" w:bidi="ar-SA"/>
        </w:rPr>
        <w:t>Dunsmuir</w:t>
      </w:r>
      <w:r>
        <w:rPr>
          <w:rFonts w:ascii="arial" w:eastAsia="arial" w:hAnsi="arial" w:cs="arial"/>
          <w:color w:val="000000"/>
          <w:sz w:val="20"/>
          <w:lang w:val="en-US" w:eastAsia="en-US" w:bidi="ar-SA"/>
        </w:rPr>
        <w:t xml:space="preserve">, at paras. 58-61; </w:t>
      </w:r>
      <w:r>
        <w:rPr>
          <w:rFonts w:ascii="arial" w:eastAsia="arial" w:hAnsi="arial" w:cs="arial"/>
          <w:i/>
          <w:color w:val="000000"/>
          <w:sz w:val="20"/>
          <w:lang w:val="en-US" w:eastAsia="en-US" w:bidi="ar-SA"/>
        </w:rPr>
        <w:t>Smith</w:t>
      </w:r>
      <w:r>
        <w:rPr>
          <w:rFonts w:ascii="arial" w:eastAsia="arial" w:hAnsi="arial" w:cs="arial"/>
          <w:color w:val="000000"/>
          <w:sz w:val="20"/>
          <w:lang w:val="en-US" w:eastAsia="en-US" w:bidi="ar-SA"/>
        </w:rPr>
        <w:t xml:space="preserve">, </w:t>
      </w:r>
      <w:hyperlink r:id="rId928" w:history="1">
        <w:r>
          <w:rPr>
            <w:rFonts w:ascii="arial" w:eastAsia="arial" w:hAnsi="arial" w:cs="arial"/>
            <w:i/>
            <w:color w:val="0077CC"/>
            <w:sz w:val="20"/>
            <w:u w:val="single"/>
            <w:shd w:val="clear" w:color="auto" w:fill="FFFFFF"/>
            <w:lang w:val="en-US" w:eastAsia="en-US" w:bidi="ar-SA"/>
          </w:rPr>
          <w:t>[2011] 1 S.C.R. 160</w:t>
        </w:r>
      </w:hyperlink>
      <w:r>
        <w:rPr>
          <w:rFonts w:ascii="arial" w:eastAsia="arial" w:hAnsi="arial" w:cs="arial"/>
          <w:color w:val="000000"/>
          <w:sz w:val="20"/>
          <w:lang w:val="en-US" w:eastAsia="en-US" w:bidi="ar-SA"/>
        </w:rPr>
        <w:t xml:space="preserve">, at para. 26; </w:t>
      </w:r>
      <w:r>
        <w:rPr>
          <w:rFonts w:ascii="arial" w:eastAsia="arial" w:hAnsi="arial" w:cs="arial"/>
          <w:i/>
          <w:color w:val="000000"/>
          <w:sz w:val="20"/>
          <w:lang w:val="en-US" w:eastAsia="en-US" w:bidi="ar-SA"/>
        </w:rPr>
        <w:t>Toronto (City) v. C.U.P.E., Local 79</w:t>
      </w:r>
      <w:r>
        <w:rPr>
          <w:rFonts w:ascii="arial" w:eastAsia="arial" w:hAnsi="arial" w:cs="arial"/>
          <w:color w:val="000000"/>
          <w:sz w:val="20"/>
          <w:lang w:val="en-US" w:eastAsia="en-US" w:bidi="ar-SA"/>
        </w:rPr>
        <w:t xml:space="preserve">, </w:t>
      </w:r>
      <w:hyperlink r:id="rId506" w:history="1">
        <w:r>
          <w:rPr>
            <w:rFonts w:ascii="arial" w:eastAsia="arial" w:hAnsi="arial" w:cs="arial"/>
            <w:i/>
            <w:color w:val="0077CC"/>
            <w:sz w:val="20"/>
            <w:u w:val="single"/>
            <w:shd w:val="clear" w:color="auto" w:fill="FFFFFF"/>
            <w:lang w:val="en-US" w:eastAsia="en-US" w:bidi="ar-SA"/>
          </w:rPr>
          <w:t>2003 SCC 63</w:t>
        </w:r>
      </w:hyperlink>
      <w:r>
        <w:rPr>
          <w:rFonts w:ascii="arial" w:eastAsia="arial" w:hAnsi="arial" w:cs="arial"/>
          <w:color w:val="000000"/>
          <w:sz w:val="20"/>
          <w:lang w:val="en-US" w:eastAsia="en-US" w:bidi="ar-SA"/>
        </w:rPr>
        <w:t xml:space="preserve"> (CanLII), </w:t>
      </w:r>
      <w:hyperlink r:id="rId506" w:history="1">
        <w:r>
          <w:rPr>
            <w:rFonts w:ascii="arial" w:eastAsia="arial" w:hAnsi="arial" w:cs="arial"/>
            <w:i/>
            <w:color w:val="0077CC"/>
            <w:sz w:val="20"/>
            <w:u w:val="single"/>
            <w:shd w:val="clear" w:color="auto" w:fill="FFFFFF"/>
            <w:lang w:val="en-US" w:eastAsia="en-US" w:bidi="ar-SA"/>
          </w:rPr>
          <w:t>2003 SCC 63</w:t>
        </w:r>
      </w:hyperlink>
      <w:r>
        <w:rPr>
          <w:rFonts w:ascii="arial" w:eastAsia="arial" w:hAnsi="arial" w:cs="arial"/>
          <w:color w:val="000000"/>
          <w:sz w:val="20"/>
          <w:lang w:val="en-US" w:eastAsia="en-US" w:bidi="ar-SA"/>
        </w:rPr>
        <w:t xml:space="preserve">, </w:t>
      </w:r>
      <w:hyperlink r:id="rId506" w:history="1">
        <w:r>
          <w:rPr>
            <w:rFonts w:ascii="arial" w:eastAsia="arial" w:hAnsi="arial" w:cs="arial"/>
            <w:i/>
            <w:color w:val="0077CC"/>
            <w:sz w:val="20"/>
            <w:u w:val="single"/>
            <w:shd w:val="clear" w:color="auto" w:fill="FFFFFF"/>
            <w:lang w:val="en-US" w:eastAsia="en-US" w:bidi="ar-SA"/>
          </w:rPr>
          <w:t>[2003] 3 S.C.R. 77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Toronto (City)</w:t>
      </w:r>
      <w:r>
        <w:rPr>
          <w:rFonts w:ascii="arial" w:eastAsia="arial" w:hAnsi="arial" w:cs="arial"/>
          <w:color w:val="000000"/>
          <w:sz w:val="20"/>
          <w:lang w:val="en-US" w:eastAsia="en-US" w:bidi="ar-SA"/>
        </w:rPr>
        <w:t xml:space="preserve">"), at para. 62,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LeBel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Supreme Court of Canada recently reiterated these same points </w:t>
      </w:r>
      <w:r>
        <w:rPr>
          <w:rFonts w:ascii="arial" w:eastAsia="arial" w:hAnsi="arial" w:cs="arial"/>
          <w:i/>
          <w:color w:val="000000"/>
          <w:sz w:val="20"/>
          <w:lang w:val="en-US" w:eastAsia="en-US" w:bidi="ar-SA"/>
        </w:rPr>
        <w:t>in McLean v. British Columbia (Securities Commission)</w:t>
      </w:r>
      <w:r>
        <w:rPr>
          <w:rFonts w:ascii="arial" w:eastAsia="arial" w:hAnsi="arial" w:cs="arial"/>
          <w:color w:val="000000"/>
          <w:sz w:val="20"/>
          <w:lang w:val="en-US" w:eastAsia="en-US" w:bidi="ar-SA"/>
        </w:rPr>
        <w:t xml:space="preserve">, </w:t>
      </w:r>
      <w:hyperlink r:id="rId929" w:history="1">
        <w:r>
          <w:rPr>
            <w:rFonts w:ascii="arial" w:eastAsia="arial" w:hAnsi="arial" w:cs="arial"/>
            <w:i/>
            <w:color w:val="0077CC"/>
            <w:sz w:val="20"/>
            <w:u w:val="single"/>
            <w:shd w:val="clear" w:color="auto" w:fill="FFFFFF"/>
            <w:lang w:val="en-US" w:eastAsia="en-US" w:bidi="ar-SA"/>
          </w:rPr>
          <w:t>2013 SCC 67</w:t>
        </w:r>
      </w:hyperlink>
      <w:r>
        <w:rPr>
          <w:rFonts w:ascii="arial" w:eastAsia="arial" w:hAnsi="arial" w:cs="arial"/>
          <w:color w:val="000000"/>
          <w:sz w:val="20"/>
          <w:lang w:val="en-US" w:eastAsia="en-US" w:bidi="ar-SA"/>
        </w:rPr>
        <w:t xml:space="preserve"> at paras. 20-21 noting that the overwhelming presumption is a standard of review of reasonableness unless one of the limited exceptions where correctness standard applies arises.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This case does not fall within any of those limited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Additionally, I do not need to consider other factors including the absence of a privative clause, the nature of the question, or the tribunal's expertise as the standard of review is already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Thus, I agree with the respondents: the standard of review on this appeal is reasonableness, and the authorities establish that the FIRB is entitled to significant deference in assessing normal farm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 will address any procedural fairness issues on the standard of fairness: </w:t>
      </w:r>
      <w:r>
        <w:rPr>
          <w:rFonts w:ascii="arial" w:eastAsia="arial" w:hAnsi="arial" w:cs="arial"/>
          <w:i/>
          <w:color w:val="000000"/>
          <w:sz w:val="20"/>
          <w:lang w:val="en-US" w:eastAsia="en-US" w:bidi="ar-SA"/>
        </w:rPr>
        <w:t>Seaspan Ferries Corp. v British Columbia Ferry Services Inc.,</w:t>
      </w:r>
      <w:r>
        <w:rPr>
          <w:rFonts w:ascii="arial" w:eastAsia="arial" w:hAnsi="arial" w:cs="arial"/>
          <w:color w:val="000000"/>
          <w:sz w:val="20"/>
          <w:lang w:val="en-US" w:eastAsia="en-US" w:bidi="ar-SA"/>
        </w:rPr>
        <w:t xml:space="preserve"> </w:t>
      </w:r>
      <w:hyperlink r:id="rId930" w:history="1">
        <w:r>
          <w:rPr>
            <w:rFonts w:ascii="arial" w:eastAsia="arial" w:hAnsi="arial" w:cs="arial"/>
            <w:i/>
            <w:color w:val="0077CC"/>
            <w:sz w:val="20"/>
            <w:u w:val="single"/>
            <w:shd w:val="clear" w:color="auto" w:fill="FFFFFF"/>
            <w:lang w:val="en-US" w:eastAsia="en-US" w:bidi="ar-SA"/>
          </w:rPr>
          <w:t>2013 BCCA 55</w:t>
        </w:r>
      </w:hyperlink>
      <w:r>
        <w:rPr>
          <w:rFonts w:ascii="arial" w:eastAsia="arial" w:hAnsi="arial" w:cs="arial"/>
          <w:color w:val="000000"/>
          <w:sz w:val="20"/>
          <w:lang w:val="en-US" w:eastAsia="en-US" w:bidi="ar-SA"/>
        </w:rPr>
        <w:t xml:space="preserve"> at para. 52 [</w:t>
      </w:r>
      <w:r>
        <w:rPr>
          <w:rFonts w:ascii="arial" w:eastAsia="arial" w:hAnsi="arial" w:cs="arial"/>
          <w:i/>
          <w:color w:val="000000"/>
          <w:sz w:val="20"/>
          <w:lang w:val="en-US" w:eastAsia="en-US" w:bidi="ar-SA"/>
        </w:rPr>
        <w:t>Seaspan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Appellant's Arguments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appellant contends that the FIRB committed seven errors. Items (a) to (c) address substantive and procedural fairness considerations, and items (d) to (g) address substantive review issues, including, alleged errors of law relating to rulings on normal farm practices.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Whether the FIRB relied on expert evidence that was based on incorrect terms of reference because the terms of reference were made outside of the FIRB's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appellant argues this issue was a procedural fairness issue - specifically, she asserted that Mr. Withler, the knowledgeable person in this case, had both a personal and professional interest in the FIRB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She raised bias on three grounds. First, Mr. Withler felt that his department, the Ministry of Agriculture, and he, personally, failed in their duty to address reforming Kelowna's bylaw. Second, Mr. Withler had a pre-existing relationship with the respondents that gave rise to a reasonable apprehension of bias. Third, Mr. Whither was not an independent expert because he was a Ministry employee.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So the appellant argues Mr. Withler's underlying personal agenda, pre-existing relationship, and association with the Ministry tainted the entire process with bias. The appellant argues he was not neutral and rather acted as an advocate, and, by extension, because the FIRB relied on his opinion, the FIRB decision was biased.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appellant claims that she might have sought to disqualify Mr. Withler if she was informed of his impartial views before the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appellant argues that administrative decision makers must be unbiased and independent in exercising their decision-making power. Because of Mr. Withler's admitted impartiality, his bias tainted the FIRB's ultimate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The appellant noted the applicable standard for a court reviewing reasonable apprehension of bias allegations: whether an informed person would conclude that it was more likely than not that the decision-maker would consciously or unconsciously decide the issue unfairly: </w:t>
      </w:r>
      <w:r>
        <w:rPr>
          <w:rFonts w:ascii="arial" w:eastAsia="arial" w:hAnsi="arial" w:cs="arial"/>
          <w:i/>
          <w:color w:val="000000"/>
          <w:sz w:val="20"/>
          <w:lang w:val="en-US" w:eastAsia="en-US" w:bidi="ar-SA"/>
        </w:rPr>
        <w:t>Committee for Justice and Liberty v. Canada (National Energy Board)</w:t>
      </w:r>
      <w:r>
        <w:rPr>
          <w:rFonts w:ascii="arial" w:eastAsia="arial" w:hAnsi="arial" w:cs="arial"/>
          <w:color w:val="000000"/>
          <w:sz w:val="20"/>
          <w:lang w:val="en-US" w:eastAsia="en-US" w:bidi="ar-SA"/>
        </w:rPr>
        <w:t xml:space="preserve"> </w:t>
      </w:r>
      <w:hyperlink r:id="rId931" w:history="1">
        <w:r>
          <w:rPr>
            <w:rFonts w:ascii="arial" w:eastAsia="arial" w:hAnsi="arial" w:cs="arial"/>
            <w:i/>
            <w:color w:val="0077CC"/>
            <w:sz w:val="20"/>
            <w:u w:val="single"/>
            <w:shd w:val="clear" w:color="auto" w:fill="FFFFFF"/>
            <w:lang w:val="en-US" w:eastAsia="en-US" w:bidi="ar-SA"/>
          </w:rPr>
          <w:t>[1978] 1 S.C.R. 369</w:t>
        </w:r>
      </w:hyperlink>
      <w:r>
        <w:rPr>
          <w:rFonts w:ascii="arial" w:eastAsia="arial" w:hAnsi="arial" w:cs="arial"/>
          <w:color w:val="000000"/>
          <w:sz w:val="20"/>
          <w:lang w:val="en-US" w:eastAsia="en-US" w:bidi="ar-SA"/>
        </w:rPr>
        <w:t xml:space="preserve"> at 394.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Therefore, the appellant submits that this Court should find that the FIRB decision is tainted and render it void: </w:t>
      </w:r>
      <w:r>
        <w:rPr>
          <w:rFonts w:ascii="arial" w:eastAsia="arial" w:hAnsi="arial" w:cs="arial"/>
          <w:i/>
          <w:color w:val="000000"/>
          <w:sz w:val="20"/>
          <w:lang w:val="en-US" w:eastAsia="en-US" w:bidi="ar-SA"/>
        </w:rPr>
        <w:t>Newfoundland Telephone Co. v. Newfoundland (Board of Commissioners of Public Utilities)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[1992] 1 S.C.R. 623</w:t>
      </w:r>
      <w:r>
        <w:rPr>
          <w:rFonts w:ascii="arial" w:eastAsia="arial" w:hAnsi="arial" w:cs="arial"/>
          <w:color w:val="000000"/>
          <w:sz w:val="20"/>
          <w:lang w:val="en-US" w:eastAsia="en-US" w:bidi="ar-SA"/>
        </w:rPr>
        <w:t xml:space="preserve"> at para. 40 [</w:t>
      </w:r>
      <w:r>
        <w:rPr>
          <w:rFonts w:ascii="arial" w:eastAsia="arial" w:hAnsi="arial" w:cs="arial"/>
          <w:i/>
          <w:color w:val="000000"/>
          <w:sz w:val="20"/>
          <w:lang w:val="en-US" w:eastAsia="en-US" w:bidi="ar-SA"/>
        </w:rPr>
        <w:t>Newfoundland Telephone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The respondent, FIRB, argues that bias allegations are serious. When a party alleges bias, sufficient evidence must demonstrate that a reasonable person would find that the decision maker's mind was not impartial: </w:t>
      </w:r>
      <w:r>
        <w:rPr>
          <w:rFonts w:ascii="arial" w:eastAsia="arial" w:hAnsi="arial" w:cs="arial"/>
          <w:i/>
          <w:color w:val="000000"/>
          <w:sz w:val="20"/>
          <w:lang w:val="en-US" w:eastAsia="en-US" w:bidi="ar-SA"/>
        </w:rPr>
        <w:t>Adams v. British Columbia (Worker's Compensation Board)</w:t>
      </w:r>
      <w:r>
        <w:rPr>
          <w:rFonts w:ascii="arial" w:eastAsia="arial" w:hAnsi="arial" w:cs="arial"/>
          <w:color w:val="000000"/>
          <w:sz w:val="20"/>
          <w:lang w:val="en-US" w:eastAsia="en-US" w:bidi="ar-SA"/>
        </w:rPr>
        <w:t xml:space="preserve"> </w:t>
      </w:r>
      <w:hyperlink r:id="rId932" w:history="1">
        <w:r>
          <w:rPr>
            <w:rFonts w:ascii="arial" w:eastAsia="arial" w:hAnsi="arial" w:cs="arial"/>
            <w:i/>
            <w:color w:val="0077CC"/>
            <w:sz w:val="20"/>
            <w:u w:val="single"/>
            <w:shd w:val="clear" w:color="auto" w:fill="FFFFFF"/>
            <w:lang w:val="en-US" w:eastAsia="en-US" w:bidi="ar-SA"/>
          </w:rPr>
          <w:t>(1989), 42 B.C.L.R. (2d) 228</w:t>
        </w:r>
      </w:hyperlink>
      <w:r>
        <w:rPr>
          <w:rFonts w:ascii="arial" w:eastAsia="arial" w:hAnsi="arial" w:cs="arial"/>
          <w:color w:val="000000"/>
          <w:sz w:val="20"/>
          <w:lang w:val="en-US" w:eastAsia="en-US" w:bidi="ar-SA"/>
        </w:rPr>
        <w:t xml:space="preserve"> at 231-232.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respondent argues that the fundamental issue is not whether a witness gave non-neutral evidence; rather the issue is whether the FIRB itself was biased. If the Court were to find that Mr. Withler was biased, then it should accord less weight to his evidence rather than nullifying the whole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respondent, the Swarts, similarly argue that bias applies to public decision makers and statutory delegates and not a FIRB appointed expert. They also presented a similar legal test and noted that the grounds for bias must be substantial.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I will review this issue on the standard of fairness: </w:t>
      </w:r>
      <w:r>
        <w:rPr>
          <w:rFonts w:ascii="arial" w:eastAsia="arial" w:hAnsi="arial" w:cs="arial"/>
          <w:i/>
          <w:color w:val="000000"/>
          <w:sz w:val="20"/>
          <w:lang w:val="en-US" w:eastAsia="en-US" w:bidi="ar-SA"/>
        </w:rPr>
        <w:t>Seaspan</w:t>
      </w:r>
      <w:r>
        <w:rPr>
          <w:rFonts w:ascii="arial" w:eastAsia="arial" w:hAnsi="arial" w:cs="arial"/>
          <w:color w:val="000000"/>
          <w:sz w:val="20"/>
          <w:lang w:val="en-US" w:eastAsia="en-US" w:bidi="ar-SA"/>
        </w:rPr>
        <w:t xml:space="preserve"> at para. 52. The duty of fairness is flexible and varied, and it can be achieved in many ways: </w:t>
      </w:r>
      <w:r>
        <w:rPr>
          <w:rFonts w:ascii="arial" w:eastAsia="arial" w:hAnsi="arial" w:cs="arial"/>
          <w:i/>
          <w:color w:val="000000"/>
          <w:sz w:val="20"/>
          <w:lang w:val="en-US" w:eastAsia="en-US" w:bidi="ar-SA"/>
        </w:rPr>
        <w:t>Baker v. Canada (Minister of Citizenship and Immigration)</w:t>
      </w:r>
      <w:r>
        <w:rPr>
          <w:rFonts w:ascii="arial" w:eastAsia="arial" w:hAnsi="arial" w:cs="arial"/>
          <w:color w:val="000000"/>
          <w:sz w:val="20"/>
          <w:lang w:val="en-US" w:eastAsia="en-US" w:bidi="ar-SA"/>
        </w:rPr>
        <w:t xml:space="preserve">, </w:t>
      </w:r>
      <w:hyperlink r:id="rId933" w:history="1">
        <w:r>
          <w:rPr>
            <w:rFonts w:ascii="arial" w:eastAsia="arial" w:hAnsi="arial" w:cs="arial"/>
            <w:i/>
            <w:color w:val="0077CC"/>
            <w:sz w:val="20"/>
            <w:u w:val="single"/>
            <w:shd w:val="clear" w:color="auto" w:fill="FFFFFF"/>
            <w:lang w:val="en-US" w:eastAsia="en-US" w:bidi="ar-SA"/>
          </w:rPr>
          <w:t>[1999] 2 S.C.R. 817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Baker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agree with the respondents: the real issue is whether the FIRB was biased in reaching its conclusions based on Mr. Withler's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Mr. Withler was appointed pursuant to s. 4(1) of the </w:t>
      </w:r>
      <w:r>
        <w:rPr>
          <w:rFonts w:ascii="arial" w:eastAsia="arial" w:hAnsi="arial" w:cs="arial"/>
          <w:i/>
          <w:color w:val="000000"/>
          <w:sz w:val="20"/>
          <w:lang w:val="en-US" w:eastAsia="en-US" w:bidi="ar-SA"/>
        </w:rPr>
        <w:t>FPPA</w:t>
      </w:r>
      <w:r>
        <w:rPr>
          <w:rFonts w:ascii="arial" w:eastAsia="arial" w:hAnsi="arial" w:cs="arial"/>
          <w:color w:val="000000"/>
          <w:sz w:val="20"/>
          <w:lang w:val="en-US" w:eastAsia="en-US" w:bidi="ar-SA"/>
        </w:rPr>
        <w:t>, and s. 4(1) establishes: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interest of reaching a settlement of the complaint ... The chair of the board, at any time before a panel of the board has decided the application, may inquire into matters relevant to the complaint, and ... may obtain the advice of persons were knowledgeable about normal farm practices.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Thus, Mr. Withler's role was to give advice to the FIRB about normal farm practices, and the FIRB chair was free to consult with the farmer and the respondent identified in the complaint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parties agreed to the terms of reference for Mr. Withler's appointment; they confirmed the parties' right to question his report, and the FIRB said his opinions would not bind it. Indeed, it independently decides how much weight to give the knowledgeable person's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other words, the FIRB gave her the requisite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My view on this issue is partially influenced by the appellant not raising the issue of Mr. Withler's bias at the FIRB. If it is a significant issue now, it should have been a significant issue then.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appellant had the opportunity to cross-examine Mr. Whither and make submissions regarding his evidence. The appellant could have attacked his expertise or partiality during the hearing. But the appellant did not raise those issues. In fact, she did not mention any concern with Mr. Withler's partiality until this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The Supreme Court of Canada described the test applicable to a complaint of bias in similar situations. In </w:t>
      </w:r>
      <w:r>
        <w:rPr>
          <w:rFonts w:ascii="arial" w:eastAsia="arial" w:hAnsi="arial" w:cs="arial"/>
          <w:i/>
          <w:color w:val="000000"/>
          <w:sz w:val="20"/>
          <w:lang w:val="en-US" w:eastAsia="en-US" w:bidi="ar-SA"/>
        </w:rPr>
        <w:t>Newfoundland Telephone</w:t>
      </w:r>
      <w:r>
        <w:rPr>
          <w:rFonts w:ascii="arial" w:eastAsia="arial" w:hAnsi="arial" w:cs="arial"/>
          <w:color w:val="000000"/>
          <w:sz w:val="20"/>
          <w:lang w:val="en-US" w:eastAsia="en-US" w:bidi="ar-SA"/>
        </w:rPr>
        <w:t xml:space="preserve"> at para. 22, it said: "The test is whether a reasonably informed bystander could reasonably perceive bias on the part of an adjudicator."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 am satisfied that a reasonable person looking at all of this case's factors would not conclude that the FIRB was biased.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suggestion that Mr. Withler's relationship with the respondents coupled with his personal interest in interpreting the bylaw tainted their decision is not disclosed in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cannot find any features of the evidence on this point that would convince a reasonable person that the FIRB was, on the basis of Mr. Withler's evidence, unfairly influenced or biased in concluding that Kelowna misinterpreted its bylaw or in making its normal farm practice 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Additionally, as the FIRB argued, the fact that Mr. Withler was also a Ministry employee is insufficient to prove bias. Being a Ministry employee does not preclude also being a knowledgeable person expert in his field.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While I agree with the appellant that it appears Mr. Withler had issues with Kelowna's bylaw interpretation and his Ministry's failure to address the situation, I do not find that his interest in the importance of the provincial guidelines or his contrary view of the proper bylaw interpretation demonstrated any real risk of impartiality. Nor can I conclude that his impartiality - if it existed at all - tainted the FIRB.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FIRB relied on its independent analysis of the bylaw; Mr. Withler's expert opinion; and other evidence and testimony. Indeed, the FIRB reasons reflect that it formed its own opinion regarding the bylaw: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have considered the interpretation given by the City of Kelowna staff to section 11.1.6 (f) of the Zoning By-law referenced above. We do not agree with that interpretation. As we have already noted the definition of" confined livestock area" under the bylaw is the same as that in the guide and makes no reference to the number of livestock permitted in such area. The phrase in section 11.1.6 that is in question reads" confined livestock areas and or buildings housing more than four animals...". It is clear on a plain reading that the words" housing more than four animals, or used for processing of animal products were for agricultural and garden stands" or modify the terms" buildings" and do not modify (and would render the bylaw provision nonsensical if they were considered to modify) the only clearly defined term "livestock areas".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Nothing in the evidence or reasons suggests that the FIRB adjudicated the issues with a closed mind or impartial attitude. The appellant has not satisfied the requirement that she demonstrate a reasonable apprehension of bias.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 dismiss this ground of appeal.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Whether the FIRB in its decision infringed the appellant's right to procedural fairness by analyzing the bylaw without giving the appellant adequate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appellant argues that the hearing brief sent to her did not provide adequate notice that bylaw interpretation would be an issue during the FIRB hearing depriving her of a fair opportunity to challenge that issue. That brief described the issues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Does the noise, odour, flies, bright lights, and unsightliness from the respondent's equestrian operation result from normal farm practices.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appellant argues that the FIRB's bylaw analysis and its disagreement with Kelowna's interpretation was unprecedented and unexpected. She claimed to have previously relied on Kelowna's interpretation when she proceeded with constructing her equestrian Center and barn. She was shocked that the FIRB rejected Kelowna's 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appellant provides no authority on this issue. But she contends she was unable to address the bylaw interpretation issue because she did not receive advance notice that this issue would influence the FIRB's decision. She argued that everyone appearing before an administrative board is entitled to fair treatment and she was denied fair treatment and this Court should render the FIRB decision void.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respondent, FIRB, contends that the bylaw issue was raised and discussed well before the hearing. Indeed the appeal book, the transcript, and the evidence demonstrates this fact, so the appellant should not have been surprised when the FIRB considered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respondent, the Swarts, point out that their initial complaint to the FIRB criticized Kelowna's bylaw interpretation. For the appellant to expect or assume that the FIRB would not discuss it at the hearing was incorrect and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The Swarts contend that procedural fairness rights are concerned with participatory rights - i.e., the procedure needs to be fair and open: </w:t>
      </w:r>
      <w:r>
        <w:rPr>
          <w:rFonts w:ascii="arial" w:eastAsia="arial" w:hAnsi="arial" w:cs="arial"/>
          <w:i/>
          <w:color w:val="000000"/>
          <w:sz w:val="20"/>
          <w:lang w:val="en-US" w:eastAsia="en-US" w:bidi="ar-SA"/>
        </w:rPr>
        <w:t>Baker</w:t>
      </w:r>
      <w:r>
        <w:rPr>
          <w:rFonts w:ascii="arial" w:eastAsia="arial" w:hAnsi="arial" w:cs="arial"/>
          <w:color w:val="000000"/>
          <w:sz w:val="20"/>
          <w:lang w:val="en-US" w:eastAsia="en-US" w:bidi="ar-SA"/>
        </w:rPr>
        <w:t xml:space="preserve"> at para. 22. The appellant was not denied the opportunity to present and effectively argue her views.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In sum, both respondents argue that it was plain before the hearing that the Kelowna bylaw (including its interpretation) would be an issue at the FIRB hearing. The appellant's failure to consider the importance of this issue at the hearing was possibly an oversight on her part, but it did not involve a question of procedural fairness issue. No specific notice was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 agree with both respondents: the appellant was not denied any participatory or procedural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Further, these issues were not argued before the FIRB and are raised on this appeal for the first time. This fact can create unfairness and prejudice to the respondents who were not able to address the issue during the hearing: </w:t>
      </w:r>
      <w:r>
        <w:rPr>
          <w:rFonts w:ascii="arial" w:eastAsia="arial" w:hAnsi="arial" w:cs="arial"/>
          <w:i/>
          <w:color w:val="000000"/>
          <w:sz w:val="20"/>
          <w:lang w:val="en-US" w:eastAsia="en-US" w:bidi="ar-SA"/>
        </w:rPr>
        <w:t>Alberta Teachers</w:t>
      </w:r>
      <w:r>
        <w:rPr>
          <w:rFonts w:ascii="arial" w:eastAsia="arial" w:hAnsi="arial" w:cs="arial"/>
          <w:color w:val="000000"/>
          <w:sz w:val="20"/>
          <w:lang w:val="en-US" w:eastAsia="en-US" w:bidi="ar-SA"/>
        </w:rPr>
        <w:t xml:space="preserve"> at para.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Similar to the previous issue, I will review this on the standard of fairness and the mentioned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Notice that is too vague violates procedural fairness: </w:t>
      </w:r>
      <w:r>
        <w:rPr>
          <w:rFonts w:ascii="arial" w:eastAsia="arial" w:hAnsi="arial" w:cs="arial"/>
          <w:i/>
          <w:color w:val="000000"/>
          <w:sz w:val="20"/>
          <w:lang w:val="en-US" w:eastAsia="en-US" w:bidi="ar-SA"/>
        </w:rPr>
        <w:t>Central Ontario Coalition Concerning Hydro Transmissions Systems et al. and Ontario Hydro et al</w:t>
      </w:r>
      <w:r>
        <w:rPr>
          <w:rFonts w:ascii="arial" w:eastAsia="arial" w:hAnsi="arial" w:cs="arial"/>
          <w:color w:val="000000"/>
          <w:sz w:val="20"/>
          <w:lang w:val="en-US" w:eastAsia="en-US" w:bidi="ar-SA"/>
        </w:rPr>
        <w:t xml:space="preserve">. </w:t>
      </w:r>
      <w:hyperlink r:id="rId934" w:history="1">
        <w:r>
          <w:rPr>
            <w:rFonts w:ascii="arial" w:eastAsia="arial" w:hAnsi="arial" w:cs="arial"/>
            <w:i/>
            <w:color w:val="0077CC"/>
            <w:sz w:val="20"/>
            <w:u w:val="single"/>
            <w:shd w:val="clear" w:color="auto" w:fill="FFFFFF"/>
            <w:lang w:val="en-US" w:eastAsia="en-US" w:bidi="ar-SA"/>
          </w:rPr>
          <w:t>(1984), 46 O.R. (2d) 715</w:t>
        </w:r>
      </w:hyperlink>
      <w:r>
        <w:rPr>
          <w:rFonts w:ascii="arial" w:eastAsia="arial" w:hAnsi="arial" w:cs="arial"/>
          <w:color w:val="000000"/>
          <w:sz w:val="20"/>
          <w:lang w:val="en-US" w:eastAsia="en-US" w:bidi="ar-SA"/>
        </w:rPr>
        <w:t xml:space="preserve"> at 740 (H.C.).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procedure was fair and open, and the notice was not in any way vague - especially when looking at this issue contextually.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appellant previously relied on Kelowna's bylaw interpretation in locating the barn run outs. The Swarts had advanced several complaints concerning the appellant's farming business, and they had spoken about the setback issue and their concern with Kelowna's interpretation.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complaints and the appellant's previous exchange of correspondence and ongoing discussions with Kelowna would have alerted any reasonable person that the FIRB would consider the bylaw issue at the FIRB hearing even though the hearing notice did not specifically alert her to that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That the FIRB examined the bylaw without specifically telling the appellant was not unfair, unreasonable or reasonably unexpected, and that the FIRB might examine the bylaw was obvious, and the appellant cannot reasonably have been surprised.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Moreover, Mr. Withler's report was produced well in advance of the FIRB hearing. In that June 2011 report, he clearly opined that the current bylaw does not meet the current 15m setback requirement advocated for by the Ministry of Agriculture: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Because of the existing reference to animal density there may have been some Ms. guidance (officially induced error) on the part of City staff to Ms. Holt in attempting to resolve the Swarts concerns. </w:t>
      </w:r>
      <w:r>
        <w:rPr>
          <w:rFonts w:ascii="arial" w:eastAsia="arial" w:hAnsi="arial" w:cs="arial"/>
          <w:color w:val="000000"/>
          <w:sz w:val="20"/>
          <w:u w:val="single"/>
          <w:lang w:val="en-US" w:eastAsia="en-US" w:bidi="ar-SA"/>
        </w:rPr>
        <w:t>This noncompliant activity should be corrected in the bylaw brought up to the Ministry standard</w:t>
      </w:r>
      <w:r>
        <w:rPr>
          <w:rFonts w:ascii="arial" w:eastAsia="arial" w:hAnsi="arial" w:cs="arial"/>
          <w:color w:val="000000"/>
          <w:sz w:val="20"/>
          <w:lang w:val="en-US" w:eastAsia="en-US" w:bidi="ar-SA"/>
        </w:rPr>
        <w:t>. The ministry will take the initiative to enter into negotiations and discussions to a remedy this error.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appellant could not reasonably have been surprised or prejudiced when the Withler report commented on the bylaw interpretation before the FIRB hearing even commenced.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 dismiss this ground of appeal.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Whether the order exceeds the FIRB's jurisdiction as the order amounts to a municipal bylaw ruling and purported enforcement?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The appellant centres this argument on the </w:t>
      </w:r>
      <w:r>
        <w:rPr>
          <w:rFonts w:ascii="arial" w:eastAsia="arial" w:hAnsi="arial" w:cs="arial"/>
          <w:i/>
          <w:color w:val="000000"/>
          <w:sz w:val="20"/>
          <w:lang w:val="en-US" w:eastAsia="en-US" w:bidi="ar-SA"/>
        </w:rPr>
        <w:t>FPPA</w:t>
      </w:r>
      <w:r>
        <w:rPr>
          <w:rFonts w:ascii="arial" w:eastAsia="arial" w:hAnsi="arial" w:cs="arial"/>
          <w:color w:val="000000"/>
          <w:sz w:val="20"/>
          <w:lang w:val="en-US" w:eastAsia="en-US" w:bidi="ar-SA"/>
        </w:rPr>
        <w:t xml:space="preserve">'s purpose: protecting farmers engaged in normal farm practices from nuisance claims and municipal bylaws that restrict normal farm practices. She contends the </w:t>
      </w:r>
      <w:r>
        <w:rPr>
          <w:rFonts w:ascii="arial" w:eastAsia="arial" w:hAnsi="arial" w:cs="arial"/>
          <w:i/>
          <w:color w:val="000000"/>
          <w:sz w:val="20"/>
          <w:lang w:val="en-US" w:eastAsia="en-US" w:bidi="ar-SA"/>
        </w:rPr>
        <w:t>FPPA</w:t>
      </w:r>
      <w:r>
        <w:rPr>
          <w:rFonts w:ascii="arial" w:eastAsia="arial" w:hAnsi="arial" w:cs="arial"/>
          <w:color w:val="000000"/>
          <w:sz w:val="20"/>
          <w:lang w:val="en-US" w:eastAsia="en-US" w:bidi="ar-SA"/>
        </w:rPr>
        <w:t xml:space="preserve"> is a shield - not a sword. Moreover, the FIRB is not intended to serve as a "second avenue to obtain a bylaw enforcement ruling" as the appellant alleges the Swarts are doing in their FIRB complaint.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The respondent, FIRB, argues that the "shield" or "sword" characterization of the </w:t>
      </w:r>
      <w:r>
        <w:rPr>
          <w:rFonts w:ascii="arial" w:eastAsia="arial" w:hAnsi="arial" w:cs="arial"/>
          <w:i/>
          <w:color w:val="000000"/>
          <w:sz w:val="20"/>
          <w:lang w:val="en-US" w:eastAsia="en-US" w:bidi="ar-SA"/>
        </w:rPr>
        <w:t>FPPA</w:t>
      </w:r>
      <w:r>
        <w:rPr>
          <w:rFonts w:ascii="arial" w:eastAsia="arial" w:hAnsi="arial" w:cs="arial"/>
          <w:color w:val="000000"/>
          <w:sz w:val="20"/>
          <w:lang w:val="en-US" w:eastAsia="en-US" w:bidi="ar-SA"/>
        </w:rPr>
        <w:t xml:space="preserve">'s purpose does not aptly describe the </w:t>
      </w:r>
      <w:r>
        <w:rPr>
          <w:rFonts w:ascii="arial" w:eastAsia="arial" w:hAnsi="arial" w:cs="arial"/>
          <w:i/>
          <w:color w:val="000000"/>
          <w:sz w:val="20"/>
          <w:lang w:val="en-US" w:eastAsia="en-US" w:bidi="ar-SA"/>
        </w:rPr>
        <w:t>FPPA</w:t>
      </w:r>
      <w:r>
        <w:rPr>
          <w:rFonts w:ascii="arial" w:eastAsia="arial" w:hAnsi="arial" w:cs="arial"/>
          <w:color w:val="000000"/>
          <w:sz w:val="20"/>
          <w:lang w:val="en-US" w:eastAsia="en-US" w:bidi="ar-SA"/>
        </w:rPr>
        <w:t xml:space="preserve"> or the FIRB process. The </w:t>
      </w:r>
      <w:r>
        <w:rPr>
          <w:rFonts w:ascii="arial" w:eastAsia="arial" w:hAnsi="arial" w:cs="arial"/>
          <w:i/>
          <w:color w:val="000000"/>
          <w:sz w:val="20"/>
          <w:lang w:val="en-US" w:eastAsia="en-US" w:bidi="ar-SA"/>
        </w:rPr>
        <w:t>FPPA</w:t>
      </w:r>
      <w:r>
        <w:rPr>
          <w:rFonts w:ascii="arial" w:eastAsia="arial" w:hAnsi="arial" w:cs="arial"/>
          <w:color w:val="000000"/>
          <w:sz w:val="20"/>
          <w:lang w:val="en-US" w:eastAsia="en-US" w:bidi="ar-SA"/>
        </w:rPr>
        <w:t>'s purpose is not restricted to common law nuisance claims or municipal bylaws that restrict normal farm practices; rather the FIRB is concerned with farming operations that create disturbances and grievances and whether those disturbances result from normal farm practices. In other words, the FIRB can both protect and regulate farmers.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The appellant argues that the FIRB conflated bylaw standards and normal farm standards as advocated in the provincial guidelines relied upon by Mr. Withler. She contends that the FIRB had no authority to interpret and apply the bylaw in the manner it did. Its jurisdiction regarding bylaws is limited: it can override bylaws that are inconsistent with normal farm practices. By engaging in bylaw interpretation and bylaw compliance, however, the FIRB exceeded its jurisdiction and acted </w:t>
      </w:r>
      <w:r>
        <w:rPr>
          <w:rFonts w:ascii="arial" w:eastAsia="arial" w:hAnsi="arial" w:cs="arial"/>
          <w:i/>
          <w:color w:val="000000"/>
          <w:sz w:val="20"/>
          <w:lang w:val="en-US" w:eastAsia="en-US" w:bidi="ar-SA"/>
        </w:rPr>
        <w:t>ultra vires</w:t>
      </w:r>
      <w:r>
        <w:rPr>
          <w:rFonts w:ascii="arial" w:eastAsia="arial" w:hAnsi="arial" w:cs="arial"/>
          <w:color w:val="000000"/>
          <w:sz w:val="20"/>
          <w:lang w:val="en-US" w:eastAsia="en-US" w:bidi="ar-SA"/>
        </w:rPr>
        <w:t xml:space="preserve">; in effect, the FIRB acted without legal authority and therefore transgressed the rule of law: </w:t>
      </w:r>
      <w:r>
        <w:rPr>
          <w:rFonts w:ascii="arial" w:eastAsia="arial" w:hAnsi="arial" w:cs="arial"/>
          <w:i/>
          <w:color w:val="000000"/>
          <w:sz w:val="20"/>
          <w:lang w:val="en-US" w:eastAsia="en-US" w:bidi="ar-SA"/>
        </w:rPr>
        <w:t>Dunsmuir</w:t>
      </w:r>
      <w:r>
        <w:rPr>
          <w:rFonts w:ascii="arial" w:eastAsia="arial" w:hAnsi="arial" w:cs="arial"/>
          <w:color w:val="000000"/>
          <w:sz w:val="20"/>
          <w:lang w:val="en-US" w:eastAsia="en-US" w:bidi="ar-SA"/>
        </w:rPr>
        <w:t xml:space="preserve"> at paras. 29 and 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appellant further argues that the FIRB did the opposite of its prescribed role; rather than protecting the appellant, the FIRB overruled Kelowna's bylaw interpretation that supported and protected her farming operations. She submitted that individuals in the appellant's circumstances should be able to rely on Kelowna's interpretation and opinion as evidence of an accepted standard of a normal farm practice to govern their affairs. Presumably, Kelowna's advice to the appellant on its interpretation of its own bylaw represented some evidence of the city's view of farm practice complying with its bylaw.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appellant contends that this issue should be reviewed on a correctness standard. As I already said, I do not accept this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respondent, FIRB, argues that it made its decision squarely within its home territory - i.e., determining whether the location of livestock area B directly against the property line with the attendant odours and flies was a normal farm practice and its analysis of the bylaw assisted in making that 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respondent, the Swarts, rely on the fact that the FIRB is not bound by municipal bylaws, and that the FIRB can rely on Ministry of Agriculture approved municipal bylaws in determining local normal farm practices.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They argue this examination included considering the full context and circumstances of the parties - including bylaws and guidelines: </w:t>
      </w:r>
      <w:r>
        <w:rPr>
          <w:rFonts w:ascii="arial" w:eastAsia="arial" w:hAnsi="arial" w:cs="arial"/>
          <w:i/>
          <w:color w:val="000000"/>
          <w:sz w:val="20"/>
          <w:lang w:val="en-US" w:eastAsia="en-US" w:bidi="ar-SA"/>
        </w:rPr>
        <w:t>Pyke v. Tri Gro Enterprises</w:t>
      </w:r>
      <w:r>
        <w:rPr>
          <w:rFonts w:ascii="arial" w:eastAsia="arial" w:hAnsi="arial" w:cs="arial"/>
          <w:color w:val="000000"/>
          <w:sz w:val="20"/>
          <w:lang w:val="en-US" w:eastAsia="en-US" w:bidi="ar-SA"/>
        </w:rPr>
        <w:t>, (2001) 204 D.L.R. (4th) (Ont. C.A.) [</w:t>
      </w:r>
      <w:r>
        <w:rPr>
          <w:rFonts w:ascii="arial" w:eastAsia="arial" w:hAnsi="arial" w:cs="arial"/>
          <w:i/>
          <w:color w:val="000000"/>
          <w:sz w:val="20"/>
          <w:lang w:val="en-US" w:eastAsia="en-US" w:bidi="ar-SA"/>
        </w:rPr>
        <w:t>Pyke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 agree with the respondents.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FIRB did not exceed its statutory authority when it examined the bylaw. In fact, The FIRB's bylaw interpretation did not infringe on Kelowna's right to interpret its own bylaw or intrude into the field of municipal governance.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Kelowna does not have the authority to create bylaws that restrict normal farm practices. Nor does it have the authority to insulate farmers whose practices are not normal farm practices from the application of the </w:t>
      </w:r>
      <w:r>
        <w:rPr>
          <w:rFonts w:ascii="arial" w:eastAsia="arial" w:hAnsi="arial" w:cs="arial"/>
          <w:i/>
          <w:color w:val="000000"/>
          <w:sz w:val="20"/>
          <w:lang w:val="en-US" w:eastAsia="en-US" w:bidi="ar-SA"/>
        </w:rPr>
        <w:t>FPPA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The FIRB retains the sole authority to determine whether a practice is normal or not, and this authority extends to reviewing and interpreting zoning bylaws that may permit or deny an activity in conflict with the </w:t>
      </w:r>
      <w:r>
        <w:rPr>
          <w:rFonts w:ascii="arial" w:eastAsia="arial" w:hAnsi="arial" w:cs="arial"/>
          <w:i/>
          <w:color w:val="000000"/>
          <w:sz w:val="20"/>
          <w:lang w:val="en-US" w:eastAsia="en-US" w:bidi="ar-SA"/>
        </w:rPr>
        <w:t>FPPA</w:t>
      </w:r>
      <w:r>
        <w:rPr>
          <w:rFonts w:ascii="arial" w:eastAsia="arial" w:hAnsi="arial" w:cs="arial"/>
          <w:color w:val="000000"/>
          <w:sz w:val="20"/>
          <w:lang w:val="en-US" w:eastAsia="en-US" w:bidi="ar-SA"/>
        </w:rPr>
        <w:t>. The FIRB has the mandate to determine whether farms adopting normal farm practices are affected by municipal by-laws; to this extent, the FIRB is entitled to its own view about the permitted uses of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Under s. 7 of the </w:t>
      </w:r>
      <w:r>
        <w:rPr>
          <w:rFonts w:ascii="arial" w:eastAsia="arial" w:hAnsi="arial" w:cs="arial"/>
          <w:i/>
          <w:color w:val="000000"/>
          <w:sz w:val="20"/>
          <w:lang w:val="en-US" w:eastAsia="en-US" w:bidi="ar-SA"/>
        </w:rPr>
        <w:t>FPPA</w:t>
      </w:r>
      <w:r>
        <w:rPr>
          <w:rFonts w:ascii="arial" w:eastAsia="arial" w:hAnsi="arial" w:cs="arial"/>
          <w:color w:val="000000"/>
          <w:sz w:val="20"/>
          <w:lang w:val="en-US" w:eastAsia="en-US" w:bidi="ar-SA"/>
        </w:rPr>
        <w:t>, the FIRB is entitled to determine the practices and procedures to be followed, and it may conduct hearings in an informal manner. The FIRB is entitled to consider and evaluate any evidence, including evidence that is not normally admissible in formal court proceedings. Although analyzing a normal farm practice may require considering established statutes like bylaws, nothing prohibits the FIRB from adopting a different bylaw interpretation.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FIRB's role is to achieve a balance in contests concerning land-use on farms in proximity to non-farming properties. Assessing normal farm practices necessarily includes a broad review of all relevant evidence, including city bylaws, to assess whether those bylaws regulate activity that conforms with or offends normal farm practices.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stated purpose of the provincial guidelines is to inform municipalities on the form of bylaw that achieves the optimum balance between farmers and their neighbours. If a bylaw accords with Kelowna's view of optimum balance but does not accord with normal farm practice, the FIRB can lawfully disregard the bylaw and make appropriate orders. The converse is also true. The FIRB is never confined to an interpretation given by city staff.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FIRB was entitled to its grammatical assessment of the bylaw to assess how it accorded with the provincial guidelines and as an objective assessment of Kelowna's zoning standard. Its assessment did not "override" Kelowna's bylaw. It opined that the bylaw required a 15m setback for a confined livestock area abutting a neighbouring property. And this conclusion was consistent with the provincial guidelines. The FIRB used the bylaw and provincial guidelines as evidence of normal farm practices in BC and Kelowna.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I will l address this point later. For now, I will note that evidence of this type on its own is insufficient to establish proof of a normal farm practice; rather, pursuant to the </w:t>
      </w:r>
      <w:r>
        <w:rPr>
          <w:rFonts w:ascii="arial" w:eastAsia="arial" w:hAnsi="arial" w:cs="arial"/>
          <w:i/>
          <w:color w:val="000000"/>
          <w:sz w:val="20"/>
          <w:lang w:val="en-US" w:eastAsia="en-US" w:bidi="ar-SA"/>
        </w:rPr>
        <w:t>FPPA</w:t>
      </w:r>
      <w:r>
        <w:rPr>
          <w:rFonts w:ascii="arial" w:eastAsia="arial" w:hAnsi="arial" w:cs="arial"/>
          <w:color w:val="000000"/>
          <w:sz w:val="20"/>
          <w:lang w:val="en-US" w:eastAsia="en-US" w:bidi="ar-SA"/>
        </w:rPr>
        <w:t xml:space="preserve"> the FIRB must also consider "proper and accepted customs and standards as established and followed by similar farm businesses under similar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FIRB gave reasons for this disagreement, including this comment from the guidelines: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Variation between local governments existing bylaws is evident with regard to setback distance from what lines for farm buildings and structures. In order to minimize the creation of uses that do not conform to existing bylaws, a range in certain bylaw standards is indicated. For example, some setback standards are set at 15 - 30 m. establishing a setback anywhere within this range will be considered consistent with the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 understand the appellant's frustration: she proceeded through all the necessary steps to comply with the bylaw; including changes to her farm layout. However, the legislature established this specific scheme empowering the FIRB to evaluate and decide what constituted normal farm practices and, in cases like this, require compliance with its directions concerning normal farm practices.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In my view, the appellant's argument that the bylaw examination and interpretation is </w:t>
      </w:r>
      <w:r>
        <w:rPr>
          <w:rFonts w:ascii="arial" w:eastAsia="arial" w:hAnsi="arial" w:cs="arial"/>
          <w:i/>
          <w:color w:val="000000"/>
          <w:sz w:val="20"/>
          <w:lang w:val="en-US" w:eastAsia="en-US" w:bidi="ar-SA"/>
        </w:rPr>
        <w:t>ultra vires</w:t>
      </w:r>
      <w:r>
        <w:rPr>
          <w:rFonts w:ascii="arial" w:eastAsia="arial" w:hAnsi="arial" w:cs="arial"/>
          <w:color w:val="000000"/>
          <w:sz w:val="20"/>
          <w:lang w:val="en-US" w:eastAsia="en-US" w:bidi="ar-SA"/>
        </w:rPr>
        <w:t xml:space="preserve"> is simply not supported by the scheme of municipal governance and the FIRB's regulatory responsibilities.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FIRB's bylaw and provincial guidelines interpretation was reasonable because the outcome was with the range of reasonable outcomes arising from an analysis of the by-law and provincial guidelines.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 dismiss this ground of appeal.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Whether the FIRB in its Decision erred in law by failing to give sufficient weight to Kelowna's interpretation of its own bylaw and by failing to give any weight to the appellant's evidence regarding normal farm practices of similar farm businesses under similar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appellant suggests that the FIRB ignored evidence that she presented to them regarding normal farm practices. I have already addressed the zoning bylaw issue, and I will address the appellant's argument regarding the evidence relied upon by the FIRB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The appellant argues that the FIRB made a legal error when they did not consider Ms. Holt's witnesses: </w:t>
      </w:r>
      <w:r>
        <w:rPr>
          <w:rFonts w:ascii="arial" w:eastAsia="arial" w:hAnsi="arial" w:cs="arial"/>
          <w:i/>
          <w:color w:val="000000"/>
          <w:sz w:val="20"/>
          <w:lang w:val="en-US" w:eastAsia="en-US" w:bidi="ar-SA"/>
        </w:rPr>
        <w:t>Canada (Director of Investigation and Research) v. Southam Inc</w:t>
      </w:r>
      <w:r>
        <w:rPr>
          <w:rFonts w:ascii="arial" w:eastAsia="arial" w:hAnsi="arial" w:cs="arial"/>
          <w:color w:val="000000"/>
          <w:sz w:val="20"/>
          <w:lang w:val="en-US" w:eastAsia="en-US" w:bidi="ar-SA"/>
        </w:rPr>
        <w:t xml:space="preserve">., </w:t>
      </w:r>
      <w:hyperlink r:id="rId935" w:history="1">
        <w:r>
          <w:rPr>
            <w:rFonts w:ascii="arial" w:eastAsia="arial" w:hAnsi="arial" w:cs="arial"/>
            <w:i/>
            <w:color w:val="0077CC"/>
            <w:sz w:val="20"/>
            <w:u w:val="single"/>
            <w:shd w:val="clear" w:color="auto" w:fill="FFFFFF"/>
            <w:lang w:val="en-US" w:eastAsia="en-US" w:bidi="ar-SA"/>
          </w:rPr>
          <w:t>[1997] 1 S.C.R. 748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Southam</w:t>
      </w:r>
      <w:r>
        <w:rPr>
          <w:rFonts w:ascii="arial" w:eastAsia="arial" w:hAnsi="arial" w:cs="arial"/>
          <w:color w:val="000000"/>
          <w:sz w:val="20"/>
          <w:lang w:val="en-US" w:eastAsia="en-US" w:bidi="ar-SA"/>
        </w:rPr>
        <w:t>] at para. 42. At para. 41, the Supreme Court of Canada said:</w:t>
      </w:r>
      <w:r>
        <w:rPr>
          <w:rFonts w:ascii="arial" w:eastAsia="arial" w:hAnsi="arial" w:cs="arial"/>
          <w:sz w:val="20"/>
          <w:lang w:val="en-US" w:eastAsia="en-US" w:bidi="ar-SA"/>
        </w:rPr>
        <w:cr/>
      </w:r>
    </w:p>
    <w:p>
      <w:pPr>
        <w:numPr>
          <w:numId w:val="54"/>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Both positions, so far as they go, are correct. If the Tribunal did ignore items of evidence that the law requires it to consider, then the Tribunal erred in law. Similarly, if the Tribunal considered all the mandatory kinds of evidence but still reached the wrong conclusion, then its error was one of mixed law and fact. The question, then, becomes whether the Tribunal erred in the way that the respondent says it erred.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FIRB considered the evidence of the witnesses and evidence the appellant tendered.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At paras. 88-92, the FIRB addressed the appellant's evidence. I have included it in full:</w:t>
      </w:r>
      <w:r>
        <w:rPr>
          <w:rFonts w:ascii="arial" w:eastAsia="arial" w:hAnsi="arial" w:cs="arial"/>
          <w:sz w:val="20"/>
          <w:lang w:val="en-US" w:eastAsia="en-US" w:bidi="ar-SA"/>
        </w:rPr>
        <w:cr/>
      </w:r>
    </w:p>
    <w:p>
      <w:pPr>
        <w:numPr>
          <w:numId w:val="5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MacCormack, a witness for the respondent, owns and operates an equestrian centre in the Kelowna area that is similar to the respondent's in that he boards horses that are in training and competing. He testified that his facility is also private and he therefore does not post hours publicly. The facility is open from 8 a.m. to 8 p.m. for riding with access outside of these hours to tend to horses and for shipping to and from shows. His staff starts early. In the summer they may arrive as early as 6 a.m. Noise from trucks, vehicles and equipment is usual. Horses are loaded and unloaded at the front of the barn because it makes sense. Trucks are not to idle while loading.</w:t>
      </w:r>
    </w:p>
    <w:p>
      <w:pPr>
        <w:numPr>
          <w:numId w:val="56"/>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for lighting, Mr. MacCormack stated that he has a number of dusk to dawn yard lights.</w:t>
      </w:r>
    </w:p>
    <w:p>
      <w:pPr>
        <w:numPr>
          <w:numId w:val="57"/>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MacCormack described his manure management as similar to the respondent's in that manure is picked out of paddocks daily except when it is difficult to do so in winter. In the spring when it thaws the entire paddock is cleaned out if there is residual manure. He composts some manure for use in the paddocks and the rest is removed every month or two. He indicated his facility does not have run-outs similar to the respondent's. Instead horses are lead in and out to the paddocks for turn out. He stated that another equestrian centre in the area turns horses out in paddocks along its property line. He testified that when he went through the planning process to get approval for his facility, no consideration was given to setbacks with respect to paddocks and that his understanding was the setback requirements applied only to buildings. He agreed that he had no neighbours whose residences were nearby his facility.</w:t>
      </w:r>
    </w:p>
    <w:p>
      <w:pPr>
        <w:numPr>
          <w:numId w:val="58"/>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MacCormack considered the respondent's farm and its operations to be above standard.</w:t>
      </w:r>
    </w:p>
    <w:p>
      <w:pPr>
        <w:numPr>
          <w:numId w:val="59"/>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respondent submitted questionnaires completed by four other Kelowna-area horse farms to support her argument that her farm practices accord with normal farm practices. The responses provided by the owners/ operators of these facilities indicate that the nature and hours of their operations, manure management practices and other aspects of their operations were generally consistent with Mr. MacCormack's testimony with respect to his facility.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While I agree with the appellant that the FIRB's treatment of this evidence in its analysis, which I will address below, was opaque, they did mention her evidence in their reasons. Moreover, Mr. MacCormack specifically stated that he had no neighbours near his facility, and he said that the nature of the other comparable Kelowna-area horse farms was consistent with his. I infer from this statement that the other comparable businesses also may not have neighbours directly adjacent to their farms' property lines.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FIRB concluded:</w:t>
      </w:r>
      <w:r>
        <w:rPr>
          <w:rFonts w:ascii="arial" w:eastAsia="arial" w:hAnsi="arial" w:cs="arial"/>
          <w:sz w:val="20"/>
          <w:lang w:val="en-US" w:eastAsia="en-US" w:bidi="ar-SA"/>
        </w:rPr>
        <w:cr/>
      </w:r>
    </w:p>
    <w:p>
      <w:pPr>
        <w:numPr>
          <w:numId w:val="60"/>
        </w:numPr>
        <w:tabs>
          <w:tab w:val="num" w:pos="1480"/>
          <w:tab w:val="clear" w:pos="256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 consider the setback provisions in the Guide and those in the Zoning Bylaw to be standards in relation to normal farm practice that have been designed to take into account proximity issues such as those raised in this case by the complainants. These standards together with the evidence of the knowledgeable person in our view clearly outweigh the evidence, </w:t>
      </w:r>
      <w:r>
        <w:rPr>
          <w:rFonts w:ascii="arial" w:eastAsia="arial" w:hAnsi="arial" w:cs="arial"/>
          <w:color w:val="000000"/>
          <w:sz w:val="20"/>
          <w:u w:val="single"/>
          <w:lang w:val="en-US" w:eastAsia="en-US" w:bidi="ar-SA"/>
        </w:rPr>
        <w:t>which we did not find sufficiently detailed in any event brought forward by the respondent as to what others keeping horses in the area may be doing</w:t>
      </w:r>
      <w:r>
        <w:rPr>
          <w:rFonts w:ascii="arial" w:eastAsia="arial" w:hAnsi="arial" w:cs="arial"/>
          <w:color w:val="000000"/>
          <w:sz w:val="20"/>
          <w:lang w:val="en-US" w:eastAsia="en-US" w:bidi="ar-SA"/>
        </w:rPr>
        <w:t>. In this regard, we observe that normal farm practices are not static. While there may be other horse farms in Kelowna with confined livestock areas that run along a property line, we expect farmers to be updating and changing to keep their practices current and observe that they may have to change their practices over time to remain consistent with normal farm practices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In other words, the FIRB examined the evidence. They did not merely dismiss it; rather it concluded that the evidence provided insufficient detail to inform them about the customs and standards of similar farm businesses under similar circumstances. Thus the FIRB found that evidence was not probative to determining whether the appellant's use of livestock area B was a normal farm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Curiously, the FIRB seems to indicate that evidence of practices in other farms with confined livestock areas would not have been helpful because it expected farmers to be "updating and changing to keep their practices current". From this statement, I infer that the FIRB was not prepared to consider, and did not consider, the evidence of the practices of other farm businesses. I will address this point further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In any event, I dismiss this ground of appeal.</w:t>
      </w:r>
      <w:r>
        <w:rPr>
          <w:rFonts w:ascii="arial" w:eastAsia="arial" w:hAnsi="arial" w:cs="arial"/>
          <w:sz w:val="20"/>
          <w:lang w:val="en-US" w:eastAsia="en-US" w:bidi="ar-SA"/>
        </w:rPr>
        <w:cr/>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Whether the FIRB erred interpreting the bylaw?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 have dealt with appellant's claims regarding the Kelowna bylaw interpretation. Interpreting the bylaw was within FIRB's mandate. For this Court to interfere with the FIRB's conclusions would be inappropriate unless the FIRB's interpretation was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 have reviewed the bylaw and the FIRB's explanation for differing in its interpretation from Kelowna's interpretation. After conducting a grammatical interpretation of the meaning of the bylaw's words, the FIRB concluded that limitation regarding the number of animals in a certain place did not apply to confined livestock areas; rather, it applied only to buildings housing more than four animals.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 FIRB was not unreasonable in its analysis and decision on this point. Further, even if this was an issue reviewable on the standard of correctness, I am not satisfied that the FIRB's conclusions regarding the bylaw were incorrect.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 have already dismissed this ground of appeal.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 Whether the FIRB erred by concluding that normal farm practices requires a 15m setback and whether that conclusion is supported on the evidence before the FIRB?</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(g) Whether the FIRB decision is unreasonable and exceeds its jurisdiction under the </w:t>
      </w:r>
      <w:r>
        <w:rPr>
          <w:rFonts w:ascii="arial" w:eastAsia="arial" w:hAnsi="arial" w:cs="arial"/>
          <w:b/>
          <w:i/>
          <w:color w:val="000000"/>
          <w:sz w:val="20"/>
          <w:lang w:val="en-US" w:eastAsia="en-US" w:bidi="ar-SA"/>
        </w:rPr>
        <w:t>FPPA</w:t>
      </w:r>
      <w:r>
        <w:rPr>
          <w:rFonts w:ascii="arial" w:eastAsia="arial" w:hAnsi="arial" w:cs="arial"/>
          <w:b/>
          <w:color w:val="000000"/>
          <w:sz w:val="20"/>
          <w:lang w:val="en-US" w:eastAsia="en-US" w:bidi="ar-SA"/>
        </w:rPr>
        <w:t xml:space="preserve"> to protect the right of farmers and the FIRB's decision limits the right to farm without adequate reasons for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 will address these two grounds of appeal as framed by the appellant together as each ground deals with similar issues.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Application of the Review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At this juncture, and because I am finding this aspect of the FIRB decision unreasonable, I find it prudent to reiterate the principles to be applied in addressing questions like those raised by the appellant.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I have carried out my analysis on the basis that the reasonableness of the FIRB decision is determinative, and I must give respectful attention to the reasons given. On this point, the Court in </w:t>
      </w:r>
      <w:r>
        <w:rPr>
          <w:rFonts w:ascii="arial" w:eastAsia="arial" w:hAnsi="arial" w:cs="arial"/>
          <w:i/>
          <w:color w:val="000000"/>
          <w:sz w:val="20"/>
          <w:lang w:val="en-US" w:eastAsia="en-US" w:bidi="ar-SA"/>
        </w:rPr>
        <w:t>Newfoundland Nurses</w:t>
      </w:r>
      <w:r>
        <w:rPr>
          <w:rFonts w:ascii="arial" w:eastAsia="arial" w:hAnsi="arial" w:cs="arial"/>
          <w:color w:val="000000"/>
          <w:sz w:val="20"/>
          <w:lang w:val="en-US" w:eastAsia="en-US" w:bidi="ar-SA"/>
        </w:rPr>
        <w:t xml:space="preserve"> at para. 15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assessing whether the decision is reasonable in light of the outcome and the reasons, courts must show "respect for the decision-making process of adjudicative bodies with regard to both the facts and the law" (</w:t>
      </w:r>
      <w:r>
        <w:rPr>
          <w:rFonts w:ascii="arial" w:eastAsia="arial" w:hAnsi="arial" w:cs="arial"/>
          <w:i/>
          <w:color w:val="000000"/>
          <w:sz w:val="20"/>
          <w:lang w:val="en-US" w:eastAsia="en-US" w:bidi="ar-SA"/>
        </w:rPr>
        <w:t>Dunsmuir</w:t>
      </w:r>
      <w:r>
        <w:rPr>
          <w:rFonts w:ascii="arial" w:eastAsia="arial" w:hAnsi="arial" w:cs="arial"/>
          <w:color w:val="000000"/>
          <w:sz w:val="20"/>
          <w:lang w:val="en-US" w:eastAsia="en-US" w:bidi="ar-SA"/>
        </w:rPr>
        <w:t>, at para. 48). This means that courts should not substitute their own reasons, but they may, if they find it necessary, look to the record for the purpose of assessing the reasonableness of the outcome.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 FIRB is the "front line adjudicator", and it possessed a unique perspective regarding this farm and its proximity to neighbour. As I have already observed, the FIRB is a very specialized decision maker.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xml:space="preserve">  Again in </w:t>
      </w:r>
      <w:r>
        <w:rPr>
          <w:rFonts w:ascii="arial" w:eastAsia="arial" w:hAnsi="arial" w:cs="arial"/>
          <w:i/>
          <w:color w:val="000000"/>
          <w:sz w:val="20"/>
          <w:lang w:val="en-US" w:eastAsia="en-US" w:bidi="ar-SA"/>
        </w:rPr>
        <w:t>Newfoundland Nurses</w:t>
      </w:r>
      <w:r>
        <w:rPr>
          <w:rFonts w:ascii="arial" w:eastAsia="arial" w:hAnsi="arial" w:cs="arial"/>
          <w:color w:val="000000"/>
          <w:sz w:val="20"/>
          <w:lang w:val="en-US" w:eastAsia="en-US" w:bidi="ar-SA"/>
        </w:rPr>
        <w:t xml:space="preserve"> at para. 13, the Court said that reviewing courts should restrain themselves when examining the decisions of specialized decision makers: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This, I think, is the context for understanding what the Court meant in </w:t>
            </w:r>
            <w:r>
              <w:rPr>
                <w:rFonts w:ascii="arial" w:eastAsia="arial" w:hAnsi="arial" w:cs="arial"/>
                <w:i/>
                <w:color w:val="000000"/>
                <w:sz w:val="18"/>
                <w:lang w:val="en-US" w:eastAsia="en-US" w:bidi="ar-SA"/>
              </w:rPr>
              <w:t>Dunsmuir</w:t>
            </w:r>
            <w:r>
              <w:rPr>
                <w:rFonts w:ascii="arial" w:eastAsia="arial" w:hAnsi="arial" w:cs="arial"/>
                <w:color w:val="000000"/>
                <w:sz w:val="18"/>
                <w:lang w:val="en-US" w:eastAsia="en-US" w:bidi="ar-SA"/>
              </w:rPr>
              <w:t xml:space="preserve"> when it called for "justification, transparency and intelligibility". To me, it represents a respectful appreciation that a wide range of specialized decision-makers routinely render decisions in their respective spheres of expertise, using concepts and language often unique to their areas and rendering decisions that are often counter-intuitive to a generalist. That was the basis for this Court's new direction in </w:t>
            </w:r>
            <w:r>
              <w:rPr>
                <w:rFonts w:ascii="arial" w:eastAsia="arial" w:hAnsi="arial" w:cs="arial"/>
                <w:i/>
                <w:color w:val="000000"/>
                <w:sz w:val="18"/>
                <w:lang w:val="en-US" w:eastAsia="en-US" w:bidi="ar-SA"/>
              </w:rPr>
              <w:t>Canadian Union of Public Employees, Local 963 v. New Brunswick Liquor Corp.</w:t>
            </w:r>
            <w:r>
              <w:rPr>
                <w:rFonts w:ascii="arial" w:eastAsia="arial" w:hAnsi="arial" w:cs="arial"/>
                <w:color w:val="000000"/>
                <w:sz w:val="18"/>
                <w:lang w:val="en-US" w:eastAsia="en-US" w:bidi="ar-SA"/>
              </w:rPr>
              <w:t xml:space="preserve">, </w:t>
            </w:r>
            <w:hyperlink r:id="rId936" w:history="1">
              <w:r>
                <w:rPr>
                  <w:rFonts w:ascii="arial" w:eastAsia="arial" w:hAnsi="arial" w:cs="arial"/>
                  <w:i/>
                  <w:color w:val="0077CC"/>
                  <w:sz w:val="18"/>
                  <w:u w:val="single"/>
                  <w:shd w:val="clear" w:color="auto" w:fill="FFFFFF"/>
                  <w:lang w:val="en-US" w:eastAsia="en-US" w:bidi="ar-SA"/>
                </w:rPr>
                <w:t>1979 CanLII 23</w:t>
              </w:r>
            </w:hyperlink>
            <w:r>
              <w:rPr>
                <w:rFonts w:ascii="arial" w:eastAsia="arial" w:hAnsi="arial" w:cs="arial"/>
                <w:color w:val="000000"/>
                <w:sz w:val="18"/>
                <w:lang w:val="en-US" w:eastAsia="en-US" w:bidi="ar-SA"/>
              </w:rPr>
              <w:t xml:space="preserve"> (SCC), </w:t>
            </w:r>
            <w:hyperlink r:id="rId936" w:history="1">
              <w:r>
                <w:rPr>
                  <w:rFonts w:ascii="arial" w:eastAsia="arial" w:hAnsi="arial" w:cs="arial"/>
                  <w:i/>
                  <w:color w:val="0077CC"/>
                  <w:sz w:val="18"/>
                  <w:u w:val="single"/>
                  <w:shd w:val="clear" w:color="auto" w:fill="FFFFFF"/>
                  <w:lang w:val="en-US" w:eastAsia="en-US" w:bidi="ar-SA"/>
                </w:rPr>
                <w:t>[1979] 2 S.C.R. 227</w:t>
              </w:r>
            </w:hyperlink>
            <w:r>
              <w:rPr>
                <w:rFonts w:ascii="arial" w:eastAsia="arial" w:hAnsi="arial" w:cs="arial"/>
                <w:color w:val="000000"/>
                <w:sz w:val="18"/>
                <w:lang w:val="en-US" w:eastAsia="en-US" w:bidi="ar-SA"/>
              </w:rPr>
              <w:t xml:space="preserve">, where Dickson J. urged restraint in assessing the decisions of specialized administrative tribunals. This decision oriented the Court towards granting greater deference to tribunals, shown in </w:t>
            </w:r>
            <w:r>
              <w:rPr>
                <w:rFonts w:ascii="arial" w:eastAsia="arial" w:hAnsi="arial" w:cs="arial"/>
                <w:i/>
                <w:color w:val="000000"/>
                <w:sz w:val="18"/>
                <w:lang w:val="en-US" w:eastAsia="en-US" w:bidi="ar-SA"/>
              </w:rPr>
              <w:t>Dunsmuir</w:t>
            </w:r>
            <w:r>
              <w:rPr>
                <w:rFonts w:ascii="arial" w:eastAsia="arial" w:hAnsi="arial" w:cs="arial"/>
                <w:color w:val="000000"/>
                <w:sz w:val="18"/>
                <w:lang w:val="en-US" w:eastAsia="en-US" w:bidi="ar-SA"/>
              </w:rPr>
              <w:t>'s conclusion that tribunals should "have a margin of appreciation within the range of acceptable and rational solutions" (para. 47).</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And in </w:t>
      </w:r>
      <w:r>
        <w:rPr>
          <w:rFonts w:ascii="arial" w:eastAsia="arial" w:hAnsi="arial" w:cs="arial"/>
          <w:i/>
          <w:color w:val="000000"/>
          <w:sz w:val="20"/>
          <w:lang w:val="en-US" w:eastAsia="en-US" w:bidi="ar-SA"/>
        </w:rPr>
        <w:t>Canada (Citizenship and Immigration) v. Khosa</w:t>
      </w:r>
      <w:r>
        <w:rPr>
          <w:rFonts w:ascii="arial" w:eastAsia="arial" w:hAnsi="arial" w:cs="arial"/>
          <w:color w:val="000000"/>
          <w:sz w:val="20"/>
          <w:lang w:val="en-US" w:eastAsia="en-US" w:bidi="ar-SA"/>
        </w:rPr>
        <w:t xml:space="preserve">, </w:t>
      </w:r>
      <w:hyperlink r:id="rId937" w:history="1">
        <w:r>
          <w:rPr>
            <w:rFonts w:ascii="arial" w:eastAsia="arial" w:hAnsi="arial" w:cs="arial"/>
            <w:i/>
            <w:color w:val="0077CC"/>
            <w:sz w:val="20"/>
            <w:u w:val="single"/>
            <w:shd w:val="clear" w:color="auto" w:fill="FFFFFF"/>
            <w:lang w:val="en-US" w:eastAsia="en-US" w:bidi="ar-SA"/>
          </w:rPr>
          <w:t>2009 SCC 12</w:t>
        </w:r>
      </w:hyperlink>
      <w:r>
        <w:rPr>
          <w:rFonts w:ascii="arial" w:eastAsia="arial" w:hAnsi="arial" w:cs="arial"/>
          <w:color w:val="000000"/>
          <w:sz w:val="20"/>
          <w:lang w:val="en-US" w:eastAsia="en-US" w:bidi="ar-SA"/>
        </w:rPr>
        <w:t>, the Court expounded on what reasonableness means: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[59]</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Reasonableness is a single standard that takes its colour from the context. One of the objectives of </w:t>
            </w:r>
            <w:r>
              <w:rPr>
                <w:rFonts w:ascii="arial" w:eastAsia="arial" w:hAnsi="arial" w:cs="arial"/>
                <w:i/>
                <w:color w:val="000000"/>
                <w:sz w:val="18"/>
                <w:lang w:val="en-US" w:eastAsia="en-US" w:bidi="ar-SA"/>
              </w:rPr>
              <w:t>Dunsmuir</w:t>
            </w:r>
            <w:r>
              <w:rPr>
                <w:rFonts w:ascii="arial" w:eastAsia="arial" w:hAnsi="arial" w:cs="arial"/>
                <w:color w:val="000000"/>
                <w:sz w:val="18"/>
                <w:lang w:val="en-US" w:eastAsia="en-US" w:bidi="ar-SA"/>
              </w:rPr>
              <w:t xml:space="preserve"> was to liberate judicial review courts from what came to be seen as undue complexity and formalism. Where the reasonableness standard applies, it requires deference. Reviewing courts cannot substitute their own appreciation of the appropriate solution, but must rather determine if the outcome falls within "a range of possible, acceptable outcomes which are defensible in respect of the facts and law" (</w:t>
            </w:r>
            <w:r>
              <w:rPr>
                <w:rFonts w:ascii="arial" w:eastAsia="arial" w:hAnsi="arial" w:cs="arial"/>
                <w:i/>
                <w:color w:val="000000"/>
                <w:sz w:val="18"/>
                <w:lang w:val="en-US" w:eastAsia="en-US" w:bidi="ar-SA"/>
              </w:rPr>
              <w:t>Dunsmuir</w:t>
            </w:r>
            <w:r>
              <w:rPr>
                <w:rFonts w:ascii="arial" w:eastAsia="arial" w:hAnsi="arial" w:cs="arial"/>
                <w:color w:val="000000"/>
                <w:sz w:val="18"/>
                <w:lang w:val="en-US" w:eastAsia="en-US" w:bidi="ar-SA"/>
              </w:rPr>
              <w:t>, at para. 47). There might be more than one reasonable outcome. However, as long as the process and the outcome fit comfortably with the principles of justification, transparency and intelligibility, it is not open to a reviewing court to substitute its own view of a preferable outcome.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In "Adequacy of Reasons - From Procedural Fairness to Substantive Review: </w:t>
      </w:r>
      <w:r>
        <w:rPr>
          <w:rFonts w:ascii="arial" w:eastAsia="arial" w:hAnsi="arial" w:cs="arial"/>
          <w:i/>
          <w:color w:val="000000"/>
          <w:sz w:val="20"/>
          <w:lang w:val="en-US" w:eastAsia="en-US" w:bidi="ar-SA"/>
        </w:rPr>
        <w:t>Newfoundland and Labrador Nurses' Union v Newfoundland and Labrador (Treasury Board)</w:t>
      </w:r>
      <w:r>
        <w:rPr>
          <w:rFonts w:ascii="arial" w:eastAsia="arial" w:hAnsi="arial" w:cs="arial"/>
          <w:color w:val="000000"/>
          <w:sz w:val="20"/>
          <w:lang w:val="en-US" w:eastAsia="en-US" w:bidi="ar-SA"/>
        </w:rPr>
        <w:t>", (2011) 90, The Canadian Bar Review 511 at 516, Neil G. Wilson articulated a helpful description of how these concepts should be applied. To upset a tribunal finding, an appellant must show the reasons are:</w:t>
      </w:r>
      <w:r>
        <w:rPr>
          <w:rFonts w:ascii="arial" w:eastAsia="arial" w:hAnsi="arial" w:cs="arial"/>
          <w:sz w:val="20"/>
          <w:lang w:val="en-US" w:eastAsia="en-US" w:bidi="ar-SA"/>
        </w:rPr>
        <w:cr/>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not justified</w:t>
      </w:r>
      <w:r>
        <w:rPr>
          <w:rFonts w:ascii="arial" w:eastAsia="arial" w:hAnsi="arial" w:cs="arial"/>
          <w:color w:val="000000"/>
          <w:sz w:val="20"/>
          <w:lang w:val="en-US" w:eastAsia="en-US" w:bidi="ar-SA"/>
        </w:rPr>
        <w:t>: they were neither well thought out nor reasoned;</w:t>
      </w:r>
    </w:p>
    <w:p>
      <w:pPr>
        <w:numPr>
          <w:numId w:val="6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not transparent</w:t>
      </w:r>
      <w:r>
        <w:rPr>
          <w:rFonts w:ascii="arial" w:eastAsia="arial" w:hAnsi="arial" w:cs="arial"/>
          <w:color w:val="000000"/>
          <w:sz w:val="20"/>
          <w:lang w:val="en-US" w:eastAsia="en-US" w:bidi="ar-SA"/>
        </w:rPr>
        <w:t>: they neither provided public accountability nor assurance to the parties that their submissions were considered; or</w:t>
      </w:r>
    </w:p>
    <w:p>
      <w:pPr>
        <w:numPr>
          <w:numId w:val="6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not intelligible</w:t>
      </w:r>
      <w:r>
        <w:rPr>
          <w:rFonts w:ascii="arial" w:eastAsia="arial" w:hAnsi="arial" w:cs="arial"/>
          <w:color w:val="000000"/>
          <w:sz w:val="20"/>
          <w:lang w:val="en-US" w:eastAsia="en-US" w:bidi="ar-SA"/>
        </w:rPr>
        <w:t>: they would neither allow the unsuccessful party to know why their position failed nor assist with review; moreover, they would not give guidance to others subject to the decision-makers jurisdiction.</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Whether the FIRB erred by concluding that normal farm practices requires a 15m setback and whether that conclusion is supported on the evidence before the FIRB?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The appellant argued under this heading that the FIRB exceeded its jurisdiction by making an order inconsistent with the </w:t>
      </w:r>
      <w:r>
        <w:rPr>
          <w:rFonts w:ascii="arial" w:eastAsia="arial" w:hAnsi="arial" w:cs="arial"/>
          <w:i/>
          <w:color w:val="000000"/>
          <w:sz w:val="20"/>
          <w:lang w:val="en-US" w:eastAsia="en-US" w:bidi="ar-SA"/>
        </w:rPr>
        <w:t>FPPA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She argued that the FIRB's powers are limited to requiring modifications to ensure practices were consistent with normal farm practice. She argued that the location of the setback was not a "practice" and that moving the fence could not be construed to be a modification of a farm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In my view, the FIRB did not, on this point, exceed its jurisdiction as the applicant alleged.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Paragraph 153 of the FIRB reasons stipulates alternative measures to obviate an abnormal farm practice. The FIRB's order mandating a 15m setback was an alternative to excluding horses from area B if it remained a confined livestock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The abnormal farm practice the FIRB order addressed is that of confining horses within 15m of the property line. The effect of the FIRB's order is that the appellant has a choice of excluding horses from the current run out or moving the run out to comply with the setback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The FIRB did not act without jurisdiction in making that order, and, on this point, the conclusion and remedy was reasonable.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Other Errors Relating to Normal Farm Practices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In addition, the appellant contends that the FIRB erred in its conclusion that the respondents were disturbed because of her farm operations (in area B) or that her farming practice was not a normal farm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The FIRB concluded that the appellant's manure management practices were consistent with normal farm practice standard, if not exceeding those standards. The appellant contends that this conclusion should have ended the FIRB inquiry.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By continuing to address the complaints, she argues the FIRB committed the following five distinct errors:</w:t>
      </w:r>
      <w:r>
        <w:rPr>
          <w:rFonts w:ascii="arial" w:eastAsia="arial" w:hAnsi="arial" w:cs="arial"/>
          <w:sz w:val="20"/>
          <w:lang w:val="en-US" w:eastAsia="en-US" w:bidi="ar-SA"/>
        </w:rPr>
        <w:cr/>
      </w:r>
    </w:p>
    <w:p>
      <w:pPr>
        <w:numPr>
          <w:numId w:val="6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FIRB failed to consider the threshold issue connecting the cause of the odour with area B;</w:t>
      </w:r>
    </w:p>
    <w:p>
      <w:pPr>
        <w:numPr>
          <w:numId w:val="6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FIRB conflated the area B location with the 'farm practice' carried out there;</w:t>
      </w:r>
    </w:p>
    <w:p>
      <w:pPr>
        <w:numPr>
          <w:numId w:val="6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FIRB applied its own interpretation of the bylaw and failed to give due weight to Kelowna's more favourable interpretation of its bylaw;</w:t>
      </w:r>
    </w:p>
    <w:p>
      <w:pPr>
        <w:numPr>
          <w:numId w:val="6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FIRB incorrectly analyzed the nature and purpose of the bylaw guidelines and considered the incorrect evidence provided by the knowledgeable person; and</w:t>
      </w:r>
    </w:p>
    <w:p>
      <w:pPr>
        <w:numPr>
          <w:numId w:val="6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FIRB failed to consider the evidence led by the appellant's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The appellant argued that although some these errors are reviewable on the reasonableness standard, some of the findings deal with matters outside the FIRB's mandate and should be decided on the correctness standard.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1. Whether the FIRB failed to consider the threshold issue connecting the cause of the odour with area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xml:space="preserve">  In sum, the appellant contends that no actual evidence was before the FIRB linking the odour complained of to area B. Therefore, the FIRB could not make a finding that the disturbance under s. 6 of the </w:t>
      </w:r>
      <w:r>
        <w:rPr>
          <w:rFonts w:ascii="arial" w:eastAsia="arial" w:hAnsi="arial" w:cs="arial"/>
          <w:i/>
          <w:color w:val="000000"/>
          <w:sz w:val="20"/>
          <w:lang w:val="en-US" w:eastAsia="en-US" w:bidi="ar-SA"/>
        </w:rPr>
        <w:t>FPPA</w:t>
      </w:r>
      <w:r>
        <w:rPr>
          <w:rFonts w:ascii="arial" w:eastAsia="arial" w:hAnsi="arial" w:cs="arial"/>
          <w:color w:val="000000"/>
          <w:sz w:val="20"/>
          <w:lang w:val="en-US" w:eastAsia="en-US" w:bidi="ar-SA"/>
        </w:rPr>
        <w:t xml:space="preserve"> arose from area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Pursuant to s. 6(1), the FIRB must:</w:t>
      </w:r>
      <w:r>
        <w:rPr>
          <w:rFonts w:ascii="arial" w:eastAsia="arial" w:hAnsi="arial" w:cs="arial"/>
          <w:sz w:val="20"/>
          <w:lang w:val="en-US" w:eastAsia="en-US" w:bidi="ar-SA"/>
        </w:rPr>
        <w:cr/>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dismiss the complaint if the panel is of the opinion that the odour, noise, dust or other disturbance results from a normal farm practice, or</w:t>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order the farmer to cease the practice that </w:t>
      </w:r>
      <w:r>
        <w:rPr>
          <w:rFonts w:ascii="arial" w:eastAsia="arial" w:hAnsi="arial" w:cs="arial"/>
          <w:color w:val="000000"/>
          <w:sz w:val="20"/>
          <w:u w:val="single"/>
          <w:lang w:val="en-US" w:eastAsia="en-US" w:bidi="ar-SA"/>
        </w:rPr>
        <w:t>causes the odour, noise, dust or other disturbance if it is not a normal farm practice</w:t>
      </w:r>
      <w:r>
        <w:rPr>
          <w:rFonts w:ascii="arial" w:eastAsia="arial" w:hAnsi="arial" w:cs="arial"/>
          <w:color w:val="000000"/>
          <w:sz w:val="20"/>
          <w:lang w:val="en-US" w:eastAsia="en-US" w:bidi="ar-SA"/>
        </w:rPr>
        <w:t>, or to modify the practice in the manner set out in the order, to be consistent with normal farm practice.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Section 6(1)(b) is primarily at issue here. I replicate the appellant's argument on this point:</w:t>
      </w:r>
      <w:r>
        <w:rPr>
          <w:rFonts w:ascii="arial" w:eastAsia="arial" w:hAnsi="arial" w:cs="arial"/>
          <w:sz w:val="20"/>
          <w:lang w:val="en-US" w:eastAsia="en-US" w:bidi="ar-SA"/>
        </w:rPr>
        <w:cr/>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the Board found, incorrectly that the location of Area B was not consistent with normal farm practices </w:t>
      </w:r>
      <w:r>
        <w:rPr>
          <w:rFonts w:ascii="arial" w:eastAsia="arial" w:hAnsi="arial" w:cs="arial"/>
          <w:color w:val="000000"/>
          <w:sz w:val="20"/>
          <w:u w:val="single"/>
          <w:lang w:val="en-US" w:eastAsia="en-US" w:bidi="ar-SA"/>
        </w:rPr>
        <w:t>they made no finding that Area B was the cause of the disturbance.</w:t>
      </w:r>
      <w:r>
        <w:rPr>
          <w:rFonts w:ascii="arial" w:eastAsia="arial" w:hAnsi="arial" w:cs="arial"/>
          <w:color w:val="000000"/>
          <w:sz w:val="20"/>
          <w:lang w:val="en-US" w:eastAsia="en-US" w:bidi="ar-SA"/>
        </w:rPr>
        <w:t xml:space="preserve"> As such the ruling of the Board and the order are not consistent with the requirements of the 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xml:space="preserve">  In essence, the appellant said that the </w:t>
      </w:r>
      <w:r>
        <w:rPr>
          <w:rFonts w:ascii="arial" w:eastAsia="arial" w:hAnsi="arial" w:cs="arial"/>
          <w:i/>
          <w:color w:val="000000"/>
          <w:sz w:val="20"/>
          <w:lang w:val="en-US" w:eastAsia="en-US" w:bidi="ar-SA"/>
        </w:rPr>
        <w:t>FPPA</w:t>
      </w:r>
      <w:r>
        <w:rPr>
          <w:rFonts w:ascii="arial" w:eastAsia="arial" w:hAnsi="arial" w:cs="arial"/>
          <w:color w:val="000000"/>
          <w:sz w:val="20"/>
          <w:lang w:val="en-US" w:eastAsia="en-US" w:bidi="ar-SA"/>
        </w:rPr>
        <w:t xml:space="preserve"> mandates a two-step process: first, the FIRB was required to consider whether the complaint of odour and flies emanated from her farm operation. Second, if that finding is not made, the FIRB has no need to consider if her farm practices were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The appellant also said:</w:t>
      </w:r>
      <w:r>
        <w:rPr>
          <w:rFonts w:ascii="arial" w:eastAsia="arial" w:hAnsi="arial" w:cs="arial"/>
          <w:sz w:val="20"/>
          <w:lang w:val="en-US" w:eastAsia="en-US" w:bidi="ar-SA"/>
        </w:rPr>
        <w:cr/>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location of the Barn cannot be said to contribute to the flies and odour problem generally. The Barn would create the same odour no matter where its location and the Board proximity argument as it relates to setbacks cannot be sustained as reasonable.</w:t>
      </w:r>
    </w:p>
    <w:p>
      <w:pPr>
        <w:numPr>
          <w:numId w:val="9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run-outs could in fact be located much closer to the Swarts' home yet still be set back 15 meters (the distance the Board incorrectly concluded was required) from the property line. This could be accomplished by moving the run-outs to a paddock closer to Stewart road, to a location directly adjacent to the Swarts home. On the Board's reasons this new location would be consistent with 'normal farm practices' thus emphasising the failure of the Board to consider the correct factors. Such a location would be detrimental to both parties. To Ms. Holt due to the increase risk placed on her horses and their handlers through the daily need to move the horses, and to the Swarts from the increased noise do to the movement of horses in and out of the new area each day and from an increased concentration of normal farm odours from having the new location directly adjacent to their home.</w:t>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Thus it is not the location of the run-outs but the practices carried out there which should have been considered. To the extent that there is an increase of flies and odours as a result of the Barn it must be as a result of the manure and urine created by the horses or the horses themselves</w:t>
      </w:r>
      <w:r>
        <w:rPr>
          <w:rFonts w:ascii="arial" w:eastAsia="arial" w:hAnsi="arial" w:cs="arial"/>
          <w:color w:val="000000"/>
          <w:sz w:val="20"/>
          <w:lang w:val="en-US" w:eastAsia="en-US" w:bidi="ar-SA"/>
        </w:rPr>
        <w:t>.</w:t>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does not appear that there were any allegations that the horses themselves were a source of odour or flies. To the extent that the manure was the source of the odour and the flies Ms. Holt engaged in the best manure practices possible, daily removal. The Board found this practice met or exceeded normal farm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She referred to the FIRB's conclusion at para. 97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accept the respondent's argument that given the various farm operations in the area surrounding the complainants property this increase may not be solely due to the equestrian center operations. However, because of the proximity of the equestrian center to the complainants property in the temporal connection between increasing over and flies in the commencement of the equestrian operations, we conclude that some of the increase in over and flies is due to those operations.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While the FIRB found that livestock area B was not a "normal farm practice", it did not say this practice caused odour, noise, dust or other disturbance; indeed, some of the increase in odour was due to general operations.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In other words, while the FIRB said that the setback of the appellant's run out was relevant to the odour and flies complaint, it stopped short of concluding that her abnormal farm practice - i.e. livestock area B's location - caused the odour and flies.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She contends that the FIRB's conclusion was based on circumstantial evidence, at best, and it related to the equestrian center generally without concrete evidence that the odour came from area B. And she contends that the odor that was the subject of the complaint is related to the equestrian center generally and not with the specific practices occurring in area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She claims that no "actual evidence before the FIRB linked the odour complained to area B". Thus, the FIRB had no evidence of a disturbance caused by using area B as a run out for horses.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In the absence of evidence that the source of odour resulted from her farm practices, she claims that the FIRB erred in considering whether the complaint of odour and flies emanating from her property was a normal farm practice. So this threshold issue should not have been decided against the appellant.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xml:space="preserve">  Therefore, she argues that the FIRB conclusion was not supported by evidence, is unreasonable and is a violation of essential justice: </w:t>
      </w:r>
      <w:r>
        <w:rPr>
          <w:rFonts w:ascii="arial" w:eastAsia="arial" w:hAnsi="arial" w:cs="arial"/>
          <w:i/>
          <w:color w:val="000000"/>
          <w:sz w:val="20"/>
          <w:lang w:val="en-US" w:eastAsia="en-US" w:bidi="ar-SA"/>
        </w:rPr>
        <w:t>Children's Aid Society of the Catholic diocese of Vancouver v. Salmon Arm</w:t>
      </w:r>
      <w:r>
        <w:rPr>
          <w:rFonts w:ascii="arial" w:eastAsia="arial" w:hAnsi="arial" w:cs="arial"/>
          <w:color w:val="000000"/>
          <w:sz w:val="20"/>
          <w:lang w:val="en-US" w:eastAsia="en-US" w:bidi="ar-SA"/>
        </w:rPr>
        <w:t xml:space="preserve">, </w:t>
      </w:r>
      <w:hyperlink r:id="rId938" w:history="1">
        <w:r>
          <w:rPr>
            <w:rFonts w:ascii="arial" w:eastAsia="arial" w:hAnsi="arial" w:cs="arial"/>
            <w:i/>
            <w:color w:val="0077CC"/>
            <w:sz w:val="20"/>
            <w:u w:val="single"/>
            <w:shd w:val="clear" w:color="auto" w:fill="FFFFFF"/>
            <w:lang w:val="en-US" w:eastAsia="en-US" w:bidi="ar-SA"/>
          </w:rPr>
          <w:t>[1941] 1 D.L.R. 532</w:t>
        </w:r>
      </w:hyperlink>
      <w:r>
        <w:rPr>
          <w:rFonts w:ascii="arial" w:eastAsia="arial" w:hAnsi="arial" w:cs="arial"/>
          <w:color w:val="000000"/>
          <w:sz w:val="20"/>
          <w:lang w:val="en-US" w:eastAsia="en-US" w:bidi="ar-SA"/>
        </w:rPr>
        <w:t xml:space="preserve"> at para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I agree that the FIRB did not make a finding that livestock area B caused the disturbance that spurred the initial complaint. There is a troubling gap in the FIRB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The question the FIRB needed to answer was two-fold: first, did the appellant's practice of placing horses within 15m of the property line cause the odour, flies or other disturbance aggrieving the complainant; if so, then the second question is trigged: was this practice a normal farm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In my view, the FIRB did not answer this question directly in making its overall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In fact, the FIRB never actually addressed the question of how the setback affected the presence of odour and flies other than at para. 120 of its reasons where it said that the appellant's manure management potentially "exceeds usual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The FIRB did not find that the run outs location alone caused or invited more flies and smell. Rather, it is what is in the run out or how the run out is managed that causes odour and flies.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In other words, their reasoning suggests that moving livestock area B back 15m would not change the disturbance since livestock area B was relevant to the complaint but not causing the disturbance in its current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The FIRB said that the manure management was adequate and at times actually exceeding normal standards. While Mr. Withler did say that setbacks are necessary to prevent manure runoff, neither Mr. Withler nor the FIRB made the finding that runoff caused the offending odour nor was it occurring because of an inadequate setback.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To reiterate, the FIRB did not determine that the odour and flies resulted from manure deposited within 15m of the property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Notwithstanding my views about the shortcomings in the FIRB's conclusions, I disagree with the appellant's argument on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The FIRB considered that setbacks were relevant considerations to the complaint about odour and flies "on the basis of proximity".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The FIRB also considered the runoff of nutrients from manure as a reason to impose livestock setback areas. Although the FIRB did not expressly state that the odour and flies were caused by the manure deposited on the appellant's property in area B, that conclusion it is a reasonable inference and within one of the range of possible outcomes on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In my view, the FIRB should have said that the practice of placing horses in area B less than 15m from the property line, and the resulting manure deposits, caused or contributed to the odour and flies affecting the respondents. But the FIRB framed its decision on the basis that "the question of setbacks is clearly relevant to the complaint respecting odour and flies on the basis of proximity."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In my view, it was reasonable for the FIRB to conclude manure deposited by horses in area B was a cause of the odour. Indeed, the FIRB reasons infer the causal relationship, and that conclusion is within the range of possible outcomes based on all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On this point, the FIRB articulated its views in such a way as to require this Court's respect of the process used to address the complaint and the result. And this Court must seek to supplement reasons before rejecting the FIRB's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xml:space="preserve">  For the Court to substitute its reasons and analysis when the result is within the possible range of outcomes would be incorrect: </w:t>
      </w:r>
      <w:r>
        <w:rPr>
          <w:rFonts w:ascii="arial" w:eastAsia="arial" w:hAnsi="arial" w:cs="arial"/>
          <w:i/>
          <w:color w:val="000000"/>
          <w:sz w:val="20"/>
          <w:lang w:val="en-US" w:eastAsia="en-US" w:bidi="ar-SA"/>
        </w:rPr>
        <w:t>Newfoundland Nurses Union</w:t>
      </w:r>
      <w:r>
        <w:rPr>
          <w:rFonts w:ascii="arial" w:eastAsia="arial" w:hAnsi="arial" w:cs="arial"/>
          <w:color w:val="000000"/>
          <w:sz w:val="20"/>
          <w:lang w:val="en-US" w:eastAsia="en-US" w:bidi="ar-SA"/>
        </w:rPr>
        <w:t xml:space="preserve"> at paras 12-15. Therefore, I reject this argument.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2. Whether the FIRB conflated the area B location with the 'farm practice' carried out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The appellant contends that the location of her barn cannot be said to contribute to the respondents' concerns about odor and flies. She alleged that the run outs could be located closer to the respondents' house and yet be less than the 15m setback from the property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She argues that the FIRB failed to consider that no evidence connected the run outs' location to the odour problem. She suggests that the odour is not connected to the run outs, but rather it is connected to the practices carried out in the run outs. Because of her manure management practices exceed normal farm practice, it was unreasonable to impose a 15m setback.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This submission is an extension of the point raised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The appellant argued that the odour or flies were not caused by the horses themselves; rather it was the manure the horses produced. Because she engaged in better than normal farm practices regarding manure management, the imposition of the 15m setback was unwarranted on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This Court can not engage in reconsidering the evidence or the use of evidence in forming the FIRB's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On this point, the Court must defer to the FIRB's specialized skill and experience, and its analysis of the impact of the manure generated by the appellant's horses. The FIRB is well qualified to craft remedial measures that could be adopted to address the complaint. This practice is within its mandate to protect farming businesses and promote shared use of land in farming areas.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My conclusions on this point are similar to those above. The FIRB has considered the entire context of this dispute and formed opinions that were based on Mr. Withler's evidence and its consideration of the temporal connections and proximity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The FIRB's conclusions on this point are within the range of possible outcomes. I reject this argument.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3. Whether the FIRB applied its own interpretation of the bylaw and failed to give due weight to Kelowna's more favourable interpretation of its bylaw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In summary, the appellant contends that the FIRB deviated from its authorized inquiry by focusing on the question of whether area B was compliant with the bylaw or the bylaw guidelines.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She argued that Mr. Withler's focus on the city bylaw and bylaws in Delta and Langley was irrelevant to the issue before the FIRB. Rather, the issue in this case was whether a confined livestock area used for horses and within 15m of an adjoining property line was a normal farm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She submits that the FIRB should have accepted Kelowna's interpretation of the bylaw, and when it chose Mr. Withler's interpretation, it erred.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xml:space="preserve">  The appellant relied on </w:t>
      </w:r>
      <w:r>
        <w:rPr>
          <w:rFonts w:ascii="arial" w:eastAsia="arial" w:hAnsi="arial" w:cs="arial"/>
          <w:i/>
          <w:color w:val="000000"/>
          <w:sz w:val="20"/>
          <w:lang w:val="en-US" w:eastAsia="en-US" w:bidi="ar-SA"/>
        </w:rPr>
        <w:t>Associated Provincial Pictures v. Wednesbury Corporation,</w:t>
      </w:r>
      <w:r>
        <w:rPr>
          <w:rFonts w:ascii="arial" w:eastAsia="arial" w:hAnsi="arial" w:cs="arial"/>
          <w:color w:val="000000"/>
          <w:sz w:val="20"/>
          <w:lang w:val="en-US" w:eastAsia="en-US" w:bidi="ar-SA"/>
        </w:rPr>
        <w:t xml:space="preserve"> [1948] 1 K.B. 223 (C.A.) for the proposition that decision makers must exclude irrelevant considerations from their analysis of an issue, and when a decision maker considers information irrelevant to the issue, that conduct is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Earlier in these reasons, I expressed my conclusion that it was not unreasonable for the FIRB to adopt a different bylaw interpretation.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xml:space="preserve">  Sections 2 (2.1) and (3) of the </w:t>
      </w:r>
      <w:r>
        <w:rPr>
          <w:rFonts w:ascii="arial" w:eastAsia="arial" w:hAnsi="arial" w:cs="arial"/>
          <w:i/>
          <w:color w:val="000000"/>
          <w:sz w:val="20"/>
          <w:lang w:val="en-US" w:eastAsia="en-US" w:bidi="ar-SA"/>
        </w:rPr>
        <w:t>FPPA</w:t>
      </w:r>
      <w:r>
        <w:rPr>
          <w:rFonts w:ascii="arial" w:eastAsia="arial" w:hAnsi="arial" w:cs="arial"/>
          <w:color w:val="000000"/>
          <w:sz w:val="20"/>
          <w:lang w:val="en-US" w:eastAsia="en-US" w:bidi="ar-SA"/>
        </w:rPr>
        <w:t xml:space="preserve"> illustrate circumstances in which farmers are exempted from municipal bylaws when conducting farm operations. However, nothing in those sections or the </w:t>
      </w:r>
      <w:r>
        <w:rPr>
          <w:rFonts w:ascii="arial" w:eastAsia="arial" w:hAnsi="arial" w:cs="arial"/>
          <w:i/>
          <w:color w:val="000000"/>
          <w:sz w:val="20"/>
          <w:lang w:val="en-US" w:eastAsia="en-US" w:bidi="ar-SA"/>
        </w:rPr>
        <w:t>FPPA</w:t>
      </w:r>
      <w:r>
        <w:rPr>
          <w:rFonts w:ascii="arial" w:eastAsia="arial" w:hAnsi="arial" w:cs="arial"/>
          <w:color w:val="000000"/>
          <w:sz w:val="20"/>
          <w:lang w:val="en-US" w:eastAsia="en-US" w:bidi="ar-SA"/>
        </w:rPr>
        <w:t xml:space="preserve"> definitions restrict or prohibit the FIRB from considering and interpreting bylaws covering land-use to assist in determining whether a farm practice is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Therefore, the FIRB did not take into consideration any "irrelevant" or "extraneous" evidence. And its conclusions on the bylaw were not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I reject this argument.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4. Whether the FIRB incorrectly analyzed the nature and purpose of the bylaw guidelines and considered the incorrect evidence provided by the knowledgeable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The appellant contends that the FIRB's consideration of the bylaw was directly tied to the provincial guidelines.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The provincial guidelines are a nonbinding informational document for the purposes of informing municipal corporations dealing with farm practices. It is an aid to local governments in developing bylaws, and it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information contained in this guide, and all materials that is referenced, is intended to serve as a guideline for considering farm practices in British Columbia's agriculture industry. Reference material may provide suggestions for" beneficial management practices" to mitigate the impact of certain farm practices in specifics situations and conditions. However it should not be inferred that these" best management practices" should be implemented on an industry wide basis. </w:t>
      </w:r>
      <w:r>
        <w:rPr>
          <w:rFonts w:ascii="arial" w:eastAsia="arial" w:hAnsi="arial" w:cs="arial"/>
          <w:color w:val="000000"/>
          <w:sz w:val="20"/>
          <w:u w:val="single"/>
          <w:lang w:val="en-US" w:eastAsia="en-US" w:bidi="ar-SA"/>
        </w:rPr>
        <w:t>These guidelines are also not intended to serve as formal standards but rather serve to describe current practices used by farmers throughout British Columbia.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The appellant suggests that Mr. Withler's evidence concerning normal farm practices was focused on the guidelines and the bylaw itself to the exclusion of evidence about equestrian practices followed by similar agricultural operations in the Okanagan.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The only evidence on this question was provided by local farmers called to testify by the appellant.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The appellant challenges the conclusion at para. 147 that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consider the setback provisions in the[By-Law Guide and those in the Zoning Bylaw to be standards in relation to normal farm practice that have been designed to take into account proximity issues such as those raised in this by the complainants.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The appellant argues that the bylaw guide does not purport to be "standards in relation to normal farm practice". The guide specifically says that it contains information and "does not set standards, but may be useful in the development of zoning or farming bylaws".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xml:space="preserve">  Section 12 of the </w:t>
      </w:r>
      <w:r>
        <w:rPr>
          <w:rFonts w:ascii="arial" w:eastAsia="arial" w:hAnsi="arial" w:cs="arial"/>
          <w:i/>
          <w:color w:val="000000"/>
          <w:sz w:val="20"/>
          <w:lang w:val="en-US" w:eastAsia="en-US" w:bidi="ar-SA"/>
        </w:rPr>
        <w:t>FPPA</w:t>
      </w:r>
      <w:r>
        <w:rPr>
          <w:rFonts w:ascii="arial" w:eastAsia="arial" w:hAnsi="arial" w:cs="arial"/>
          <w:color w:val="000000"/>
          <w:sz w:val="20"/>
          <w:lang w:val="en-US" w:eastAsia="en-US" w:bidi="ar-SA"/>
        </w:rPr>
        <w:t xml:space="preserve"> authorizes the Lieutenant Governor in Council to make regulations respecting standards for the purposes of the definition "normal farm practice". But no standards have been set by regulation.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The appellant contends that the FIRB acted unreasonably when considering the bylaw guide standards as an indication of normal farm practices.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The appellant also argues that the FIRB failed to recognize that the bylaw guide sets maximum and not minimum setbacks.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The appellant submits that the bylaw guide did not prohibit smaller setbacks, and the FIRB's reliance on the provincial guidelines and the bylaw was incorrect and clearly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I will address this submission together with the next point advanced at by the appellant below. In the result I effectively agree with most of the appellant's submissions on these points.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5. Whether the FIRB failed to consider the</w:t>
      </w:r>
    </w:p>
    <w:p>
      <w:pPr>
        <w:spacing w:before="120" w:line="260" w:lineRule="atLeast"/>
        <w:jc w:val="center"/>
        <w:rPr>
          <w:rFonts w:ascii="arial" w:eastAsia="arial" w:hAnsi="arial" w:cs="arial"/>
          <w:sz w:val="20"/>
          <w:lang w:val="en-US" w:eastAsia="en-US" w:bidi="ar-SA"/>
        </w:rPr>
      </w:pPr>
      <w:r>
        <w:rPr>
          <w:rFonts w:ascii="arial" w:eastAsia="arial" w:hAnsi="arial" w:cs="arial"/>
          <w:b/>
          <w:i/>
          <w:color w:val="000000"/>
          <w:sz w:val="20"/>
          <w:lang w:val="en-US" w:eastAsia="en-US" w:bidi="ar-SA"/>
        </w:rPr>
        <w:t xml:space="preserve"> evidence led by the appellant's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xml:space="preserve">  The appellant argues that FIRB ignored the evidence of the proper and accepted customs and standards established and followed by similar farm businesses under similar circumstances tendered by her. She submits that the FIRB erred in failing to consider this evidence: </w:t>
      </w:r>
      <w:r>
        <w:rPr>
          <w:rFonts w:ascii="arial" w:eastAsia="arial" w:hAnsi="arial" w:cs="arial"/>
          <w:i/>
          <w:color w:val="000000"/>
          <w:sz w:val="20"/>
          <w:lang w:val="en-US" w:eastAsia="en-US" w:bidi="ar-SA"/>
        </w:rPr>
        <w:t>Southam</w:t>
      </w:r>
      <w:r>
        <w:rPr>
          <w:rFonts w:ascii="arial" w:eastAsia="arial" w:hAnsi="arial" w:cs="arial"/>
          <w:color w:val="000000"/>
          <w:sz w:val="20"/>
          <w:lang w:val="en-US" w:eastAsia="en-US" w:bidi="ar-SA"/>
        </w:rPr>
        <w:t xml:space="preserve"> at para. 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The appellant contends that evidence of other horse operations in Kelowna demonstrates that those farms used run outs along property lines where these locations were permitted by local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Moreover, the appellant argued that Mr. Withler did not give evidence about the prevailing practice on other farm businesses in similar circumstances; the proper and accepted practices of businesses with livestock in the Kelowna area was limited in his report to an analysis of the bylaw and the provincial guide.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The lack of specificity in the evidence tendered in support of the appellant's position was not against the proposition that other confined livestock areas abutting property lines were in similar circumstances to the Swart/Holt property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Without the appellant's evidence on this point, the FIRB had a paucity of evidence on customs and standards as established and followed by similar farm businesses under similar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While I have rejected the appellant's argument above that the FIRB failed to consider her evidence, I agree that the FIRB on the whole failed to consider evidence pertaining to similar farm business in similar circumstances and I find their decision was not justified or transparent and unreasonable on that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I will now turn to that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Why the FIRB decision was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xml:space="preserve">  I have found that: 1) the FIRB made its finding without the statutorily required evidence mandated by the </w:t>
      </w:r>
      <w:r>
        <w:rPr>
          <w:rFonts w:ascii="arial" w:eastAsia="arial" w:hAnsi="arial" w:cs="arial"/>
          <w:i/>
          <w:color w:val="000000"/>
          <w:sz w:val="20"/>
          <w:lang w:val="en-US" w:eastAsia="en-US" w:bidi="ar-SA"/>
        </w:rPr>
        <w:t>FPPA</w:t>
      </w:r>
      <w:r>
        <w:rPr>
          <w:rFonts w:ascii="arial" w:eastAsia="arial" w:hAnsi="arial" w:cs="arial"/>
          <w:color w:val="000000"/>
          <w:sz w:val="20"/>
          <w:lang w:val="en-US" w:eastAsia="en-US" w:bidi="ar-SA"/>
        </w:rPr>
        <w:t>, and 2) the FIRB applied its home statute in an unreasonable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I will address each in turn. But first, I will lay out the framework the FIRB applies in making its decisions.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xml:space="preserve">  The FIRB seems to address the questions using the framework that </w:t>
      </w:r>
      <w:r>
        <w:rPr>
          <w:rFonts w:ascii="arial" w:eastAsia="arial" w:hAnsi="arial" w:cs="arial"/>
          <w:i/>
          <w:color w:val="000000"/>
          <w:sz w:val="20"/>
          <w:lang w:val="en-US" w:eastAsia="en-US" w:bidi="ar-SA"/>
        </w:rPr>
        <w:t>Pyke</w:t>
      </w:r>
      <w:r>
        <w:rPr>
          <w:rFonts w:ascii="arial" w:eastAsia="arial" w:hAnsi="arial" w:cs="arial"/>
          <w:color w:val="000000"/>
          <w:sz w:val="20"/>
          <w:lang w:val="en-US" w:eastAsia="en-US" w:bidi="ar-SA"/>
        </w:rPr>
        <w:t xml:space="preserve"> set out. I will lay out the salient portions at paras. 71, 72, 78-81, and 87: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[71]</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appears to be common ground that the inquiry into whether a farming operation qualifies as a "normal farm practice" is both fact and site-specific. I agree with Charron J.A. at para. 42 that "the determination of what constitutes a 'normal farm practice' must be made in a proper context, and that, depending on the practice under review, the context may be broad indeed, involving the consideration of many relevant factors including the proximity of neighbours and the use they make of their lands."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[72]</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There appear to be no judicial decisions, apart from that under appeal in this case, interpreting these provisions of either of the statutes. In some cases, the Farm Practices Protection Board under the 1988 Act appears to have taken a broadly contextual, site-specific, and evaluative approach. In Bader v. Dionis (September 2, 1992), 92-01 (F.P.P.B.), the Board found that the use of acoustical bird scaring devices was a normal farm practice, but warned at p. 6 that "this does not mean that in all situations where it is in close proximity to residential dwellings that the use of a bird banger will be a normal farm practice." In Thuss v. Shirley (December 27, 1990), 90-2 (F.P.P.B.), the Board dealt with a red ginseng operation that required sandy soil with little or no organic material. The soil was susceptible to wind erosion, and blowing sand seriously disrupted the activities on, and enjoyment of, neighbouring non-agricultural properties. There was no evidence of similar operations in Ontario, but there was evidence that the farm had followed the practices of its Korean advisers. The Board concluded at p. 4 that the farm practice for this crop "will, by necessity, have to be innovative" and that "[i]nnovative management practices . . . cannot be deemed normal if they result in severe erosion. Consequently, in this case, the blowing soil and related sand storms, do not result from a normal farm practice." The underlying premise of this conclusion is that even though a practice may be appropriate from the perspective of the farming operation that seeks to defend it, it will not be acceptable if it causes disproportionate harm to neighbouring non-agricultural users.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[78]</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my opinion, a broad approach, relating the inquiry to the specific circumstances pertaining to the site with a view to striking an appropriate balance between the rights of affected property owners and nuisance creating farming operations, is borne out by the language of the statute. I agree with the trial judge that the legislative language indicates that there should be a qualitative or evaluative element to the interpretation of "normal farm practice". As I read both the 1988 and the 1998 Acts, farming operations do not automatically gain statutory protection by showing that they follow some abstract definition of industry standards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[79]</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First, both statutes require that the "circumstances" be taken into consideration. This means that the same practice may qualify as a normal farm practice in one situation, but not in another where the circumstances are different. The definition of "normal farm practice" requires that the operation at issue be assessed with regard to the "customs and standards as established and followed by similar agricultural operations under similar circumstances" (emphasis added). Section 6 of the 1998 Act, exempting a "normal farm practice" from the application of municipal ordinance, sheds some light on the question. Section 6(1) provides that "[n]o municipal by-law applies to restrict a normal farm practice carried on as part of an agricultural operation", and s. 6(2) allows the Normal Farm Practices Protection Board to determine whether the practice at issue is a normal farm practice for the purposes of non-application of a municipal by-law. Section s. 6(15) directs the Board to consider, among other factors, "[t]he specific circumstances pertaining to the site". Although these provisions do not apply directly to the circumstances of the present case, the phrase "normal farm practice" should be given a consistent interpretation and, if "the specific circumstances pertaining to the site" bear upon the definition of "normal farm practice" in one context, it would be anomalous to exclude site-specific considerations from the definition in another context. As Cory J. stated in Thomson v. Canada (Deputy Minister of Agriculture), </w:t>
            </w:r>
            <w:r>
              <w:rPr>
                <w:rFonts w:ascii="arial" w:eastAsia="arial" w:hAnsi="arial" w:cs="arial"/>
                <w:i/>
                <w:color w:val="000000"/>
                <w:sz w:val="18"/>
                <w:lang w:val="en-US" w:eastAsia="en-US" w:bidi="ar-SA"/>
              </w:rPr>
              <w:t>[1992] 1 S.C.R. 385</w:t>
            </w:r>
            <w:r>
              <w:rPr>
                <w:rFonts w:ascii="arial" w:eastAsia="arial" w:hAnsi="arial" w:cs="arial"/>
                <w:color w:val="000000"/>
                <w:sz w:val="18"/>
                <w:lang w:val="en-US" w:eastAsia="en-US" w:bidi="ar-SA"/>
              </w:rPr>
              <w:t xml:space="preserve"> at p. 400, </w:t>
            </w:r>
            <w:r>
              <w:rPr>
                <w:rFonts w:ascii="arial" w:eastAsia="arial" w:hAnsi="arial" w:cs="arial"/>
                <w:i/>
                <w:color w:val="000000"/>
                <w:sz w:val="18"/>
                <w:lang w:val="en-US" w:eastAsia="en-US" w:bidi="ar-SA"/>
              </w:rPr>
              <w:t>89 D.L.R. (4th) 218</w:t>
            </w:r>
            <w:r>
              <w:rPr>
                <w:rFonts w:ascii="arial" w:eastAsia="arial" w:hAnsi="arial" w:cs="arial"/>
                <w:color w:val="000000"/>
                <w:sz w:val="18"/>
                <w:lang w:val="en-US" w:eastAsia="en-US" w:bidi="ar-SA"/>
              </w:rPr>
              <w:t>: "Unless the contrary is clearly indicated by the context, a word should be given the same interpretation or meaning whenever it appears in an act": see also P.-A. Côté, [supra], at p. 332. In my opinion, the same holds equally true for phrases recurring throughout a statute.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[80]</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Second, the farming operation must also satisfy the tribunal hearing the case that, in the circumstances, the customs and standard are, in the words of the 1988 statute, "proper and accepted" and in the words of the 1998 statute, "proper and acceptable". The words "proper and acceptable" connote a qualitative, evaluative inquiry. The Shorter Oxford English Dictionary (Oxford: Clarendon Press, 1993) defines "proper" as (inter alia) "of requisite standard or type; fit, suitable, appropriate; fitting, right" and "acceptable" as "worth accepting; likely to be accepted; pleasing, welcome, tolerable". These words qualify and limit the phrase "customs and standards as established and followed by similar agricultural operations under similar circumstances". I read this qualification as adding another important dimension to the inquiry.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[81]</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 my respectful view, this statutory</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language indicates that the farming industry</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does not have carte blanche to establish its own</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xml:space="preserve">standards without independent scrutiny. </w:t>
            </w:r>
            <w:r>
              <w:rPr>
                <w:rFonts w:ascii="arial" w:eastAsia="arial" w:hAnsi="arial" w:cs="arial"/>
                <w:color w:val="000000"/>
                <w:sz w:val="18"/>
                <w:u w:val="single"/>
                <w:lang w:val="en-US" w:eastAsia="en-US" w:bidi="ar-SA"/>
              </w:rPr>
              <w:t>Not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 </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all industry standards prevail -- only those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 </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that are judged to be "proper and acceptable".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 </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In my view, this statutory language requires the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 </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adjudicative body to consider a wide range of</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 </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factors that bear upon the nature of the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 </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practice at issue and its impact or effect upon</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 </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the parties who complain of the disturbance,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 </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with a view to determining whether the standard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 </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is "proper and acceptable"</w:t>
            </w:r>
            <w:r>
              <w:rPr>
                <w:rFonts w:ascii="arial" w:eastAsia="arial" w:hAnsi="arial" w:cs="arial"/>
                <w:color w:val="000000"/>
                <w:sz w:val="18"/>
                <w:lang w:val="en-US" w:eastAsia="en-US" w:bidi="ar-SA"/>
              </w:rPr>
              <w:t>. An analogy may</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xml:space="preserve">be drawn from the law of </w:t>
            </w:r>
            <w:r>
              <w:rPr>
                <w:rFonts w:ascii="arial" w:eastAsia="arial" w:hAnsi="arial" w:cs="arial"/>
                <w:b/>
                <w:i/>
                <w:color w:val="000000"/>
                <w:sz w:val="18"/>
                <w:u w:val="single"/>
                <w:lang w:val="en-US" w:eastAsia="en-US" w:bidi="ar-SA"/>
              </w:rPr>
              <w:t>negligence</w:t>
            </w:r>
            <w:r>
              <w:rPr>
                <w:rFonts w:ascii="arial" w:eastAsia="arial" w:hAnsi="arial" w:cs="arial"/>
                <w:color w:val="000000"/>
                <w:sz w:val="18"/>
                <w:lang w:val="en-US" w:eastAsia="en-US" w:bidi="ar-SA"/>
              </w:rPr>
              <w:t>, where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reliance on custom and established practice is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relevant but not decisive on the requisite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standard of care. In Waldick v. Malcolm, [1991]</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xml:space="preserve">2 S.C.R. 456 at p. 474, </w:t>
            </w:r>
            <w:r>
              <w:rPr>
                <w:rFonts w:ascii="arial" w:eastAsia="arial" w:hAnsi="arial" w:cs="arial"/>
                <w:i/>
                <w:color w:val="000000"/>
                <w:sz w:val="18"/>
                <w:lang w:val="en-US" w:eastAsia="en-US" w:bidi="ar-SA"/>
              </w:rPr>
              <w:t>83 D.L.R. (4th) 114</w:t>
            </w:r>
            <w:r>
              <w:rPr>
                <w:rFonts w:ascii="arial" w:eastAsia="arial" w:hAnsi="arial" w:cs="arial"/>
                <w:color w:val="000000"/>
                <w:sz w:val="18"/>
                <w:lang w:val="en-US" w:eastAsia="en-US" w:bidi="ar-SA"/>
              </w:rPr>
              <w: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Iacobucci J. dealt with this issue in the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context of an occupier's liability case: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 . the existence of customary practices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which are unreasonable in themselves, or which</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are not otherwise acceptable to courts, in no</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way ousts the duty of care owed by occupiers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under s. 3(1) of the [Occupier's Liability]</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Act."</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[87]</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second and related factor was the serious nature of the disturbance suffered by the respondents. Again, it seems to me that this was an important aspect of the site-specific circumstances the trial judge was entitled to take into account in determining whether the appellant's operation constituted a "normal farm operation" within the meaning of the Act.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The FIRB argued that its jurisprudence has considered the proper understanding and application of the term "normal farm practice" in several decisions.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xml:space="preserve">  First, the FIRB referred to </w:t>
      </w:r>
      <w:r>
        <w:rPr>
          <w:rFonts w:ascii="arial" w:eastAsia="arial" w:hAnsi="arial" w:cs="arial"/>
          <w:i/>
          <w:color w:val="000000"/>
          <w:sz w:val="20"/>
          <w:lang w:val="en-US" w:eastAsia="en-US" w:bidi="ar-SA"/>
        </w:rPr>
        <w:t>Westcreek Citizens' Society v. Vane Investments Ltd.</w:t>
      </w:r>
      <w:r>
        <w:rPr>
          <w:rFonts w:ascii="arial" w:eastAsia="arial" w:hAnsi="arial" w:cs="arial"/>
          <w:color w:val="000000"/>
          <w:sz w:val="20"/>
          <w:lang w:val="en-US" w:eastAsia="en-US" w:bidi="ar-SA"/>
        </w:rPr>
        <w:t xml:space="preserve">, (August 25, 2003) at paras. 22-29, 65, 80, and 83-85. This decision relies on the principles from </w:t>
      </w:r>
      <w:r>
        <w:rPr>
          <w:rFonts w:ascii="arial" w:eastAsia="arial" w:hAnsi="arial" w:cs="arial"/>
          <w:i/>
          <w:color w:val="000000"/>
          <w:sz w:val="20"/>
          <w:lang w:val="en-US" w:eastAsia="en-US" w:bidi="ar-SA"/>
        </w:rPr>
        <w:t>Pyke</w:t>
      </w:r>
      <w:r>
        <w:rPr>
          <w:rFonts w:ascii="arial" w:eastAsia="arial" w:hAnsi="arial" w:cs="arial"/>
          <w:color w:val="000000"/>
          <w:sz w:val="20"/>
          <w:lang w:val="en-US" w:eastAsia="en-US" w:bidi="ar-SA"/>
        </w:rPr>
        <w:t>, including the admonition to closely examine and weigh industry practice in light of the words "proper" and "circumstances"; it must also necessarily exercise an "evaluative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xml:space="preserve">  Second, the FIRB refers to other FIRB jurisprudence where </w:t>
      </w:r>
      <w:r>
        <w:rPr>
          <w:rFonts w:ascii="arial" w:eastAsia="arial" w:hAnsi="arial" w:cs="arial"/>
          <w:i/>
          <w:color w:val="000000"/>
          <w:sz w:val="20"/>
          <w:lang w:val="en-US" w:eastAsia="en-US" w:bidi="ar-SA"/>
        </w:rPr>
        <w:t>Pyke</w:t>
      </w:r>
      <w:r>
        <w:rPr>
          <w:rFonts w:ascii="arial" w:eastAsia="arial" w:hAnsi="arial" w:cs="arial"/>
          <w:color w:val="000000"/>
          <w:sz w:val="20"/>
          <w:lang w:val="en-US" w:eastAsia="en-US" w:bidi="ar-SA"/>
        </w:rPr>
        <w:t xml:space="preserve"> was adopted in addressing both of the appellant's arguments regarding the applicability of bylaws and proximity.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Baran v. Roberts</w:t>
      </w:r>
      <w:r>
        <w:rPr>
          <w:rFonts w:ascii="arial" w:eastAsia="arial" w:hAnsi="arial" w:cs="arial"/>
          <w:color w:val="000000"/>
          <w:sz w:val="20"/>
          <w:lang w:val="en-US" w:eastAsia="en-US" w:bidi="ar-SA"/>
        </w:rPr>
        <w:t xml:space="preserve">, the FIRB held that compliance with local government bylaws is not determinative of normal farm practice: </w:t>
      </w:r>
      <w:r>
        <w:rPr>
          <w:rFonts w:ascii="arial" w:eastAsia="arial" w:hAnsi="arial" w:cs="arial"/>
          <w:i/>
          <w:color w:val="000000"/>
          <w:sz w:val="20"/>
          <w:lang w:val="en-US" w:eastAsia="en-US" w:bidi="ar-SA"/>
        </w:rPr>
        <w:t>Baran v. Roberts</w:t>
      </w:r>
      <w:r>
        <w:rPr>
          <w:rFonts w:ascii="arial" w:eastAsia="arial" w:hAnsi="arial" w:cs="arial"/>
          <w:color w:val="000000"/>
          <w:sz w:val="20"/>
          <w:lang w:val="en-US" w:eastAsia="en-US" w:bidi="ar-SA"/>
        </w:rPr>
        <w:t xml:space="preserve"> (September 30, 2005) at para. 49. But the FIRB does examine and rely on them as interpretive tools.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FIRB</w:t>
      </w:r>
      <w:r>
        <w:rPr>
          <w:rFonts w:ascii="arial" w:eastAsia="arial" w:hAnsi="arial" w:cs="arial"/>
          <w:color w:val="000000"/>
          <w:sz w:val="20"/>
          <w:lang w:val="en-US" w:eastAsia="en-US" w:bidi="ar-SA"/>
        </w:rPr>
        <w:t xml:space="preserve"> has also repeatedly noted that normal farm practices must include and consider the effects and impacts of farm operations on neighbours, and farmers must take reasonable steps to mitigate disturbances resulting from farm operations: see, e.g., </w:t>
      </w:r>
      <w:r>
        <w:rPr>
          <w:rFonts w:ascii="arial" w:eastAsia="arial" w:hAnsi="arial" w:cs="arial"/>
          <w:i/>
          <w:color w:val="000000"/>
          <w:sz w:val="20"/>
          <w:lang w:val="en-US" w:eastAsia="en-US" w:bidi="ar-SA"/>
        </w:rPr>
        <w:t>Ollenburger v Breukelman</w:t>
      </w:r>
      <w:r>
        <w:rPr>
          <w:rFonts w:ascii="arial" w:eastAsia="arial" w:hAnsi="arial" w:cs="arial"/>
          <w:color w:val="000000"/>
          <w:sz w:val="20"/>
          <w:lang w:val="en-US" w:eastAsia="en-US" w:bidi="ar-SA"/>
        </w:rPr>
        <w:t xml:space="preserve">, (November 18, 2005) at paras. 61-62; </w:t>
      </w:r>
      <w:r>
        <w:rPr>
          <w:rFonts w:ascii="arial" w:eastAsia="arial" w:hAnsi="arial" w:cs="arial"/>
          <w:i/>
          <w:color w:val="000000"/>
          <w:sz w:val="20"/>
          <w:lang w:val="en-US" w:eastAsia="en-US" w:bidi="ar-SA"/>
        </w:rPr>
        <w:t>Harrison v. Mykalb</w:t>
      </w:r>
      <w:r>
        <w:rPr>
          <w:rFonts w:ascii="arial" w:eastAsia="arial" w:hAnsi="arial" w:cs="arial"/>
          <w:color w:val="000000"/>
          <w:sz w:val="20"/>
          <w:lang w:val="en-US" w:eastAsia="en-US" w:bidi="ar-SA"/>
        </w:rPr>
        <w:t>, (January 30, 2012) at para. 68.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xml:space="preserve">  Finally, in </w:t>
      </w:r>
      <w:r>
        <w:rPr>
          <w:rFonts w:ascii="arial" w:eastAsia="arial" w:hAnsi="arial" w:cs="arial"/>
          <w:i/>
          <w:color w:val="000000"/>
          <w:sz w:val="20"/>
          <w:lang w:val="en-US" w:eastAsia="en-US" w:bidi="ar-SA"/>
        </w:rPr>
        <w:t>Jory v. Beacham</w:t>
      </w:r>
      <w:r>
        <w:rPr>
          <w:rFonts w:ascii="arial" w:eastAsia="arial" w:hAnsi="arial" w:cs="arial"/>
          <w:color w:val="000000"/>
          <w:sz w:val="20"/>
          <w:lang w:val="en-US" w:eastAsia="en-US" w:bidi="ar-SA"/>
        </w:rPr>
        <w:t>, (April 4, 2013), the FIRB said that it can consider bylaws and provincial guidelines in assessing proper and accepted customs and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xml:space="preserve">  In my view, the FIRB comments in these cases do not eschew the principle that the decision makers are limited in their reviews by the obligation to consider the legislated definitions prescribed in the </w:t>
      </w:r>
      <w:r>
        <w:rPr>
          <w:rFonts w:ascii="arial" w:eastAsia="arial" w:hAnsi="arial" w:cs="arial"/>
          <w:i/>
          <w:color w:val="000000"/>
          <w:sz w:val="20"/>
          <w:lang w:val="en-US" w:eastAsia="en-US" w:bidi="ar-SA"/>
        </w:rPr>
        <w:t>FPPA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xml:space="preserve">  Although it is important to conduct an evaluative function that addresses the "good neighbour" principle, etc., the BC legislature chose clear and specific features of normal farm practices, including "accepted", "established", and "followed" practices. This language is a clear and specific direction from the legislature that instructs the FIRB that it can supplement but not substitute certain evidence - e.g., provincial guidelines or the "good neighbour" principle - in place of evidence that demonstrates "proper and accepted customs and standards as established and followed by similar farm businesses under similar circumstances". Indeed, the </w:t>
      </w:r>
      <w:r>
        <w:rPr>
          <w:rFonts w:ascii="arial" w:eastAsia="arial" w:hAnsi="arial" w:cs="arial"/>
          <w:i/>
          <w:color w:val="000000"/>
          <w:sz w:val="20"/>
          <w:lang w:val="en-US" w:eastAsia="en-US" w:bidi="ar-SA"/>
        </w:rPr>
        <w:t>FPPA</w:t>
      </w:r>
      <w:r>
        <w:rPr>
          <w:rFonts w:ascii="arial" w:eastAsia="arial" w:hAnsi="arial" w:cs="arial"/>
          <w:color w:val="000000"/>
          <w:sz w:val="20"/>
          <w:lang w:val="en-US" w:eastAsia="en-US" w:bidi="ar-SA"/>
        </w:rPr>
        <w:t xml:space="preserve"> circumscribes the evidence the FIRB must consider in making its final determination of normal farm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xml:space="preserve">  In sum, while I accept the FIRB's arguments about the principles discussed in their previous jurisprudence, the </w:t>
      </w:r>
      <w:r>
        <w:rPr>
          <w:rFonts w:ascii="arial" w:eastAsia="arial" w:hAnsi="arial" w:cs="arial"/>
          <w:i/>
          <w:color w:val="000000"/>
          <w:sz w:val="20"/>
          <w:lang w:val="en-US" w:eastAsia="en-US" w:bidi="ar-SA"/>
        </w:rPr>
        <w:t>FPPA</w:t>
      </w:r>
      <w:r>
        <w:rPr>
          <w:rFonts w:ascii="arial" w:eastAsia="arial" w:hAnsi="arial" w:cs="arial"/>
          <w:color w:val="000000"/>
          <w:sz w:val="20"/>
          <w:lang w:val="en-US" w:eastAsia="en-US" w:bidi="ar-SA"/>
        </w:rPr>
        <w:t xml:space="preserve"> words must be read in their entire context and in their grammatical and ordinary sense harmoniously with the scheme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the object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and the intention of the BC legislature so that all farmers are able to anticipate the implications of their own farm practices.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 The FIRB made its finding without the statutorily required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xml:space="preserve">  The FIRB concluded that provincial guidelines and local bylaws are informative and instructive on the question of proper and accepted customs and standards because they indicate what </w:t>
      </w:r>
      <w:r>
        <w:rPr>
          <w:rFonts w:ascii="arial" w:eastAsia="arial" w:hAnsi="arial" w:cs="arial"/>
          <w:color w:val="000000"/>
          <w:sz w:val="20"/>
          <w:u w:val="single"/>
          <w:lang w:val="en-US" w:eastAsia="en-US" w:bidi="ar-SA"/>
        </w:rPr>
        <w:t>government believes</w:t>
      </w:r>
      <w:r>
        <w:rPr>
          <w:rFonts w:ascii="arial" w:eastAsia="arial" w:hAnsi="arial" w:cs="arial"/>
          <w:color w:val="000000"/>
          <w:sz w:val="20"/>
          <w:lang w:val="en-US" w:eastAsia="en-US" w:bidi="ar-SA"/>
        </w:rPr>
        <w:t xml:space="preserve"> to be appropriate practice in different settings. And the FIRB disagreed with Kelowna's interpretation of its bylaw that permitted the appellant to locate the run outs to the property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The FIRB discussion concerning the guidelines and the bylaw defaulted to the view of government as a guiding principle in its analysis. It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Provincial guidelines such as those in the guide are not binding on the BCFIRB in its determination of normal farm practice and the present case concerns a complaint and not a bylaw prosecution. However, provincial guidelines and local government bylaws are informative and instructive on the question of" proper and accepted customs and standards in that they indicate what government believe to be appropriate practice in different settings and with respect to various 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xml:space="preserve">  It was appropriate for the FIRB considered provincial guidelines and local bylaws, and on this point I accept the respondent's argument: </w:t>
      </w:r>
      <w:r>
        <w:rPr>
          <w:rFonts w:ascii="arial" w:eastAsia="arial" w:hAnsi="arial" w:cs="arial"/>
          <w:i/>
          <w:color w:val="000000"/>
          <w:sz w:val="20"/>
          <w:lang w:val="en-US" w:eastAsia="en-US" w:bidi="ar-SA"/>
        </w:rPr>
        <w:t>JJ v. Coquitlam School District No. 43</w:t>
      </w:r>
      <w:r>
        <w:rPr>
          <w:rFonts w:ascii="arial" w:eastAsia="arial" w:hAnsi="arial" w:cs="arial"/>
          <w:color w:val="000000"/>
          <w:sz w:val="20"/>
          <w:lang w:val="en-US" w:eastAsia="en-US" w:bidi="ar-SA"/>
        </w:rPr>
        <w:t xml:space="preserve">, </w:t>
      </w:r>
      <w:hyperlink r:id="rId939" w:history="1">
        <w:r>
          <w:rPr>
            <w:rFonts w:ascii="arial" w:eastAsia="arial" w:hAnsi="arial" w:cs="arial"/>
            <w:i/>
            <w:color w:val="0077CC"/>
            <w:sz w:val="20"/>
            <w:u w:val="single"/>
            <w:shd w:val="clear" w:color="auto" w:fill="FFFFFF"/>
            <w:lang w:val="en-US" w:eastAsia="en-US" w:bidi="ar-SA"/>
          </w:rPr>
          <w:t>2013 BCCA 67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Nonetheless, in my view, the FIRB erred when resting its decision on the conclusion that provincial guidelines and zoning bylaws constitute the standards regarding normal farm practices designed to account for proximity issues with consideration of the statutory definition.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The FIRB reasons do not address the question of the specific circumstances of the appellant's farm business in the context of the "proper and accepted standards as established and followed by similar farm businesses under similar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xml:space="preserve">  In fact, other than to reject the appellant's evidence because it lacked detail, the FIRB </w:t>
      </w:r>
      <w:r>
        <w:rPr>
          <w:rFonts w:ascii="arial" w:eastAsia="arial" w:hAnsi="arial" w:cs="arial"/>
          <w:b/>
          <w:color w:val="000000"/>
          <w:sz w:val="20"/>
          <w:u w:val="single"/>
          <w:lang w:val="en-US" w:eastAsia="en-US" w:bidi="ar-SA"/>
        </w:rPr>
        <w:t>never</w:t>
      </w:r>
      <w:r>
        <w:rPr>
          <w:rFonts w:ascii="arial" w:eastAsia="arial" w:hAnsi="arial" w:cs="arial"/>
          <w:color w:val="000000"/>
          <w:sz w:val="20"/>
          <w:lang w:val="en-US" w:eastAsia="en-US" w:bidi="ar-SA"/>
        </w:rPr>
        <w:t xml:space="preserve"> considered the practices of other farm businesses in similar circumstances in reaching its conclusions. As Beames J. specifically said in </w:t>
      </w:r>
      <w:r>
        <w:rPr>
          <w:rFonts w:ascii="arial" w:eastAsia="arial" w:hAnsi="arial" w:cs="arial"/>
          <w:i/>
          <w:color w:val="000000"/>
          <w:sz w:val="20"/>
          <w:lang w:val="en-US" w:eastAsia="en-US" w:bidi="ar-SA"/>
        </w:rPr>
        <w:t>Lubchynski</w:t>
      </w:r>
      <w:r>
        <w:rPr>
          <w:rFonts w:ascii="arial" w:eastAsia="arial" w:hAnsi="arial" w:cs="arial"/>
          <w:color w:val="000000"/>
          <w:sz w:val="20"/>
          <w:lang w:val="en-US" w:eastAsia="en-US" w:bidi="ar-SA"/>
        </w:rPr>
        <w:t xml:space="preserve"> at para. 16, FIRB decisions that are "completely unsupported by any evidence" are patently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While the Supreme Court of Canada replaced the patently unreasonable standard with just a reasonable or unreasonable finding, the principle remains that decisions unsupported by evidence are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xml:space="preserve">  I would extend the principle: where the FIRB does not require evidence of what "proper and accepted customs and standards as established and followed by similar farm businesses under similar circumstances" are, it abandons the statutory definition of normal farm practices and falls into error by making </w:t>
      </w:r>
      <w:r>
        <w:rPr>
          <w:rFonts w:ascii="arial" w:eastAsia="arial" w:hAnsi="arial" w:cs="arial"/>
          <w:i/>
          <w:color w:val="000000"/>
          <w:sz w:val="20"/>
          <w:lang w:val="en-US" w:eastAsia="en-US" w:bidi="ar-SA"/>
        </w:rPr>
        <w:t>ultra vires</w:t>
      </w:r>
      <w:r>
        <w:rPr>
          <w:rFonts w:ascii="arial" w:eastAsia="arial" w:hAnsi="arial" w:cs="arial"/>
          <w:color w:val="000000"/>
          <w:sz w:val="20"/>
          <w:lang w:val="en-US" w:eastAsia="en-US" w:bidi="ar-SA"/>
        </w:rPr>
        <w:t xml:space="preserve"> decisions.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Dunsmuir</w:t>
      </w:r>
      <w:r>
        <w:rPr>
          <w:rFonts w:ascii="arial" w:eastAsia="arial" w:hAnsi="arial" w:cs="arial"/>
          <w:color w:val="000000"/>
          <w:sz w:val="20"/>
          <w:lang w:val="en-US" w:eastAsia="en-US" w:bidi="ar-SA"/>
        </w:rPr>
        <w:t>, the courts addressed a similar situation, and it held at para. 74t: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interpretation of the law is always contextual. The law does not operate in a vacuum. The adjudicator was required to take into account the legal context in which he was to apply the law. The employment relationship between the parties in this case was governed by private law. The contractual terms of employment could not reasonably be ignored. That is made clear by s. 20 of the </w:t>
      </w:r>
      <w:r>
        <w:rPr>
          <w:rFonts w:ascii="arial" w:eastAsia="arial" w:hAnsi="arial" w:cs="arial"/>
          <w:i/>
          <w:color w:val="000000"/>
          <w:sz w:val="20"/>
          <w:lang w:val="en-US" w:eastAsia="en-US" w:bidi="ar-SA"/>
        </w:rPr>
        <w:t>Civil Service Act</w:t>
      </w:r>
      <w:r>
        <w:rPr>
          <w:rFonts w:ascii="arial" w:eastAsia="arial" w:hAnsi="arial" w:cs="arial"/>
          <w:color w:val="000000"/>
          <w:sz w:val="20"/>
          <w:lang w:val="en-US" w:eastAsia="en-US" w:bidi="ar-SA"/>
        </w:rPr>
        <w:t xml:space="preserve">. Under the ordinary rules of contract, the employer is entitled to discharge an employee for cause, with notice or with pay in lieu of notice. Where the employer chooses to exercise its right to discharge with reasonable notice or pay in lieu thereof, the employer is not required to assert cause for discharge. The grievance process cannot have the effect of changing the terms of the contract of employment. The respondent chose to exercise its right to terminate without alleging cause in this case. </w:t>
      </w:r>
      <w:r>
        <w:rPr>
          <w:rFonts w:ascii="arial" w:eastAsia="arial" w:hAnsi="arial" w:cs="arial"/>
          <w:color w:val="000000"/>
          <w:sz w:val="20"/>
          <w:u w:val="single"/>
          <w:lang w:val="en-US" w:eastAsia="en-US" w:bidi="ar-SA"/>
        </w:rPr>
        <w:t xml:space="preserve">By giving the </w:t>
      </w:r>
      <w:r>
        <w:rPr>
          <w:rFonts w:ascii="arial" w:eastAsia="arial" w:hAnsi="arial" w:cs="arial"/>
          <w:i/>
          <w:color w:val="000000"/>
          <w:sz w:val="20"/>
          <w:u w:val="single"/>
          <w:lang w:val="en-US" w:eastAsia="en-US" w:bidi="ar-SA"/>
        </w:rPr>
        <w:t>PSLRA</w:t>
      </w:r>
      <w:r>
        <w:rPr>
          <w:rFonts w:ascii="arial" w:eastAsia="arial" w:hAnsi="arial" w:cs="arial"/>
          <w:color w:val="000000"/>
          <w:sz w:val="20"/>
          <w:u w:val="single"/>
          <w:lang w:val="en-US" w:eastAsia="en-US" w:bidi="ar-SA"/>
        </w:rPr>
        <w:t xml:space="preserve"> an interpretation that allowed him to inquire into the reasons for discharge where the employer had the right not to provide or even have such reasons, the adjudicator adopted a reasoning process that was fundamentally inconsistent with the employment contract and, thus, fatally flawed. For this reason, the decision does not fall within the range of acceptable outcomes that are defensible in respect of the facts and the law</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In my view, the FIRB's decision making process was fundamentally flawed because it did not apply the statutory definition of normal farm practice and therefore was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The FIRB is entitled to great deference when interpreting its own statute. However, in this case it did not address the home statute when considering the standards mandated in the definition of normal farm practice. And it made the decision without any applicable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xml:space="preserve">  This case is not a circumstance where the FIRB considered all relevant factors including the defined term "normal farm practice" as required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rather, in this case, the FIRB ignored </w:t>
      </w:r>
      <w:r>
        <w:rPr>
          <w:rFonts w:ascii="arial" w:eastAsia="arial" w:hAnsi="arial" w:cs="arial"/>
          <w:i/>
          <w:color w:val="000000"/>
          <w:sz w:val="20"/>
          <w:lang w:val="en-US" w:eastAsia="en-US" w:bidi="ar-SA"/>
        </w:rPr>
        <w:t>FPPA</w:t>
      </w:r>
      <w:r>
        <w:rPr>
          <w:rFonts w:ascii="arial" w:eastAsia="arial" w:hAnsi="arial" w:cs="arial"/>
          <w:color w:val="000000"/>
          <w:sz w:val="20"/>
          <w:lang w:val="en-US" w:eastAsia="en-US" w:bidi="ar-SA"/>
        </w:rPr>
        <w:t xml:space="preserve"> mandate.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The FIRB adopted the provincial guidelines and ignored the statutory obligation to evaluate "accepted customs and standards" as established by similar farm businesses. It chose to apply an analysis that relies solely on the provincial government's views in a document designed to assist municipalities in regulating farming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FPPA</w:t>
      </w:r>
      <w:r>
        <w:rPr>
          <w:rFonts w:ascii="arial" w:eastAsia="arial" w:hAnsi="arial" w:cs="arial"/>
          <w:color w:val="000000"/>
          <w:sz w:val="20"/>
          <w:lang w:val="en-US" w:eastAsia="en-US" w:bidi="ar-SA"/>
        </w:rPr>
        <w:t>'s very purpose by its title alone is clear: protect farming and the right to farm. Accordingly, the normal farm practice definition cannot prefer provincial guidelines and zoning bylaws over "standards as established and followed by similar farm businesses under similar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xml:space="preserve">  In fact, on a plan textual reading, the </w:t>
      </w:r>
      <w:r>
        <w:rPr>
          <w:rFonts w:ascii="arial" w:eastAsia="arial" w:hAnsi="arial" w:cs="arial"/>
          <w:i/>
          <w:color w:val="000000"/>
          <w:sz w:val="20"/>
          <w:lang w:val="en-US" w:eastAsia="en-US" w:bidi="ar-SA"/>
        </w:rPr>
        <w:t>FPPA</w:t>
      </w:r>
      <w:r>
        <w:rPr>
          <w:rFonts w:ascii="arial" w:eastAsia="arial" w:hAnsi="arial" w:cs="arial"/>
          <w:color w:val="000000"/>
          <w:sz w:val="20"/>
          <w:lang w:val="en-US" w:eastAsia="en-US" w:bidi="ar-SA"/>
        </w:rPr>
        <w:t xml:space="preserve"> does not instruct the FIRB to consider provincial guidelines and zoning bylaws.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xml:space="preserve">  While I accept that provincial guidelines and zoning bylaws are acceptable considerations when assessing normal farm practice, neither provincial guidelines nor zoning bylaws on their own or together are sufficient to make a normal farm practice finding. The obligation to consider a wide range of factors was underscored in </w:t>
      </w:r>
      <w:r>
        <w:rPr>
          <w:rFonts w:ascii="arial" w:eastAsia="arial" w:hAnsi="arial" w:cs="arial"/>
          <w:i/>
          <w:color w:val="000000"/>
          <w:sz w:val="20"/>
          <w:lang w:val="en-US" w:eastAsia="en-US" w:bidi="ar-SA"/>
        </w:rPr>
        <w:t>Pyke</w:t>
      </w:r>
      <w:r>
        <w:rPr>
          <w:rFonts w:ascii="arial" w:eastAsia="arial" w:hAnsi="arial" w:cs="arial"/>
          <w:color w:val="000000"/>
          <w:sz w:val="20"/>
          <w:lang w:val="en-US" w:eastAsia="en-US" w:bidi="ar-SA"/>
        </w:rPr>
        <w:t xml:space="preserve"> at para. 71. Indeed, the FIRB must consider standards as established and followed by similar farm businesses under similar circumstances. It failed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xml:space="preserve">  The FIRB's departure from the factors that are a required consideration under </w:t>
      </w:r>
      <w:r>
        <w:rPr>
          <w:rFonts w:ascii="arial" w:eastAsia="arial" w:hAnsi="arial" w:cs="arial"/>
          <w:i/>
          <w:color w:val="000000"/>
          <w:sz w:val="20"/>
          <w:lang w:val="en-US" w:eastAsia="en-US" w:bidi="ar-SA"/>
        </w:rPr>
        <w:t>FPPA</w:t>
      </w:r>
      <w:r>
        <w:rPr>
          <w:rFonts w:ascii="arial" w:eastAsia="arial" w:hAnsi="arial" w:cs="arial"/>
          <w:color w:val="000000"/>
          <w:sz w:val="20"/>
          <w:lang w:val="en-US" w:eastAsia="en-US" w:bidi="ar-SA"/>
        </w:rPr>
        <w:t xml:space="preserve"> deprives the decision of the "justification" and "transparency" that are the underpinnings of a reasonable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As evident in reviewing the FIRB transcript, Mr. Withler said that certain BC townships do not have required setbacks. Mr. Withler also said that certain BC townships choose not to follow the provincial guidelines. And he was quite clear: not every BC farm has a 15m setback nor does is every BC farm required to have a 15m setback.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The legislature was clear when it defined the normal farm practice as a practice consistent with "proper and accepted customs and standards as established and followed by similar farm businesses under similar circumstances"; the FIRB was required to determine whether practices and by laws comport with those established practices.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When a municipal bylaw applies to a farm business, the FIRB is required to consider what a particular township has decided is an appropriate farm practice or not based on what similar farmers are doing in similar circumstances. While I have said the FIRB is not constrained by particular city or township's interpretation, the FIRB must make its normal farm practice determination by examining the broad context with specific emphasis on what farmers in similar farm businesses in similar circumstances are doing or what similar farms in similar areas are doing.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I recognize the Lieutenant Governor in Council may create regulations to further define normal farm practices. But, on the facts of this case, the Lieutenant Governor in Council has not created those regulations. In effect, what the FIRB has done is enforce the provincial guidelines as regulations, and in doing so, their decision was unreasonable because it failed to apply the statute.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The result cannot be considered within the range of reasonably possible outcomes.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Therefore, I cannot conclude that the FIRB conclusion was within the range of possible outcomes after considering the justification, transparency and intelligibility necessary to ensure that the appellant is able to understand how the statute was applied, how her submissions were considered and why she failed at the hearing.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 The FIRB applied its home statute in an unreasonable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The FIRB also applied a static definition of normal farm practice that changes to keep practices current over time to remain consistent with normal farm practices.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The BC legislature clearly defined "normal farm practice" to mean:</w:t>
      </w:r>
      <w:r>
        <w:rPr>
          <w:rFonts w:ascii="arial" w:eastAsia="arial" w:hAnsi="arial" w:cs="arial"/>
          <w:sz w:val="20"/>
          <w:lang w:val="en-US" w:eastAsia="en-US" w:bidi="ar-SA"/>
        </w:rPr>
        <w:cr/>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practice"</w:t>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"conducted by a farm business"</w:t>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 manner consistent with"</w:t>
      </w:r>
    </w:p>
    <w:p>
      <w:pPr>
        <w:numPr>
          <w:numId w:val="100"/>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"proper and </w:t>
      </w:r>
      <w:r>
        <w:rPr>
          <w:rFonts w:ascii="arial" w:eastAsia="arial" w:hAnsi="arial" w:cs="arial"/>
          <w:b/>
          <w:color w:val="000000"/>
          <w:sz w:val="20"/>
          <w:u w:val="single"/>
          <w:lang w:val="en-US" w:eastAsia="en-US" w:bidi="ar-SA"/>
        </w:rPr>
        <w:t>accepted</w:t>
      </w:r>
      <w:r>
        <w:rPr>
          <w:rFonts w:ascii="arial" w:eastAsia="arial" w:hAnsi="arial" w:cs="arial"/>
          <w:color w:val="000000"/>
          <w:sz w:val="20"/>
          <w:lang w:val="en-US" w:eastAsia="en-US" w:bidi="ar-SA"/>
        </w:rPr>
        <w:t>" "customs and standards"</w:t>
      </w:r>
    </w:p>
    <w:p>
      <w:pPr>
        <w:numPr>
          <w:numId w:val="10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w:t>
      </w:r>
      <w:r>
        <w:rPr>
          <w:rFonts w:ascii="arial" w:eastAsia="arial" w:hAnsi="arial" w:cs="arial"/>
          <w:b/>
          <w:color w:val="000000"/>
          <w:sz w:val="20"/>
          <w:u w:val="single"/>
          <w:lang w:val="en-US" w:eastAsia="en-US" w:bidi="ar-SA"/>
        </w:rPr>
        <w:t>established</w:t>
      </w:r>
      <w:r>
        <w:rPr>
          <w:rFonts w:ascii="arial" w:eastAsia="arial" w:hAnsi="arial" w:cs="arial"/>
          <w:color w:val="000000"/>
          <w:sz w:val="20"/>
          <w:lang w:val="en-US" w:eastAsia="en-US" w:bidi="ar-SA"/>
        </w:rPr>
        <w:t xml:space="preserve"> and </w:t>
      </w:r>
      <w:r>
        <w:rPr>
          <w:rFonts w:ascii="arial" w:eastAsia="arial" w:hAnsi="arial" w:cs="arial"/>
          <w:b/>
          <w:color w:val="000000"/>
          <w:sz w:val="20"/>
          <w:u w:val="single"/>
          <w:lang w:val="en-US" w:eastAsia="en-US" w:bidi="ar-SA"/>
        </w:rPr>
        <w:t>followed</w:t>
      </w:r>
      <w:r>
        <w:rPr>
          <w:rFonts w:ascii="arial" w:eastAsia="arial" w:hAnsi="arial" w:cs="arial"/>
          <w:color w:val="000000"/>
          <w:sz w:val="20"/>
          <w:lang w:val="en-US" w:eastAsia="en-US" w:bidi="ar-SA"/>
        </w:rPr>
        <w:t xml:space="preserve"> by similar farm businesses under similar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The FIRB accepted that other horse farms in the area with confined livestock areas along property lines may exist, but it concluded that farmers are expected to update and change their practices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xml:space="preserve">  This assertion, however, is clearly against the </w:t>
      </w:r>
      <w:r>
        <w:rPr>
          <w:rFonts w:ascii="arial" w:eastAsia="arial" w:hAnsi="arial" w:cs="arial"/>
          <w:i/>
          <w:color w:val="000000"/>
          <w:sz w:val="20"/>
          <w:lang w:val="en-US" w:eastAsia="en-US" w:bidi="ar-SA"/>
        </w:rPr>
        <w:t>FPPA</w:t>
      </w:r>
      <w:r>
        <w:rPr>
          <w:rFonts w:ascii="arial" w:eastAsia="arial" w:hAnsi="arial" w:cs="arial"/>
          <w:color w:val="000000"/>
          <w:sz w:val="20"/>
          <w:lang w:val="en-US" w:eastAsia="en-US" w:bidi="ar-SA"/>
        </w:rPr>
        <w:t xml:space="preserve"> definition. The </w:t>
      </w:r>
      <w:r>
        <w:rPr>
          <w:rFonts w:ascii="arial" w:eastAsia="arial" w:hAnsi="arial" w:cs="arial"/>
          <w:i/>
          <w:color w:val="000000"/>
          <w:sz w:val="20"/>
          <w:lang w:val="en-US" w:eastAsia="en-US" w:bidi="ar-SA"/>
        </w:rPr>
        <w:t>FPPA</w:t>
      </w:r>
      <w:r>
        <w:rPr>
          <w:rFonts w:ascii="arial" w:eastAsia="arial" w:hAnsi="arial" w:cs="arial"/>
          <w:color w:val="000000"/>
          <w:sz w:val="20"/>
          <w:lang w:val="en-US" w:eastAsia="en-US" w:bidi="ar-SA"/>
        </w:rPr>
        <w:t xml:space="preserve"> unequivocally refers to </w:t>
      </w:r>
      <w:r>
        <w:rPr>
          <w:rFonts w:ascii="arial" w:eastAsia="arial" w:hAnsi="arial" w:cs="arial"/>
          <w:b/>
          <w:color w:val="000000"/>
          <w:sz w:val="20"/>
          <w:u w:val="single"/>
          <w:lang w:val="en-US" w:eastAsia="en-US" w:bidi="ar-SA"/>
        </w:rPr>
        <w:t>accepted</w:t>
      </w:r>
      <w:r>
        <w:rPr>
          <w:rFonts w:ascii="arial" w:eastAsia="arial" w:hAnsi="arial" w:cs="arial"/>
          <w:color w:val="000000"/>
          <w:sz w:val="20"/>
          <w:lang w:val="en-US" w:eastAsia="en-US" w:bidi="ar-SA"/>
        </w:rPr>
        <w:t xml:space="preserve"> customs and standards </w:t>
      </w:r>
      <w:r>
        <w:rPr>
          <w:rFonts w:ascii="arial" w:eastAsia="arial" w:hAnsi="arial" w:cs="arial"/>
          <w:b/>
          <w:color w:val="000000"/>
          <w:sz w:val="20"/>
          <w:u w:val="single"/>
          <w:lang w:val="en-US" w:eastAsia="en-US" w:bidi="ar-SA"/>
        </w:rPr>
        <w:t>as established</w:t>
      </w:r>
      <w:r>
        <w:rPr>
          <w:rFonts w:ascii="arial" w:eastAsia="arial" w:hAnsi="arial" w:cs="arial"/>
          <w:color w:val="000000"/>
          <w:sz w:val="20"/>
          <w:lang w:val="en-US" w:eastAsia="en-US" w:bidi="ar-SA"/>
        </w:rPr>
        <w:t xml:space="preserve"> and followed by similar farm businesses.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xml:space="preserve">  Clearly, the </w:t>
      </w:r>
      <w:r>
        <w:rPr>
          <w:rFonts w:ascii="arial" w:eastAsia="arial" w:hAnsi="arial" w:cs="arial"/>
          <w:i/>
          <w:color w:val="000000"/>
          <w:sz w:val="20"/>
          <w:lang w:val="en-US" w:eastAsia="en-US" w:bidi="ar-SA"/>
        </w:rPr>
        <w:t>FPPA</w:t>
      </w:r>
      <w:r>
        <w:rPr>
          <w:rFonts w:ascii="arial" w:eastAsia="arial" w:hAnsi="arial" w:cs="arial"/>
          <w:color w:val="000000"/>
          <w:sz w:val="20"/>
          <w:lang w:val="en-US" w:eastAsia="en-US" w:bidi="ar-SA"/>
        </w:rPr>
        <w:t xml:space="preserve"> definition used past tense language: it does not permit assessing normal farm practice with a prospective lens.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xml:space="preserve">  The evaluative function described in </w:t>
      </w:r>
      <w:r>
        <w:rPr>
          <w:rFonts w:ascii="arial" w:eastAsia="arial" w:hAnsi="arial" w:cs="arial"/>
          <w:i/>
          <w:color w:val="000000"/>
          <w:sz w:val="20"/>
          <w:lang w:val="en-US" w:eastAsia="en-US" w:bidi="ar-SA"/>
        </w:rPr>
        <w:t>Pyke</w:t>
      </w:r>
      <w:r>
        <w:rPr>
          <w:rFonts w:ascii="arial" w:eastAsia="arial" w:hAnsi="arial" w:cs="arial"/>
          <w:color w:val="000000"/>
          <w:sz w:val="20"/>
          <w:lang w:val="en-US" w:eastAsia="en-US" w:bidi="ar-SA"/>
        </w:rPr>
        <w:t xml:space="preserve"> turned on the words "proper and acceptable".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xml:space="preserve">  In Ontario, the legislation invited the board to consider what is acceptable in </w:t>
      </w:r>
      <w:r>
        <w:rPr>
          <w:rFonts w:ascii="arial" w:eastAsia="arial" w:hAnsi="arial" w:cs="arial"/>
          <w:color w:val="000000"/>
          <w:sz w:val="20"/>
          <w:u w:val="single"/>
          <w:lang w:val="en-US" w:eastAsia="en-US" w:bidi="ar-SA"/>
        </w:rPr>
        <w:t>all of the circumstances</w:t>
      </w:r>
      <w:r>
        <w:rPr>
          <w:rFonts w:ascii="arial" w:eastAsia="arial" w:hAnsi="arial" w:cs="arial"/>
          <w:color w:val="000000"/>
          <w:sz w:val="20"/>
          <w:lang w:val="en-US" w:eastAsia="en-US" w:bidi="ar-SA"/>
        </w:rPr>
        <w:t xml:space="preserve"> because it does not use past tense language. The Ontario board was allowed to conduct a broad inquiry in examining the qualitative or evaluative analysis of the balance between property uses. I conclude that the BC legislation clearly uses more restrictive language, and the FIRB must assess customs and standards against what is proper and accepted as established and followed by other similar farm businesses rather than what might be acceptable.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This analysis may include considering municipal bylaws and ministry guidelines, but, similar to my conclusion above, it could not have been the legislature's intention to permit decisions to be made without regard to accepted and established customs and standards followed by similar farm businesses.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xml:space="preserve">  As the BC Court of Appeal said in </w:t>
      </w:r>
      <w:r>
        <w:rPr>
          <w:rFonts w:ascii="arial" w:eastAsia="arial" w:hAnsi="arial" w:cs="arial"/>
          <w:i/>
          <w:color w:val="000000"/>
          <w:sz w:val="20"/>
          <w:lang w:val="en-US" w:eastAsia="en-US" w:bidi="ar-SA"/>
        </w:rPr>
        <w:t>Western Forest Products Inc. v. Hayes Forest Services Ltd</w:t>
      </w:r>
      <w:r>
        <w:rPr>
          <w:rFonts w:ascii="arial" w:eastAsia="arial" w:hAnsi="arial" w:cs="arial"/>
          <w:color w:val="000000"/>
          <w:sz w:val="20"/>
          <w:lang w:val="en-US" w:eastAsia="en-US" w:bidi="ar-SA"/>
        </w:rPr>
        <w:t xml:space="preserve">., </w:t>
      </w:r>
      <w:hyperlink r:id="rId940" w:history="1">
        <w:r>
          <w:rPr>
            <w:rFonts w:ascii="arial" w:eastAsia="arial" w:hAnsi="arial" w:cs="arial"/>
            <w:i/>
            <w:color w:val="0077CC"/>
            <w:sz w:val="20"/>
            <w:u w:val="single"/>
            <w:shd w:val="clear" w:color="auto" w:fill="FFFFFF"/>
            <w:lang w:val="en-US" w:eastAsia="en-US" w:bidi="ar-SA"/>
          </w:rPr>
          <w:t>2009 BCCA 316</w:t>
        </w:r>
      </w:hyperlink>
      <w:r>
        <w:rPr>
          <w:rFonts w:ascii="arial" w:eastAsia="arial" w:hAnsi="arial" w:cs="arial"/>
          <w:color w:val="000000"/>
          <w:sz w:val="20"/>
          <w:lang w:val="en-US" w:eastAsia="en-US" w:bidi="ar-SA"/>
        </w:rPr>
        <w:t xml:space="preserve"> at para. 59 regarding a judicial review of an arbitrator's ruling: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am persuaded the arbitrator's reasoning process was so flawed as to take his interpretation of s. 33.22(h) of the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 xml:space="preserve"> beyond the range of reasonableness. Although he stated the test for fairness correctly at para. 49 of his reasons for the award, </w:t>
      </w:r>
      <w:r>
        <w:rPr>
          <w:rFonts w:ascii="arial" w:eastAsia="arial" w:hAnsi="arial" w:cs="arial"/>
          <w:color w:val="000000"/>
          <w:sz w:val="20"/>
          <w:u w:val="single"/>
          <w:lang w:val="en-US" w:eastAsia="en-US" w:bidi="ar-SA"/>
        </w:rPr>
        <w:t>he then followed a path of reasoning that led him to import a criterion not included in the provision he was applying, thereby unreasonably taking it upon himself to depart from the legislated factors to be considered</w:t>
      </w:r>
      <w:r>
        <w:rPr>
          <w:rFonts w:ascii="arial" w:eastAsia="arial" w:hAnsi="arial" w:cs="arial"/>
          <w:color w:val="000000"/>
          <w:sz w:val="20"/>
          <w:lang w:val="en-US" w:eastAsia="en-US" w:bidi="ar-SA"/>
        </w:rPr>
        <w:t xml:space="preserve"> when resolving a fairness objection under the </w:t>
      </w:r>
      <w:r>
        <w:rPr>
          <w:rFonts w:ascii="arial" w:eastAsia="arial" w:hAnsi="arial" w:cs="arial"/>
          <w:i/>
          <w:color w:val="000000"/>
          <w:sz w:val="20"/>
          <w:lang w:val="en-US" w:eastAsia="en-US" w:bidi="ar-SA"/>
        </w:rPr>
        <w:t>Regulation.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The Court of Appeal was clear: if a decision maker follows a path of reasoning without regard to an important feature of the empowering statute, the decision is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FPPA</w:t>
      </w:r>
      <w:r>
        <w:rPr>
          <w:rFonts w:ascii="arial" w:eastAsia="arial" w:hAnsi="arial" w:cs="arial"/>
          <w:color w:val="000000"/>
          <w:sz w:val="20"/>
          <w:lang w:val="en-US" w:eastAsia="en-US" w:bidi="ar-SA"/>
        </w:rPr>
        <w:t xml:space="preserve"> confirms that the FIRB was to consider past and present customs. It cannot subject farmers to future changes in practices - anticipated or otherwise - that were not "</w:t>
      </w:r>
      <w:r>
        <w:rPr>
          <w:rFonts w:ascii="arial" w:eastAsia="arial" w:hAnsi="arial" w:cs="arial"/>
          <w:b/>
          <w:color w:val="000000"/>
          <w:sz w:val="20"/>
          <w:u w:val="single"/>
          <w:lang w:val="en-US" w:eastAsia="en-US" w:bidi="ar-SA"/>
        </w:rPr>
        <w:t>established and followed</w:t>
      </w:r>
      <w:r>
        <w:rPr>
          <w:rFonts w:ascii="arial" w:eastAsia="arial" w:hAnsi="arial" w:cs="arial"/>
          <w:color w:val="000000"/>
          <w:sz w:val="20"/>
          <w:lang w:val="en-US" w:eastAsia="en-US" w:bidi="ar-SA"/>
        </w:rPr>
        <w:t>" at the time of the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In this case, the FIRB decision did not apply past or present customs, and it subjected the appellant to a standard of government mandated norms at the time of the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xml:space="preserve">  I observe that s. 12(2)(b) of the </w:t>
      </w:r>
      <w:r>
        <w:rPr>
          <w:rFonts w:ascii="arial" w:eastAsia="arial" w:hAnsi="arial" w:cs="arial"/>
          <w:i/>
          <w:color w:val="000000"/>
          <w:sz w:val="20"/>
          <w:lang w:val="en-US" w:eastAsia="en-US" w:bidi="ar-SA"/>
        </w:rPr>
        <w:t>FPPA</w:t>
      </w:r>
      <w:r>
        <w:rPr>
          <w:rFonts w:ascii="arial" w:eastAsia="arial" w:hAnsi="arial" w:cs="arial"/>
          <w:color w:val="000000"/>
          <w:sz w:val="20"/>
          <w:lang w:val="en-US" w:eastAsia="en-US" w:bidi="ar-SA"/>
        </w:rPr>
        <w:t xml:space="preserve"> empowers the Lieutenant Governor in Council to make regulations setting standards for the purpose of the definition of "normal farm practice"; British Columbia has no regulations the defining those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xml:space="preserve">  As the Supreme Court of Canada said in </w:t>
      </w:r>
      <w:r>
        <w:rPr>
          <w:rFonts w:ascii="arial" w:eastAsia="arial" w:hAnsi="arial" w:cs="arial"/>
          <w:i/>
          <w:color w:val="000000"/>
          <w:sz w:val="20"/>
          <w:lang w:val="en-US" w:eastAsia="en-US" w:bidi="ar-SA"/>
        </w:rPr>
        <w:t>Dunsmuir</w:t>
      </w:r>
      <w:r>
        <w:rPr>
          <w:rFonts w:ascii="arial" w:eastAsia="arial" w:hAnsi="arial" w:cs="arial"/>
          <w:color w:val="000000"/>
          <w:sz w:val="20"/>
          <w:lang w:val="en-US" w:eastAsia="en-US" w:bidi="ar-SA"/>
        </w:rPr>
        <w:t xml:space="preserve"> at para. 48: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Reasonableness is a deferential standard animated by the principle that underlies the development of the two previous standards of reasonableness: certain questions that come before administrative tribunals do not lend themselves to one specific, particular result. Instead, they may give rise to a number of possible, reasonable conclusions. Tribunals have a margin of appreciation within the range of acceptable and rational solutions. A court conducting a review for reasonableness inquires into the qualities that make a decision reasonable, referring both to the process of articulating the reasons and to outcomes. In judicial review, reasonableness is concerned mostly with the existence of justification, transparency and intelligibility within the decision-making process. But it is also concerned with whether the decision falls within a range of possible, acceptable outcomes which are defensible in respect of the facts and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I do not find the FIRB determination to be an acceptable outcome based on the facts and the law in part because the FIRB did follow the statutory direction when considering whether the appellant's practice was not a normal farm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The respondent, FIRB, argued that it is not the court's role to disturb the FIRB finding based on arguments about the sufficiency of evidence. Rather, the question for the court "is whether any available evidence is capable of supporting the express finding of fact made by the Panel on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I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But as I have said, I grant the appeal because the FIRB made its finding without any reference to statutorily required evidence; so it was not capable of making an express finding of fact that livestock area B was not a normal farm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xml:space="preserve">  As the Supreme Court of Canada noted and as the respondent FIRB noted, the reasons and the outcome must be read together: </w:t>
      </w:r>
      <w:r>
        <w:rPr>
          <w:rFonts w:ascii="arial" w:eastAsia="arial" w:hAnsi="arial" w:cs="arial"/>
          <w:i/>
          <w:color w:val="000000"/>
          <w:sz w:val="20"/>
          <w:lang w:val="en-US" w:eastAsia="en-US" w:bidi="ar-SA"/>
        </w:rPr>
        <w:t>Newfoundland and Labrador Nurses' Union v. Newfoundland and Labrador (Treasury Board)</w:t>
      </w:r>
      <w:r>
        <w:rPr>
          <w:rFonts w:ascii="arial" w:eastAsia="arial" w:hAnsi="arial" w:cs="arial"/>
          <w:color w:val="000000"/>
          <w:sz w:val="20"/>
          <w:lang w:val="en-US" w:eastAsia="en-US" w:bidi="ar-SA"/>
        </w:rPr>
        <w:t xml:space="preserve">, </w:t>
      </w:r>
      <w:hyperlink r:id="rId925" w:history="1">
        <w:r>
          <w:rPr>
            <w:rFonts w:ascii="arial" w:eastAsia="arial" w:hAnsi="arial" w:cs="arial"/>
            <w:i/>
            <w:color w:val="0077CC"/>
            <w:sz w:val="20"/>
            <w:u w:val="single"/>
            <w:shd w:val="clear" w:color="auto" w:fill="FFFFFF"/>
            <w:lang w:val="en-US" w:eastAsia="en-US" w:bidi="ar-SA"/>
          </w:rPr>
          <w:t>2011 SCC 62</w:t>
        </w:r>
      </w:hyperlink>
      <w:r>
        <w:rPr>
          <w:rFonts w:ascii="arial" w:eastAsia="arial" w:hAnsi="arial" w:cs="arial"/>
          <w:color w:val="000000"/>
          <w:sz w:val="20"/>
          <w:lang w:val="en-US" w:eastAsia="en-US" w:bidi="ar-SA"/>
        </w:rPr>
        <w:t xml:space="preserve"> at paras. 14-15: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Read as a whole, I do not see </w:t>
            </w:r>
            <w:r>
              <w:rPr>
                <w:rFonts w:ascii="arial" w:eastAsia="arial" w:hAnsi="arial" w:cs="arial"/>
                <w:i/>
                <w:color w:val="000000"/>
                <w:sz w:val="18"/>
                <w:lang w:val="en-US" w:eastAsia="en-US" w:bidi="ar-SA"/>
              </w:rPr>
              <w:t>Dunsmuir</w:t>
            </w:r>
            <w:r>
              <w:rPr>
                <w:rFonts w:ascii="arial" w:eastAsia="arial" w:hAnsi="arial" w:cs="arial"/>
                <w:color w:val="000000"/>
                <w:sz w:val="18"/>
                <w:lang w:val="en-US" w:eastAsia="en-US" w:bidi="ar-SA"/>
              </w:rPr>
              <w:t xml:space="preserve"> as standing for the proposition that the "adequacy" of reasons is a stand-alone basis for quashing a decision, or as advocating that a reviewing court undertake two discrete analyses -- one for the reasons and a separate one for the result (Donald J. M. Brown and John M. Evans, </w:t>
            </w:r>
            <w:r>
              <w:rPr>
                <w:rFonts w:ascii="arial" w:eastAsia="arial" w:hAnsi="arial" w:cs="arial"/>
                <w:i/>
                <w:color w:val="000000"/>
                <w:sz w:val="18"/>
                <w:lang w:val="en-US" w:eastAsia="en-US" w:bidi="ar-SA"/>
              </w:rPr>
              <w:t>Judicial Review of Administrative Action in Canada</w:t>
            </w:r>
            <w:r>
              <w:rPr>
                <w:rFonts w:ascii="arial" w:eastAsia="arial" w:hAnsi="arial" w:cs="arial"/>
                <w:color w:val="000000"/>
                <w:sz w:val="18"/>
                <w:lang w:val="en-US" w:eastAsia="en-US" w:bidi="ar-SA"/>
              </w:rPr>
              <w:t xml:space="preserve"> (loose-leaf), at ss. 12:5330 and 12:5510). It is a more organic exercise -- the reasons must be read together with the outcome and serve the purpose of showing whether the result falls within a range of possible outcomes. This, it seems to me, is what the Court was saying in </w:t>
            </w:r>
            <w:r>
              <w:rPr>
                <w:rFonts w:ascii="arial" w:eastAsia="arial" w:hAnsi="arial" w:cs="arial"/>
                <w:i/>
                <w:color w:val="000000"/>
                <w:sz w:val="18"/>
                <w:lang w:val="en-US" w:eastAsia="en-US" w:bidi="ar-SA"/>
              </w:rPr>
              <w:t>Dunsmuir</w:t>
            </w:r>
            <w:r>
              <w:rPr>
                <w:rFonts w:ascii="arial" w:eastAsia="arial" w:hAnsi="arial" w:cs="arial"/>
                <w:color w:val="000000"/>
                <w:sz w:val="18"/>
                <w:lang w:val="en-US" w:eastAsia="en-US" w:bidi="ar-SA"/>
              </w:rPr>
              <w:t xml:space="preserve"> when it told reviewing courts to look at "the qualities that make a decision reasonable, referring both to the process of articulating the reasons and to outcomes" (para. 47).</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assessing whether the decision is reasonable in light of the outcome and the reasons, courts must show "respect for the decision-making process of adjudicative bodies with regard to both the facts and the law" (</w:t>
            </w:r>
            <w:r>
              <w:rPr>
                <w:rFonts w:ascii="arial" w:eastAsia="arial" w:hAnsi="arial" w:cs="arial"/>
                <w:i/>
                <w:color w:val="000000"/>
                <w:sz w:val="18"/>
                <w:lang w:val="en-US" w:eastAsia="en-US" w:bidi="ar-SA"/>
              </w:rPr>
              <w:t>Dunsmuir</w:t>
            </w:r>
            <w:r>
              <w:rPr>
                <w:rFonts w:ascii="arial" w:eastAsia="arial" w:hAnsi="arial" w:cs="arial"/>
                <w:color w:val="000000"/>
                <w:sz w:val="18"/>
                <w:lang w:val="en-US" w:eastAsia="en-US" w:bidi="ar-SA"/>
              </w:rPr>
              <w:t>, at para. 48). This means that courts should not substitute their own reasons, but they may, if they find it necessary, look to the record for the purpose of assessing the reasonableness of the outcome.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Upon reading the reasons and evaluating the outcome - particularly, that the FIRB applied its home statute in an unreasonable manner - I do not find the final determination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I would direct that the order be set aside and the complaint remitted to the FIRB.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The parties may apply for directions on the use of the current record if there is to be a reconsideration of the questions before the FIRB.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T.C. ARMSTRONG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9" style="position:absolute;z-index:2518149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41"/>
          <w:headerReference w:type="default" r:id="rId942"/>
          <w:footerReference w:type="even" r:id="rId943"/>
          <w:footerReference w:type="default" r:id="rId944"/>
          <w:headerReference w:type="first" r:id="rId945"/>
          <w:footerReference w:type="first" r:id="rId94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947" w:history="1">
        <w:r>
          <w:rPr>
            <w:rFonts w:ascii="arial" w:eastAsia="arial" w:hAnsi="arial" w:cs="arial"/>
            <w:b/>
            <w:bCs/>
            <w:i/>
            <w:color w:val="0077CC"/>
            <w:kern w:val="32"/>
            <w:sz w:val="28"/>
            <w:szCs w:val="32"/>
            <w:u w:val="single"/>
            <w:shd w:val="clear" w:color="auto" w:fill="FFFFFF"/>
            <w:lang w:val="en-US" w:eastAsia="en-US" w:bidi="ar-SA"/>
          </w:rPr>
          <w:t>Lord v. Canada (Attorney General), [2001] B.C.J. No. 205</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Chilliwack,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Allan J.</w:t>
      </w:r>
    </w:p>
    <w:p>
      <w:pPr>
        <w:spacing w:before="120" w:line="260" w:lineRule="atLeast"/>
        <w:jc w:val="center"/>
        <w:rPr>
          <w:lang w:val="en-US" w:eastAsia="en-US" w:bidi="ar-SA"/>
        </w:rPr>
      </w:pPr>
      <w:r>
        <w:rPr>
          <w:rFonts w:ascii="arial" w:eastAsia="arial" w:hAnsi="arial" w:cs="arial"/>
          <w:color w:val="000000"/>
          <w:sz w:val="20"/>
          <w:lang w:val="en-US" w:eastAsia="en-US" w:bidi="ar-SA"/>
        </w:rPr>
        <w:t>Heard: January 29, 2001.</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February 5, 2001.</w:t>
      </w:r>
    </w:p>
    <w:p>
      <w:pPr>
        <w:spacing w:before="120" w:line="260" w:lineRule="atLeast"/>
        <w:jc w:val="center"/>
        <w:rPr>
          <w:lang w:val="en-US" w:eastAsia="en-US" w:bidi="ar-SA"/>
        </w:rPr>
      </w:pPr>
      <w:r>
        <w:rPr>
          <w:rFonts w:ascii="arial" w:eastAsia="arial" w:hAnsi="arial" w:cs="arial"/>
          <w:color w:val="000000"/>
          <w:sz w:val="20"/>
          <w:lang w:val="en-US" w:eastAsia="en-US" w:bidi="ar-SA"/>
        </w:rPr>
        <w:t>Chilliwack Registry No. S0010199</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[2001] B.C.J. No. 205</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2001 BCSC 212</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102 A.C.W.S. (3d) 998</w:t>
      </w:r>
    </w:p>
    <w:p>
      <w:pPr>
        <w:spacing w:before="120" w:line="260" w:lineRule="atLeast"/>
        <w:rPr>
          <w:lang w:val="en-US" w:eastAsia="en-US" w:bidi="ar-SA"/>
        </w:rPr>
      </w:pPr>
      <w:r>
        <w:rPr>
          <w:rFonts w:ascii="arial" w:eastAsia="arial" w:hAnsi="arial" w:cs="arial"/>
          <w:color w:val="000000"/>
          <w:sz w:val="20"/>
          <w:lang w:val="en-US" w:eastAsia="en-US" w:bidi="ar-SA"/>
        </w:rPr>
        <w:t>Between David William Lord and Lorraine Elouise Lord, plaintiffs, and The Attorney General of Canada as representative of the Queen, the Correctional Service of Canada, Officer B. Alcock, SCS, Matsqui, Her Majesty the Queen in Right of the Province of British Columbia, the Attorney General of British Columbia, the City of Abbotsford, the Abbotsford Police Department, Duty Sergeant, day shift, name unknown at this time,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(35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80" style="position:absolute;z-index:251706368"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33" w:name="Keywords_1"/>
      <w:bookmarkEnd w:id="233"/>
      <w:r>
        <w:rPr>
          <w:rFonts w:ascii="arial" w:eastAsia="arial" w:hAnsi="arial" w:cs="arial"/>
          <w:b/>
          <w:color w:val="000000"/>
          <w:sz w:val="20"/>
          <w:lang w:val="en-US" w:eastAsia="en-US" w:bidi="ar-SA"/>
        </w:rPr>
        <w:t>Police — Powers — Arrest and detention — Actions against police — Actions against police board or municipality for actions by police officer — For false arrest — Defence of reasonable and probable grounds — For false imprisonment — Defence of act done in good faith.</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34" w:name="Case Summary_2"/>
            <w:bookmarkEnd w:id="234"/>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Application by the City of Abbotsford and a police officer, Herder, for an order dismissing the action against them under Rule 18A. The plaintiff, Lord, brought an action against the City and Herder as well as other defendants for damages for false arrest and imprisonment. Lord's son was in prison serving a life sentence for murder. During a visit to his son, Lord was asked to leave the institution by correctional staff, which he refused to do. He was physically removed and charged with trespass. On his conviction, he was placed on probation and was prohibited from attending at any federal institution for one year. The term of prohibition was subsequently shortened but the police were not informed of this change. When Lord attempted to visit his son, he was arrested for breach of probation. He was released when the officers learned of the amended probation order. </w:t>
            </w:r>
            <w:r>
              <w:rPr>
                <w:lang w:val="en-US" w:eastAsia="en-US" w:bidi="ar-SA"/>
              </w:rPr>
              <w:cr/>
            </w:r>
          </w:p>
          <w:p>
            <w:pPr>
              <w:spacing w:before="120" w:line="260" w:lineRule="atLeast"/>
              <w:ind w:left="240"/>
              <w:jc w:val="both"/>
              <w:rPr>
                <w:lang w:val="en-US" w:eastAsia="en-US" w:bidi="ar-SA"/>
              </w:rPr>
            </w:pPr>
            <w:bookmarkStart w:id="235" w:name="Holdings of Court_1"/>
            <w:bookmarkEnd w:id="235"/>
            <w:r>
              <w:rPr>
                <w:rFonts w:ascii="arial" w:eastAsia="arial" w:hAnsi="arial" w:cs="arial"/>
                <w:color w:val="000000"/>
                <w:sz w:val="20"/>
                <w:lang w:val="en-US" w:eastAsia="en-US" w:bidi="ar-SA"/>
              </w:rPr>
              <w:t>HELD: Application allowed.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police officers acted in good faith on what they considered to be a valid warrant. They believed that if he was released, he would continue to commit the offence. They were not liable for false arrest or imprisonment. </w:t>
            </w:r>
            <w:r>
              <w:rPr>
                <w:lang w:val="en-US" w:eastAsia="en-US" w:bidi="ar-SA"/>
              </w:rPr>
              <w:cr/>
            </w:r>
          </w:p>
          <w:p>
            <w:pPr>
              <w:rPr>
                <w:lang w:val="en-US" w:eastAsia="en-US" w:bidi="ar-SA"/>
              </w:rPr>
            </w:pPr>
          </w:p>
        </w:tc>
      </w:tr>
    </w:tbl>
    <w:p>
      <w:pPr>
        <w:jc w:val="both"/>
        <w:rPr>
          <w:lang w:val="en-US" w:eastAsia="en-US" w:bidi="ar-SA"/>
        </w:rPr>
      </w:pPr>
      <w:bookmarkStart w:id="236" w:name="Legislation Cited_0"/>
      <w:bookmarkEnd w:id="236"/>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181" style="position:absolute;z-index:25175756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Constables Protection Act of England, 1750 (24 Geo. 2, c. 44).</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Corrections and Conditional Release Act, </w:t>
      </w:r>
      <w:hyperlink r:id="rId663" w:history="1">
        <w:r>
          <w:rPr>
            <w:rFonts w:ascii="arial" w:eastAsia="arial" w:hAnsi="arial" w:cs="arial"/>
            <w:i/>
            <w:color w:val="0077CC"/>
            <w:sz w:val="20"/>
            <w:u w:val="single"/>
            <w:shd w:val="clear" w:color="auto" w:fill="FFFFFF"/>
            <w:lang w:val="en-US" w:eastAsia="en-US" w:bidi="ar-SA"/>
          </w:rPr>
          <w:t>S.C. 1992, c. 20</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Criminal Code, ss. 25(2), 495(1)(b), 495(2)(b), 495(2)(d), 495(3), 733.1.</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Police Act, </w:t>
      </w:r>
      <w:hyperlink r:id="rId948" w:history="1">
        <w:r>
          <w:rPr>
            <w:rFonts w:ascii="arial" w:eastAsia="arial" w:hAnsi="arial" w:cs="arial"/>
            <w:i/>
            <w:color w:val="0077CC"/>
            <w:sz w:val="20"/>
            <w:u w:val="single"/>
            <w:shd w:val="clear" w:color="auto" w:fill="FFFFFF"/>
            <w:lang w:val="en-US" w:eastAsia="en-US" w:bidi="ar-SA"/>
          </w:rPr>
          <w:t>R.S.B.C. 1996, c. 367, s. 20</w:t>
        </w:r>
      </w:hyperlink>
      <w:r>
        <w:rPr>
          <w:rFonts w:ascii="arial" w:eastAsia="arial" w:hAnsi="arial" w:cs="arial"/>
          <w:color w:val="000000"/>
          <w:sz w:val="20"/>
          <w:lang w:val="en-US" w:eastAsia="en-US" w:bidi="ar-SA"/>
        </w:rPr>
        <w:t>.</w:t>
      </w:r>
      <w:r>
        <w:rPr>
          <w:lang w:val="en-US" w:eastAsia="en-US" w:bidi="ar-SA"/>
        </w:rPr>
        <w:cr/>
      </w:r>
    </w:p>
    <w:p>
      <w:pPr>
        <w:keepNext/>
        <w:spacing w:before="240" w:line="340" w:lineRule="atLeast"/>
        <w:rPr>
          <w:lang w:val="en-US" w:eastAsia="en-US" w:bidi="ar-SA"/>
        </w:rPr>
      </w:pPr>
      <w:bookmarkStart w:id="237" w:name="Counsel_45"/>
      <w:bookmarkEnd w:id="237"/>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82" style="position:absolute;z-index:25180774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Mrs. Lord, plaintiff, appeared in person for herself and Mr. Lord. S.J. Berezowskyj, for the defendants.</w:t>
      </w:r>
      <w:r>
        <w:rPr>
          <w:lang w:val="en-US" w:eastAsia="en-US" w:bidi="ar-SA"/>
        </w:rPr>
        <w:cr/>
      </w:r>
    </w:p>
    <w:p>
      <w:pPr>
        <w:spacing w:after="240"/>
        <w:rPr>
          <w:lang w:val="en-US" w:eastAsia="en-US" w:bidi="ar-SA"/>
        </w:rPr>
      </w:pPr>
      <w:bookmarkStart w:id="238" w:name="Judgment_45"/>
      <w:bookmarkEnd w:id="238"/>
      <w:r>
        <w:pict>
          <v:line id="_x0000_s1183" style="position:absolute;z-index:251815936"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39" w:name="ALLAN J._0"/>
            <w:bookmarkEnd w:id="239"/>
            <w:r>
              <w:rPr>
                <w:rFonts w:ascii="arial" w:eastAsia="arial" w:hAnsi="arial" w:cs="arial"/>
                <w:b/>
                <w:color w:val="000000"/>
                <w:sz w:val="30"/>
                <w:lang w:val="en-US" w:eastAsia="en-US" w:bidi="ar-SA"/>
              </w:rPr>
              <w:t>ALLAN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defendants, City of Abbotsford, "Abbotsford Police Department", and "Duty Sergeant, Day Shift, Name Unknown At This Time," apply for an order that the action against them be dismissed pursuant to Rule 18A. The Abbotsford Police Department ("APD") is not a properly named defendant as it is not a legal entity. However, pursuant to s. 20 of the Police Act, </w:t>
      </w:r>
      <w:r>
        <w:rPr>
          <w:rFonts w:ascii="arial" w:eastAsia="arial" w:hAnsi="arial" w:cs="arial"/>
          <w:i/>
          <w:color w:val="000000"/>
          <w:sz w:val="20"/>
          <w:lang w:val="en-US" w:eastAsia="en-US" w:bidi="ar-SA"/>
        </w:rPr>
        <w:t>R.S.B.C. 1996, c. 367</w:t>
      </w:r>
      <w:r>
        <w:rPr>
          <w:rFonts w:ascii="arial" w:eastAsia="arial" w:hAnsi="arial" w:cs="arial"/>
          <w:color w:val="000000"/>
          <w:sz w:val="20"/>
          <w:lang w:val="en-US" w:eastAsia="en-US" w:bidi="ar-SA"/>
        </w:rPr>
        <w:t>, a municipality is jointly and severally liable for any tort committed by any of its police officers. Sergeant Herder is the "Duty Sergeant, Day Shift, Name Unknown at This Time." Accordingly I will refer to the City of Abbotsford and Sgt. Herder as "the Abbotsford Defendants."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David Lord, claims damages for false arrest and false imprisonment arising from an incident that occurred on November 11, 1998. Elouise Lord claims damages for nervous shock resulting from her husband's arrest and imprisonment.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Background: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June 1992, the plaintiffs' son, Derik Lord, then 19 years old, was convicted of two counts of first degree murder and sentenced to life imprisonment without eligibility for parole for 10 years. After his incarceration, his parents commenced regular visits. Mr. Lord's relationship with the correctional staff has apparently been fraught with tension and hostility from the start.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May 27, 1997, on a family visit to his son at Kent Institution, Mr. Lord refused to obey an order of the correctional staff, and was ordered to leave the Institution. He was physically removed from the grounds and then charged by the Crown with trespass.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On March 3, 1998, Judge Hoy convicted Mr. Lord of Trespassing at a Penitentiary, an offence under the Corrections and Conditional Release Act, </w:t>
      </w:r>
      <w:hyperlink r:id="rId663" w:history="1">
        <w:r>
          <w:rPr>
            <w:rFonts w:ascii="arial" w:eastAsia="arial" w:hAnsi="arial" w:cs="arial"/>
            <w:i/>
            <w:color w:val="0077CC"/>
            <w:sz w:val="20"/>
            <w:u w:val="single"/>
            <w:shd w:val="clear" w:color="auto" w:fill="FFFFFF"/>
            <w:lang w:val="en-US" w:eastAsia="en-US" w:bidi="ar-SA"/>
          </w:rPr>
          <w:t>S.C. 1992, c. 20</w:t>
        </w:r>
      </w:hyperlink>
      <w:r>
        <w:rPr>
          <w:rFonts w:ascii="arial" w:eastAsia="arial" w:hAnsi="arial" w:cs="arial"/>
          <w:color w:val="000000"/>
          <w:sz w:val="20"/>
          <w:lang w:val="en-US" w:eastAsia="en-US" w:bidi="ar-SA"/>
        </w:rPr>
        <w:t>. Mr. Lord was fined $500 and placed on probation. As a term of his probation order, he was "prohibited from attending or entering any Federal institution Prison Penitentiary in Canada" for a one-year period.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Probation Order, which indicated an expiry date of March 2, 1999, was entered into the Canada Police Information Centre ("CPIC") by the Agassiz Detachment of the RCMP on March 5, 1998.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Lord appealed his sentence and, on October 1, 1998, then Chief Justice Williams reduced his term of probation to September 3, 1998. The CPIC entry was not updated to reflect this fact.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Lord began visiting his son again in Matsqui. Apparently no serious problems arose until November 11, 1998. On that day, at 1:26 p.m., a Corrections Officer at Matsqui telephoned the APD to advise that Mr. Lord's visiting privileges were suspended, he was attempting to enter the Institution to visit his son, and he was refusing to leave.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Cst. Courtenay was dispatched to the Institution. He undertook a CPIC search that disclosed the original, unrevised, probation order. On the basis of that information, he arrested Mr. Lord for breach of probation and transported him to the APD. Mr. Lord advised Cst. Courtenay of the Order of Williams C.J.S.C., but was unable to produce a copy. At 2:13 p.m. and 3:35 p.m., Cst. Courtenay made two inquiries to the Agassiz RCMP to inquire about the status of the Probation Order. He was told that the Probation Order was still in effect and he received a copy by fax at 4:05 p.m.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At 3:30 p.m., Mrs. Lord attended the APD. She advised Sgt. Herder, who was the day shift Station Commander, that the Probation Order was no longer in force.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Sgt. Herder deposes that he told Mrs. Lord he would act on the Order of Williams C.J.S.C. if she produced a copy. He deposes that he was aware of the long history of difficulties between Mr. Lord and the prison authorities and he was concerned that if released, Mr. Lord would return and continue committing the offence of Trespass.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Mrs. Lord deposes that Sgt. Herder told her not to bring the papers proving the probation order had been changed to the APD that night because "there was no way he was getting out that night." She deposes that he told her to bring the papers to Court the next morning. Mrs. Lord says that she went home and waited for a telephone call from her husband (which he was able to make only by telling the officers he wished to call a lawyer). He suggested that she ask a friend to drive her to the APD with the papers and she did so.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Sgt. Davidson relieved Sgt. Herder as Station Commander at 5:30 p.m. He deposes that Sgt. Herder told him Mr. Lord had been arrested on a charge of Breach of Probation and that Mrs. Lord had told him she would return to the APD with a copy of the Court Order varying the Probation Order.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At 7:50 p.m., Mrs. Lord returned to the APD with a copy of the reasons for judgment of Williams C.J.S.C. Sgt. Davidson released Mr. Lord ten minutes later. He advised the Agassiz RCMP they should review the file and update the CPIC information.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Sgt. Thiessen, the officer in charge of the Records Section at the APD, deposes that records of Probation Orders are entered into CPIC, a computer database maintained by the RCMP in Ottawa. The information regarding convictions and probation orders is transmitted from the court registry to the appropriate local police agency. In this case, the Agassiz detachment of the RCMP were responsible for entering and updating the information into CPIC with respect to Mr. Lord's charge, conviction, and probation orders. As a matter of police practice, CPIC databases are relied upon by police officers as accurate sources of the status of warrants for arrest, probation orders, and the like. The APD played no role in entering any data concerning Mr. Lord into CPIC.</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Discussion: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Abbotsford Defendants concede that at the time of his arrest, Mr. Lord was not in breach of a probation order.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plaintiffs do not question the CPIC procedures described by Sgt. Thiessen. It is clear that either the Chilliwack Court Registry failed to advise the Agassiz RCMP of the Order of Williams C.J.S.C. or the RCMP failed to input that data. In either event, the Abbotsford Defendants are not responsible for that omission.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relevant law: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Section 495(1)(b) of the Criminal Code permits police officers to arrest persons without warrant where they are found committing an offence. Section 495(2)(b) and (d) together provide, inter alia, that a peace officer shall not arrest a person without warrant for a hybrid offence (that may be prosecuted by indictment or summarily) unless that officer believes that an arrest is necessary to prevent the continuation or repetition of an offence. Failure to comply with a probation order is a hybrid offence: s. 733.1. Cst. Courtenay, the arresting officer, has deposed that he believed that it was necessary to arrest Mr. Lord in the public interest because he believed Lord would continue to commit the offence. Section 495(3) provides that a police officer is deemed to be acting lawfully unless it is subsequently alleged and established that the police officer did not comply with the requirements of subsection 495(2).</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S. 25(2) of the Code provides: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Where a person is required or authorized by law to execute a process ..., that person... is, if that person acts in good faith, justified in executing the process ... notwithstanding that the process ... is defective or that it was issued ... without jurisdiction or in excess of jurisdiction.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For an arrest to be valid, the police officer must have reasonable and probable grounds for making the arrest: R. v. Storrey, </w:t>
      </w:r>
      <w:hyperlink r:id="rId949" w:history="1">
        <w:r>
          <w:rPr>
            <w:rFonts w:ascii="arial" w:eastAsia="arial" w:hAnsi="arial" w:cs="arial"/>
            <w:i/>
            <w:color w:val="0077CC"/>
            <w:sz w:val="20"/>
            <w:u w:val="single"/>
            <w:shd w:val="clear" w:color="auto" w:fill="FFFFFF"/>
            <w:lang w:val="en-US" w:eastAsia="en-US" w:bidi="ar-SA"/>
          </w:rPr>
          <w:t>[1990] 1 S.C.R. 241</w:t>
        </w:r>
      </w:hyperlink>
      <w:r>
        <w:rPr>
          <w:rFonts w:ascii="arial" w:eastAsia="arial" w:hAnsi="arial" w:cs="arial"/>
          <w:color w:val="000000"/>
          <w:sz w:val="20"/>
          <w:lang w:val="en-US" w:eastAsia="en-US" w:bidi="ar-SA"/>
        </w:rPr>
        <w:t>. Mr. Justice Cory, for the Court, stated at p. 250:</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It is not sufficient for the police officer to personally believe that he or she has reasonable and probable grounds to make an arrest. Rather, it must be objectively established that those reasonable and probable grounds did in fact exist. That is to say a reasonable person, standing in the shoes of the police officer, would have believed that reasonable and probable grounds existed to make the arrest.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fact that the arrest is based on an invalid court order or warrant does not render the arrest a false arrest: Davidson v. Vancouver (City) </w:t>
      </w:r>
      <w:hyperlink r:id="rId950" w:history="1">
        <w:r>
          <w:rPr>
            <w:rFonts w:ascii="arial" w:eastAsia="arial" w:hAnsi="arial" w:cs="arial"/>
            <w:i/>
            <w:color w:val="0077CC"/>
            <w:sz w:val="20"/>
            <w:u w:val="single"/>
            <w:shd w:val="clear" w:color="auto" w:fill="FFFFFF"/>
            <w:lang w:val="en-US" w:eastAsia="en-US" w:bidi="ar-SA"/>
          </w:rPr>
          <w:t>(1986), 4 B.C.L.R. (2d) 68</w:t>
        </w:r>
      </w:hyperlink>
      <w:r>
        <w:rPr>
          <w:rFonts w:ascii="arial" w:eastAsia="arial" w:hAnsi="arial" w:cs="arial"/>
          <w:color w:val="000000"/>
          <w:sz w:val="20"/>
          <w:lang w:val="en-US" w:eastAsia="en-US" w:bidi="ar-SA"/>
        </w:rPr>
        <w:t xml:space="preserve"> (S.C.). There, police officers apprehended a child in Vancouver pursuant to an ex parte order of the Supreme Court of Ontario that, although valid on its face, was unenforceable in B.C. In an action against the officers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Mr. Justice McKenzie held that the officers were protected by both s. 25(2) of the Code and the Constables Protection Act of England, 1750 (24 Geo. 2, c.44). The latter Act provides that no action shall be brought against a constable so long as he does not exceed the directions of an invalid warrant.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Wall v. British Columbia (28 July 1995), Vancouver Registry, C890773; </w:t>
      </w:r>
      <w:hyperlink r:id="rId951" w:history="1">
        <w:r>
          <w:rPr>
            <w:rFonts w:ascii="arial" w:eastAsia="arial" w:hAnsi="arial" w:cs="arial"/>
            <w:i/>
            <w:color w:val="0077CC"/>
            <w:sz w:val="20"/>
            <w:u w:val="single"/>
            <w:shd w:val="clear" w:color="auto" w:fill="FFFFFF"/>
            <w:lang w:val="en-US" w:eastAsia="en-US" w:bidi="ar-SA"/>
          </w:rPr>
          <w:t>[1995] B.C.J. No. 1697</w:t>
        </w:r>
      </w:hyperlink>
      <w:r>
        <w:rPr>
          <w:rFonts w:ascii="arial" w:eastAsia="arial" w:hAnsi="arial" w:cs="arial"/>
          <w:color w:val="000000"/>
          <w:sz w:val="20"/>
          <w:lang w:val="en-US" w:eastAsia="en-US" w:bidi="ar-SA"/>
        </w:rPr>
        <w:t xml:space="preserve"> (S.C.), the plaintiff was charged with an offence in Port Alberni. The matter was transferred to Richmond for disposition, and the plaintiff pled guilty and paid a fine. Erroneously, the case was not stayed in Port Alberni and a warrant issued for his arrest remained outstanding for four years. A police officer in Langley, relying upon a warrant that came up on CPIC, arrested the plaintiff. The plaintiff immediately advised the officer that there was a mistake. The officer asked for documentary proof and invited the plaintiff to phone his lawyer. Unfortunately, it was after 6:00 p.m. and the plaintiff did not think he could contact his counsel. The officer could not release him on the unendorsed warrant on a promise to appear and transported him to the APD. After a short time, he was released on his own recognizance.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Court concluded that the warrant, which was valid on its face, constituted reasonable and probable grounds for executing it by arresting the plaintiff. However, that fact did not constitute a complete defence to false arrest or imprisonment. The issue was what if any steps the officer had to take to determine if the plaintiff was telling them the truth. In this case those steps were reasonable and there was no unlawful arrest or false imprisonment. The plaintiff's action was dismissed.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Is this matter suitable for disposition by summary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Inspiration Mgmt. Ltd. v. McDermid St. Lawrence Ltd. </w:t>
      </w:r>
      <w:hyperlink r:id="rId835"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at 215 (C.A.), McEachern C.J.B.C., for the majority, set out the test for determining whether a summary trial is appropriate. Judgment will issue if the Court can find the necessary facts on the evidence to decide disputed questions of fact or law and if, in the circumstances, it would be just to decide the issues summarily.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Mrs. Lord submits that it is necessary to conduct examinations for discovery and discover the parties' documents in order to obtain access to the facts necessary to decide this lawsuit. She suggests that important relevant information can be obtained from the various police forces, the Court staff, the Attorney General of B.C. and the Attorney General of Canada. I advised Mrs. Lord that this application must focus solely on the issue of liability on the part of the Abbotsford Defendants.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No disputed issues arise with respect to the law relating to the potential liability of the Abbotsford Defendants.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Court may determine that a summary trial is inappropriate for the resolution of disputed issues for a number of reasons. Often issues of credibility, which cannot be resolved on affidavits alone, prevent the Court from finding the necessary facts. On the material before me, the only significant issue of contradictory evidence and credibility arises from the conflict between (a) Sgt. Herder's evidence that he encouraged Mrs. Lord to obtain a copy of the Probation Order or the Reasons for Judgment and return with them, and (b) Mrs. Lord's evidence that he told her not to bother because Mr. Lord would not be released that night in any event.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While not conclusive, Sgt. Herder's evidence is supported by Sgt. Davidson.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am not prepared to determine what Sgt. Herder said or did not say on the basis of the conflicting affidavit evidence. However, the fact is that as soon as the police officers received documentary proof that the probation order had been varied, Mr. Lord was released from custody.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On the undisputed facts, liability can and should be determined summarily. The cost of proceeding to full trial following a panoply of pre-trial procedures would be excessive for all the parties, including the plaintiffs. There is sufficient evidence to resolve the issues of fact and law and it would not be unjust to do so.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Mrs. Lord submits that if this matter is to be determined summarily, there should at least be an adjournment to permit the plaintiffs to amass further information through the discovery process. I do not agree that any further pre-trial procedures are necessary or would prove helpful to resolve the issues.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note that Mrs. Lord presented the Court with a very helpful Chambers Brief, setting out the applicable law regarding Rule 18A applications and a very capable argument.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Conclusion: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this case, the police officers acted in good faith on what they considered to be a valid warrant under the authority of CPIC. They listened to Mr. Lord's protests and made diligent inquiries to determine if the Probation Order was defective. They asked him to produce the documentation and they asked him if he wanted to speak to a lawyer. They believed that if they released him, he would return to the Institution and continue committing the offence. It was unfortunate that because the incident occurred on November 11, a statutory holiday, the Court Registry was closed. He was released when Mrs. Lord produced the necessary documentation to show that he was not in breach of the apparently valid Probation Order.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conclude that the Abbotsford Defendants are not liable for false arrest or false imprisonment. The action against them is dismissed.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Wall, supra, the Court, before ordering that each party bear their own costs, made the following observation at p. 22:</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This action was necessitated because the system made a mistake. While the R.C.M.P. officers acted in good faith and are not liable, it is understandable why a citizen of this country would be outraged and feel that the R.C.M.P. officers could have done more to avoid exposing an innocent person to such a humiliating process.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Those comments are apposite in this case and for similar reasons, I would order that each party bear their own costs.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ALLAN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8200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52"/>
          <w:headerReference w:type="default" r:id="rId953"/>
          <w:footerReference w:type="even" r:id="rId954"/>
          <w:footerReference w:type="default" r:id="rId955"/>
          <w:headerReference w:type="first" r:id="rId956"/>
          <w:footerReference w:type="first" r:id="rId95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58" w:history="1">
        <w:r>
          <w:rPr>
            <w:rFonts w:ascii="arial" w:eastAsia="arial" w:hAnsi="arial" w:cs="arial"/>
            <w:b/>
            <w:bCs/>
            <w:i/>
            <w:color w:val="0077CC"/>
            <w:kern w:val="32"/>
            <w:sz w:val="28"/>
            <w:szCs w:val="32"/>
            <w:u w:val="single"/>
            <w:shd w:val="clear" w:color="auto" w:fill="FFFFFF"/>
            <w:lang w:val="en-US" w:eastAsia="en-US" w:bidi="ar-SA"/>
          </w:rPr>
          <w:t>Mainland Sawmills Ltd. v. United Steel, Paper and Forestry, Rubber, Manufacturing, Energy, Allied Industrial and Service Workers International Union, Local 1-3567, [2008] B.C.J. No. 643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 Fisher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27 and March 28,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15,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S041160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643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454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66 C.C.E.L. (3d) 137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CarswellBC 725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54 C.P.C. (6th) 214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57 C.C.L.T. (3d) 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170 A.C.W.S. (3d) 31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Mainland Sawmills Ltd., Terminal Forest Products Ltd., Michael De Verteuil, Dave Stuart, Rampal Berar, Hari Gill, Joginder Jugpal, Mohinder Ladhar, Jamie Hadley, Ron Lee, Guiseppe Pinzarrone, Lee Young, Christopher Parnell, Devinder Ladhar, Rajinder Braich, James Lillyman, Efren Ocampo, Major Grewal, Donald Haldorson, Larry Anderson, Bruno Benetton, Bill Vidovic, Iqbal Parmar, Dave Raj Khauli, Sohan Mann, Sukhbir Moore, Aman Aujla, Dan Rosvold, Alessandro Pinzarrone, Karnail Shergill, Walter Girotto, Surjit Mor, Miguel Perez, Parmjit Birk, Dan Griffiths, Jhalman Uppal, Gorman Khayrah, Garry Filgate, Dean Jule, Dwayne Wiebe, Santokh Hiar, Kulwant Kang, Sundeep Gill, Juancho Ocampo, Inderbir Sahi, Joginder Sunner, Avtar Judge, Paul Larocque, Paul Talbot, Balbir Dusanj, Jim McDonald, Narendra Gounder, Jose Sandoval, Victor Alvarez, Gregory Stang, Harpal Berar, Satnam Aujla, Nachhatter Sanghera, Tennes Hamre, Kim Haberman, Surjit Kondola, Plaintiffs, and United Steel, Paper and Forestry, Rubber, Manufacturing, Energy, Allied Industrial and Service Workers International Union Local 1-3567; USW Local 1-3567 Society; Industrial Wood and Allied Workers of Canada (I.W.A. Canada), CLC, Local Union Number 1-3567; Satnam Singh ("Sonny") Ghag, Barry King, Earl Graham, Matyas Fath, Les Veale, Larry Kellum, Don White, Brian T. Harder, Len Yalowica, Cheryl Williams, Arnie Rancourt, Brian Lund, Sue Nielsen, Normal Lahti, Lloyd Hill, Grazio Odorisio, Keijo Lahti, Mohinder Gidda, Randolph Baust, Ralph Altenried, Keith Legg, Ken Fleming, Mike Lee, Jack Bigg, Patrick Goslawski, Roger Rudyk, Andy Elesko, Balder Hundal, Kulbir Thandi, Mike Kelley, Ray Hudon, Rick Randy, Jim Sim, Trevor Richardson, Philip Rose, Dale G. Johnson, Jim Ferris, Jeff Lavigne, Martin Cheremkora, Ron Pastor, Wayne Milligan; and John Doe for all other persons whose names are presently unknown to the Plaintiffs, Defendants, and Satnam Singh ("Sonny") Ghag and John Doe,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85" style="position:absolute;z-index:2517073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40" w:name="Keywords_2"/>
      <w:bookmarkEnd w:id="240"/>
      <w:r>
        <w:rPr>
          <w:rFonts w:ascii="arial" w:eastAsia="arial" w:hAnsi="arial" w:cs="arial"/>
          <w:b/>
          <w:color w:val="000000"/>
          <w:sz w:val="20"/>
          <w:lang w:val="en-US" w:eastAsia="en-US" w:bidi="ar-SA"/>
        </w:rPr>
        <w:t>Civil litigation — Civil procedure — Costs — Assessment or fixing of costs — Considerations — Application for directions regarding the assessment of costs following trial allowed — A global award of costs was appropriate given the commonality of interest — Personal plaintiffs were entitled to costs from the date of the settlement with corporate plaintiffs — The plaintiffs were entitled to costs of the unopposed interlocutory applications and of the contested applications in which they were successful — The plaintiffs were entitled to Scale B costs — The defendants were entitled to costs of interlocutory applications where costs were awarded to the defendants in any event of the cause, discontinuances against twenty-one defendants prior to trial, for two extra trial days due to plaintiffs' late amendment of pleadings and the costs related to the claims against the successful defendants.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41" w:name="Case Summary_3"/>
            <w:bookmarkEnd w:id="24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for directions regarding the assessment of costs following trial. Thirty-three of the fifty-nine personal plaintiffs were successful against all defendants except USW Society and Les Veale. The plaintiffs sought an order for costs in a global basis. The defendants argued that costs should be awarded proportionately to the number of successful plaintiffs. The personal plaintiffs argued that they were entitled to costs from the date the corporate plaintiffs settled. The plaintiffs sought costs for interlocutory motions. The defendants argued that the costs of the interlocutory motions were not costs in the cause. The plaintiffs sought costs at Scale C due to the more than ordinary difficulty of the matter. The defendants sought certain costs.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42" w:name="Holdings of Court_2"/>
            <w:bookmarkEnd w:id="242"/>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 global award of costs was appropriate given the commonality of interest among the large number of plaintiffs. The personal plaintiffs were entitled to costs from the date of the settlement with the corporate plaintiffs. Defendants should not be relieved of cost obligations. The plaintiffs were entitled to costs of the unopposed interlocutory applications and of the contested applications in which they were successful. The matter was hard-fought by the defendants, but not improperly so. The plaintiffs were entitled to Scale B costs. The defendants were entitled to costs of interlocutory applications where costs were awarded to the defendants in any event of the cause, discontinuances against twenty-one defendants prior to trial, for two extra trial days due to plaintiffs' late amendment of pleadings and the costs related to the claims against the successful defendants.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43" w:name="Legislation Cited_1"/>
      <w:bookmarkEnd w:id="24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86" style="position:absolute;z-index:2517585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B.C. Supreme Court Rules, B.C. Reg. 221/90, Rule 18A, Rule 37(22), Rule 37(31), Rule 57(12), Rule 57(13)</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44" w:name="Counsel_46"/>
      <w:bookmarkEnd w:id="24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7" style="position:absolute;z-index:251808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D.C. Harbottle and G. Corson.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Certain Defendants: S. Anderson and J. Mistry.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Satnam Singh Ghag: Not appearing.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45" w:name="Judgment_46"/>
      <w:bookmarkEnd w:id="245"/>
      <w:r>
        <w:pict>
          <v:line id="_x0000_s1188" style="position:absolute;z-index:25181696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 on Costs</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46" w:name="B. FISHER J."/>
            <w:bookmarkEnd w:id="246"/>
            <w:r>
              <w:rPr>
                <w:rFonts w:ascii="arial" w:eastAsia="arial" w:hAnsi="arial" w:cs="arial"/>
                <w:b/>
                <w:color w:val="000000"/>
                <w:sz w:val="30"/>
                <w:lang w:val="en-US" w:eastAsia="en-US" w:bidi="ar-SA"/>
              </w:rPr>
              <w:t>B. FISHER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trial of this action was heard in March, April and May of 2007. On January 8, 2007, the corporate plaintiffs accepted an offer to settle, which had been made by the defendants on February 10, 2006 under Rule 37. The trial proceeded on behalf of 59 personal plaintiffs. Judgment was granted in favour of 33 plaintiffs against all defendants except the USW Society and Les Veale. The plaintiffs apply for directions regarding the assessment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seek orders that:</w:t>
      </w:r>
      <w:r>
        <w:rPr>
          <w:rFonts w:ascii="arial" w:eastAsia="arial" w:hAnsi="arial" w:cs="arial"/>
          <w:sz w:val="20"/>
          <w:lang w:val="en-US" w:eastAsia="en-US" w:bidi="ar-SA"/>
        </w:rPr>
        <w:cr/>
      </w:r>
    </w:p>
    <w:p>
      <w:pPr>
        <w:numPr>
          <w:numId w:val="1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personal plaintiffs are entitled to costs and that such costs should be assessed on a global basis so that there is no order for costs for or against any individual plaintiff;</w:t>
      </w:r>
    </w:p>
    <w:p>
      <w:pPr>
        <w:numPr>
          <w:numId w:val="1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be awarded to the corporate plaintiffs up to February 10, 2006 and to the personal plaintiffs after February 10, 2006;</w:t>
      </w:r>
    </w:p>
    <w:p>
      <w:pPr>
        <w:numPr>
          <w:numId w:val="1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in respect of interlocutory motions be treated as costs in the cause where not otherwise ordered;</w:t>
      </w:r>
    </w:p>
    <w:p>
      <w:pPr>
        <w:numPr>
          <w:numId w:val="1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costs to the plaintiffs be assessed at Scale C; and</w:t>
      </w:r>
    </w:p>
    <w:p>
      <w:pPr>
        <w:numPr>
          <w:numId w:val="1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costs to which the defendants are entitled be determined on a lump sum basis or alternatively as line items under the Tariff.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defendants seek orders that:</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personal plaintiffs recover costs proportionately to the number of plaintiffs who succeeded in the action;</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personal plaintiffs are not entitled to costs for the period from February 10, 2006 to January 8, 2007;</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are entitled to costs for all interlocutory motions in which they were successful;</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personal plaintiffs are not entitled to certain disbursements;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are entitled to costs against the third party, Sonny Ghag, in respect of the third party proceeding and the application for reconsideration.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parties agree that:</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corporate plaintiffs are entitled to costs to February 10, 2006 and that such costs be assessed under the Tariff that was in effect before January 1, 2007;</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are entitled to costs under Rule 37(22) against the corporate plaintiffs in respect of costs related to the corporate plaintiffs' claims for the period from February 10, 2006 to January 8, 2007;</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personal plaintiffs are entitled to costs assessed under the Tariff in effect as of January 1, 2007;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costs to which the defendants are entitled should be set off against the costs awarded to the personal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Costs to the personal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personal plaintiffs seek an order for costs on a global basis, reduced only by the costs attributable to the plaintiffs who were unsuccessful at trial and by any other costs to which the defendants are entitled. They submit that they had a commonality of interest, were represented by single legal counsel, and that the costs attributable to the plaintiffs who were unsuccessful or whose actions were discontinued or dismissed by consent were not significant.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defendants seek an order reflecting the fact that not all personal plaintiffs were successful. They submit that the successful personal plaintiffs should be awarded costs proportionate to the number of successful plaintiffs (33) in relation to the number of original plaintiffs (106) or in relation to the number of plaintiffs who went to trial (59); alternatively, the successful personal plaintiffs should be awarded one set of costs, reduced by at least 20% to reflect the costs attributable to the claims of the unsuccessful plaintiffs. They rely on </w:t>
      </w:r>
      <w:r>
        <w:rPr>
          <w:rFonts w:ascii="arial" w:eastAsia="arial" w:hAnsi="arial" w:cs="arial"/>
          <w:b/>
          <w:i/>
          <w:color w:val="000000"/>
          <w:sz w:val="20"/>
          <w:lang w:val="en-US" w:eastAsia="en-US" w:bidi="ar-SA"/>
        </w:rPr>
        <w:t>Seaport Crown Fish Co. v. Vancouver Port Corp.</w:t>
      </w:r>
      <w:r>
        <w:rPr>
          <w:rFonts w:ascii="arial" w:eastAsia="arial" w:hAnsi="arial" w:cs="arial"/>
          <w:color w:val="000000"/>
          <w:sz w:val="20"/>
          <w:lang w:val="en-US" w:eastAsia="en-US" w:bidi="ar-SA"/>
        </w:rPr>
        <w:t xml:space="preserve">, </w:t>
      </w:r>
      <w:hyperlink r:id="rId959" w:history="1">
        <w:r>
          <w:rPr>
            <w:rFonts w:ascii="arial" w:eastAsia="arial" w:hAnsi="arial" w:cs="arial"/>
            <w:i/>
            <w:color w:val="0077CC"/>
            <w:sz w:val="20"/>
            <w:u w:val="single"/>
            <w:shd w:val="clear" w:color="auto" w:fill="FFFFFF"/>
            <w:lang w:val="en-US" w:eastAsia="en-US" w:bidi="ar-SA"/>
          </w:rPr>
          <w:t>2000 BCSC 68</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Capilano Fishing Ltd. v. Qualicum Producer</w:t>
      </w:r>
      <w:r>
        <w:rPr>
          <w:rFonts w:ascii="arial" w:eastAsia="arial" w:hAnsi="arial" w:cs="arial"/>
          <w:color w:val="000000"/>
          <w:sz w:val="20"/>
          <w:lang w:val="en-US" w:eastAsia="en-US" w:bidi="ar-SA"/>
        </w:rPr>
        <w:t xml:space="preserve">, </w:t>
      </w:r>
      <w:hyperlink r:id="rId960" w:history="1">
        <w:r>
          <w:rPr>
            <w:rFonts w:ascii="arial" w:eastAsia="arial" w:hAnsi="arial" w:cs="arial"/>
            <w:i/>
            <w:color w:val="0077CC"/>
            <w:sz w:val="20"/>
            <w:u w:val="single"/>
            <w:shd w:val="clear" w:color="auto" w:fill="FFFFFF"/>
            <w:lang w:val="en-US" w:eastAsia="en-US" w:bidi="ar-SA"/>
          </w:rPr>
          <w:t>2001 BCSC 410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Seaport</w:t>
      </w:r>
      <w:r>
        <w:rPr>
          <w:rFonts w:ascii="arial" w:eastAsia="arial" w:hAnsi="arial" w:cs="arial"/>
          <w:color w:val="000000"/>
          <w:sz w:val="20"/>
          <w:lang w:val="en-US" w:eastAsia="en-US" w:bidi="ar-SA"/>
        </w:rPr>
        <w:t xml:space="preserve">, five plaintiffs sued for damages for breach of a ten-year lease. The plaintiffs as a group succeeded in proving the existence of the lease but only four plaintiffs succeeded in proving damages. Little time was spent at trial on the claim of the unsuccessful plaintiff. The four successful plaintiffs were awarded all of their costs on the lease issue. Costs on the damage claims were apportioned equally among the four plaintiffs because each required approximately the same time and effort to prove. The defendant was awarded costs attributable to the claim of the unsuccessful plaintiff's damage claim, but the amount was to reflect a small proportion. In </w:t>
      </w:r>
      <w:r>
        <w:rPr>
          <w:rFonts w:ascii="arial" w:eastAsia="arial" w:hAnsi="arial" w:cs="arial"/>
          <w:b/>
          <w:i/>
          <w:color w:val="000000"/>
          <w:sz w:val="20"/>
          <w:lang w:val="en-US" w:eastAsia="en-US" w:bidi="ar-SA"/>
        </w:rPr>
        <w:t>Capilano</w:t>
      </w:r>
      <w:r>
        <w:rPr>
          <w:rFonts w:ascii="arial" w:eastAsia="arial" w:hAnsi="arial" w:cs="arial"/>
          <w:color w:val="000000"/>
          <w:sz w:val="20"/>
          <w:lang w:val="en-US" w:eastAsia="en-US" w:bidi="ar-SA"/>
        </w:rPr>
        <w:t xml:space="preserve">, the owners of a ship were held liable to some of the plaintiffs for losses resulting from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ship's master. The plaintiffs' recovery was limited by statute and their claims for punitive damages were dismissed. The successful plaintiffs were awarded costs, less those costs attributable to the unsuccessful plaintiff, which the judge estimated to be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my view, the personal plaintiffs were substantially successful in this proceeding. All of the afternoon shift plaintiffs and three of the graveyard shift plaintiffs succeeded in proving claims of assault against all but two of the defendants. They succeeded in proving both general and punitive damages. At the end of the trial, a consent dismissal order was made in respect of 11 plaintiffs who did not testify at trial either because they could not be located or they chose not to participate, and Mr. McDonell withdrew the claims of 15 graveyard shift plaintiffs who had not made out claims in assault, and those claims were dismissed in the final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There were other unopposed dismissals and discontinuances against some defendants before trial. The plaintiffs were attempting to determine who was involved in the incident and counsel eventually decided to streamline the case. I do not consider any of these to detract from the overall success. With respect to the dismissals of 41 plaintiffs ordered by Madam Justice Sinclair-Prowse on August 8, 2006, which were opposed, costs were to be determined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these circumstances, particularly considering the large number of plaintiffs, it would not be appropriate, in my view, to award costs proportionately, as suggested by the defendants. All personal plaintiffs had a common interest. Many of the unsuccessful plaintiffs did not proceed to trial, and those who did go to trial did not significantly increase the cost of the action. The testimony given by each unsuccessful graveyard shift plaintiff was very brief and cumulatively occupied no more that one day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defendants initially submitted that some of the costs should be apportioned under Rule 57(15) on the basis that the defendants were partially successful, but they abandoned this argument at the hearing. However, they did submit that the order for costs should reflect the fact that not all plaintiffs were successful. I do not consider this to be a case where success was divided, in the sense that the plaintiffs were successful on some issues but not others. However, not all plaintiffs succeeded.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my opinion, given the commonality of interest among the large number of personal plaintiffs, this is a case where it is appropriate to make a global award of costs as requested by Mr. Harbottle. There will be no order for costs for or against any individual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This global award is to be reduced only by the costs attributable to the 15 graveyard shift plaintiffs whose claims were dismissed at trial. There should be no reduction for any costs attributable to 11 plaintiffs who did not testify at trial, as these plaintiffs did not contribute to the costs of the litigation in any significant way. Similarly, there should be no reduction for any costs that may be attributable to plaintiffs whose claims were dismissed before trial. In this way, the costs award will reflect the actual success obtained. This is consistent to the approaches taken in </w:t>
      </w:r>
      <w:r>
        <w:rPr>
          <w:rFonts w:ascii="arial" w:eastAsia="arial" w:hAnsi="arial" w:cs="arial"/>
          <w:b/>
          <w:i/>
          <w:color w:val="000000"/>
          <w:sz w:val="20"/>
          <w:lang w:val="en-US" w:eastAsia="en-US" w:bidi="ar-SA"/>
        </w:rPr>
        <w:t>Seaport</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Capilano</w:t>
      </w:r>
      <w:r>
        <w:rPr>
          <w:rFonts w:ascii="arial" w:eastAsia="arial" w:hAnsi="arial" w:cs="arial"/>
          <w:color w:val="000000"/>
          <w:sz w:val="20"/>
          <w:lang w:val="en-US" w:eastAsia="en-US" w:bidi="ar-SA"/>
        </w:rPr>
        <w:t>. However, I do not think that the costs attributable to the unsuccessful plaintiffs should be determined as a percentage, as suggested by the defendants. They did not significantly increase the cost of this litigation. It will not be difficult to determine those costs as tariff items. I will come back to this later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How should costs be apportioned between the corporate plaintiffs and the personal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parties agree that costs should be apportioned between the corporate plaintiffs and the personal plaintiffs so that there is no duplication.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Rule 37 offer and acceptance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February 10, 2006, the defendants made an offer to settle to the corporate plaintiffs under Rule 37. On January 8, 2007, the corporate plaintiffs accepted the offer. I note that the defendants were sued jointly such that the offer was validly made under Rule 37(31).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Under Rule 37(22), the corporate plaintiffs are entitled to costs assessed to the date the offer was delivered and the defendants are entitled to costs assessed from that date. The corporate plaintiffs are thus entitled to costs to February 10, 2006 and the defendants are entitled to costs against the corporate plaintiffs that relate to the corporate plaintiffs' claims from February 10, 2006 to January 8, 2007. All of these costs should be assessed under the Tariff that was in effect before January 1, 2007. Section 11 of Appendix B (the transitional provision) provides that the old Tariff applies to costs payable on acceptance of a Rule 37 offer to settle made before January 1,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(b)</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Allocation of costs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corporate plaintiffs paid all costs up to January 8, 2007, the date they accepted the offer to settle. The personal plaintiffs assumed the liability for costs after that date. Nevertheless, the personal plaintiffs say that they are entitled to costs from February 10,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defendants submit that the personal plaintiffs are not entitled to costs before January 8, 2007 because they were not liable to pay and did not incur any costs before then. They cite </w:t>
      </w:r>
      <w:r>
        <w:rPr>
          <w:rFonts w:ascii="arial" w:eastAsia="arial" w:hAnsi="arial" w:cs="arial"/>
          <w:b/>
          <w:i/>
          <w:color w:val="000000"/>
          <w:sz w:val="20"/>
          <w:lang w:val="en-US" w:eastAsia="en-US" w:bidi="ar-SA"/>
        </w:rPr>
        <w:t>Nicholls v. Richmond (City)</w:t>
      </w:r>
      <w:r>
        <w:rPr>
          <w:rFonts w:ascii="arial" w:eastAsia="arial" w:hAnsi="arial" w:cs="arial"/>
          <w:color w:val="000000"/>
          <w:sz w:val="20"/>
          <w:lang w:val="en-US" w:eastAsia="en-US" w:bidi="ar-SA"/>
        </w:rPr>
        <w:t xml:space="preserve"> </w:t>
      </w:r>
      <w:hyperlink r:id="rId961" w:history="1">
        <w:r>
          <w:rPr>
            <w:rFonts w:ascii="arial" w:eastAsia="arial" w:hAnsi="arial" w:cs="arial"/>
            <w:i/>
            <w:color w:val="0077CC"/>
            <w:sz w:val="20"/>
            <w:u w:val="single"/>
            <w:shd w:val="clear" w:color="auto" w:fill="FFFFFF"/>
            <w:lang w:val="en-US" w:eastAsia="en-US" w:bidi="ar-SA"/>
          </w:rPr>
          <w:t>(1985), 60 B.C.L.R. 320</w:t>
        </w:r>
      </w:hyperlink>
      <w:r>
        <w:rPr>
          <w:rFonts w:ascii="arial" w:eastAsia="arial" w:hAnsi="arial" w:cs="arial"/>
          <w:color w:val="000000"/>
          <w:sz w:val="20"/>
          <w:lang w:val="en-US" w:eastAsia="en-US" w:bidi="ar-SA"/>
        </w:rPr>
        <w:t xml:space="preserve"> (S.C.), where McLachlin J. (as she then was) applied the principle that costs are awarded to indemnify a party against real expenses incurred and held that a party not liable to pay costs to his own solicitor cannot obtain costs for such fees against the opposite party. This principle was applied by in </w:t>
      </w:r>
      <w:r>
        <w:rPr>
          <w:rFonts w:ascii="arial" w:eastAsia="arial" w:hAnsi="arial" w:cs="arial"/>
          <w:b/>
          <w:i/>
          <w:color w:val="000000"/>
          <w:sz w:val="20"/>
          <w:lang w:val="en-US" w:eastAsia="en-US" w:bidi="ar-SA"/>
        </w:rPr>
        <w:t>Vesuvius Investments Ltd. v. Victoria (City)</w:t>
      </w:r>
      <w:r>
        <w:rPr>
          <w:rFonts w:ascii="arial" w:eastAsia="arial" w:hAnsi="arial" w:cs="arial"/>
          <w:color w:val="000000"/>
          <w:sz w:val="20"/>
          <w:lang w:val="en-US" w:eastAsia="en-US" w:bidi="ar-SA"/>
        </w:rPr>
        <w:t xml:space="preserve">, </w:t>
      </w:r>
      <w:hyperlink r:id="rId962" w:history="1">
        <w:r>
          <w:rPr>
            <w:rFonts w:ascii="arial" w:eastAsia="arial" w:hAnsi="arial" w:cs="arial"/>
            <w:i/>
            <w:color w:val="0077CC"/>
            <w:sz w:val="20"/>
            <w:u w:val="single"/>
            <w:shd w:val="clear" w:color="auto" w:fill="FFFFFF"/>
            <w:lang w:val="en-US" w:eastAsia="en-US" w:bidi="ar-SA"/>
          </w:rPr>
          <w:t>[1991] B.C.J. No. 4034</w:t>
        </w:r>
      </w:hyperlink>
      <w:r>
        <w:rPr>
          <w:rFonts w:ascii="arial" w:eastAsia="arial" w:hAnsi="arial" w:cs="arial"/>
          <w:color w:val="000000"/>
          <w:sz w:val="20"/>
          <w:lang w:val="en-US" w:eastAsia="en-US" w:bidi="ar-SA"/>
        </w:rPr>
        <w:t xml:space="preserve"> (C.A.) (QL). In both cases, the parties who were denied costs were personal defendants who were employees of the defendant Cities and were represented by the Cities' counsel. In </w:t>
      </w:r>
      <w:r>
        <w:rPr>
          <w:rFonts w:ascii="arial" w:eastAsia="arial" w:hAnsi="arial" w:cs="arial"/>
          <w:b/>
          <w:i/>
          <w:color w:val="000000"/>
          <w:sz w:val="20"/>
          <w:lang w:val="en-US" w:eastAsia="en-US" w:bidi="ar-SA"/>
        </w:rPr>
        <w:t>Nicholls</w:t>
      </w:r>
      <w:r>
        <w:rPr>
          <w:rFonts w:ascii="arial" w:eastAsia="arial" w:hAnsi="arial" w:cs="arial"/>
          <w:color w:val="000000"/>
          <w:sz w:val="20"/>
          <w:lang w:val="en-US" w:eastAsia="en-US" w:bidi="ar-SA"/>
        </w:rPr>
        <w:t xml:space="preserve">, the personal defendants did not participate at the trial. In </w:t>
      </w:r>
      <w:r>
        <w:rPr>
          <w:rFonts w:ascii="arial" w:eastAsia="arial" w:hAnsi="arial" w:cs="arial"/>
          <w:b/>
          <w:i/>
          <w:color w:val="000000"/>
          <w:sz w:val="20"/>
          <w:lang w:val="en-US" w:eastAsia="en-US" w:bidi="ar-SA"/>
        </w:rPr>
        <w:t>Vesuvius</w:t>
      </w:r>
      <w:r>
        <w:rPr>
          <w:rFonts w:ascii="arial" w:eastAsia="arial" w:hAnsi="arial" w:cs="arial"/>
          <w:color w:val="000000"/>
          <w:sz w:val="20"/>
          <w:lang w:val="en-US" w:eastAsia="en-US" w:bidi="ar-SA"/>
        </w:rPr>
        <w:t>, it was found that the personal defendants did not incur any separate loss from that of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Mr. Harbottle submits that it is not relevant who was paying the legal fees. He relies on </w:t>
      </w:r>
      <w:r>
        <w:rPr>
          <w:rFonts w:ascii="arial" w:eastAsia="arial" w:hAnsi="arial" w:cs="arial"/>
          <w:b/>
          <w:i/>
          <w:color w:val="000000"/>
          <w:sz w:val="20"/>
          <w:lang w:val="en-US" w:eastAsia="en-US" w:bidi="ar-SA"/>
        </w:rPr>
        <w:t>Skidmore v. Blackmore</w:t>
      </w:r>
      <w:r>
        <w:rPr>
          <w:rFonts w:ascii="arial" w:eastAsia="arial" w:hAnsi="arial" w:cs="arial"/>
          <w:color w:val="000000"/>
          <w:sz w:val="20"/>
          <w:lang w:val="en-US" w:eastAsia="en-US" w:bidi="ar-SA"/>
        </w:rPr>
        <w:t xml:space="preserve"> </w:t>
      </w:r>
      <w:hyperlink r:id="rId963" w:history="1">
        <w:r>
          <w:rPr>
            <w:rFonts w:ascii="arial" w:eastAsia="arial" w:hAnsi="arial" w:cs="arial"/>
            <w:i/>
            <w:color w:val="0077CC"/>
            <w:sz w:val="20"/>
            <w:u w:val="single"/>
            <w:shd w:val="clear" w:color="auto" w:fill="FFFFFF"/>
            <w:lang w:val="en-US" w:eastAsia="en-US" w:bidi="ar-SA"/>
          </w:rPr>
          <w:t>(1995), 2 B.C.L.R. (3d) 201</w:t>
        </w:r>
      </w:hyperlink>
      <w:r>
        <w:rPr>
          <w:rFonts w:ascii="arial" w:eastAsia="arial" w:hAnsi="arial" w:cs="arial"/>
          <w:color w:val="000000"/>
          <w:sz w:val="20"/>
          <w:lang w:val="en-US" w:eastAsia="en-US" w:bidi="ar-SA"/>
        </w:rPr>
        <w:t xml:space="preserve"> (C.A.). There, the Court of Appeal overruled previous authority that had denied costs other than disbursements to self-represented litigants. In doing so, the Court stated that while costs are awarded to at least partially indemnify the successful litigant for legal fees and disbursements incurred, they are also awarded to encourage or deter certain types of conduct, such as frivolous actions and defences and unnecessary steps in litigation. </w:t>
      </w:r>
      <w:r>
        <w:rPr>
          <w:rFonts w:ascii="arial" w:eastAsia="arial" w:hAnsi="arial" w:cs="arial"/>
          <w:b/>
          <w:i/>
          <w:color w:val="000000"/>
          <w:sz w:val="20"/>
          <w:lang w:val="en-US" w:eastAsia="en-US" w:bidi="ar-SA"/>
        </w:rPr>
        <w:t>Skidmore</w:t>
      </w:r>
      <w:r>
        <w:rPr>
          <w:rFonts w:ascii="arial" w:eastAsia="arial" w:hAnsi="arial" w:cs="arial"/>
          <w:color w:val="000000"/>
          <w:sz w:val="20"/>
          <w:lang w:val="en-US" w:eastAsia="en-US" w:bidi="ar-SA"/>
        </w:rPr>
        <w:t xml:space="preserve"> has been interpreted as applying in circumstances beyond the entitlement to costs for self-represented litigants, such as where a party's liability for costs is less than the amount awarded under a contingency fee agreement: see </w:t>
      </w:r>
      <w:r>
        <w:rPr>
          <w:rFonts w:ascii="arial" w:eastAsia="arial" w:hAnsi="arial" w:cs="arial"/>
          <w:b/>
          <w:i/>
          <w:color w:val="000000"/>
          <w:sz w:val="20"/>
          <w:lang w:val="en-US" w:eastAsia="en-US" w:bidi="ar-SA"/>
        </w:rPr>
        <w:t>Ghag v. Charlie</w:t>
      </w:r>
      <w:r>
        <w:rPr>
          <w:rFonts w:ascii="arial" w:eastAsia="arial" w:hAnsi="arial" w:cs="arial"/>
          <w:color w:val="000000"/>
          <w:sz w:val="20"/>
          <w:lang w:val="en-US" w:eastAsia="en-US" w:bidi="ar-SA"/>
        </w:rPr>
        <w:t xml:space="preserve"> </w:t>
      </w:r>
      <w:hyperlink r:id="rId964" w:history="1">
        <w:r>
          <w:rPr>
            <w:rFonts w:ascii="arial" w:eastAsia="arial" w:hAnsi="arial" w:cs="arial"/>
            <w:i/>
            <w:color w:val="0077CC"/>
            <w:sz w:val="20"/>
            <w:u w:val="single"/>
            <w:shd w:val="clear" w:color="auto" w:fill="FFFFFF"/>
            <w:lang w:val="en-US" w:eastAsia="en-US" w:bidi="ar-SA"/>
          </w:rPr>
          <w:t>(1995), 19 B.C.L.R. (3d) 7</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defendants submit that even considering </w:t>
      </w:r>
      <w:r>
        <w:rPr>
          <w:rFonts w:ascii="arial" w:eastAsia="arial" w:hAnsi="arial" w:cs="arial"/>
          <w:b/>
          <w:i/>
          <w:color w:val="000000"/>
          <w:sz w:val="20"/>
          <w:lang w:val="en-US" w:eastAsia="en-US" w:bidi="ar-SA"/>
        </w:rPr>
        <w:t>Skidmore</w:t>
      </w:r>
      <w:r>
        <w:rPr>
          <w:rFonts w:ascii="arial" w:eastAsia="arial" w:hAnsi="arial" w:cs="arial"/>
          <w:color w:val="000000"/>
          <w:sz w:val="20"/>
          <w:lang w:val="en-US" w:eastAsia="en-US" w:bidi="ar-SA"/>
        </w:rPr>
        <w:t>, awarding costs to the personal plaintiffs before January 8, 2007 will not fulfill any purpose. With respect, I disagree. In these circumstances, the objectives of Rule 37 are met with the defendants' entitlement to costs against the corporate plaintiffs from February 10, 2006 to January 8, 2007. However, the deterrent objectives of Rule 57 will not be met if the defendants are relieved from paying the costs associated with the personal plaintiffs throughout this same period of time. In my opinion, the personal plaintiffs are entitled to costs associated with their claims from February 10, 2006. The parties agree that these costs are to be assessed on the Tariff in effect as of January 1, 2007, given the date of my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Costs for interlocutory motions and costs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There were a number of interlocutory applications in this case. On November 10, 2004, Madam Justice Morrison awarded costs on Scale 3 to the plaintiffs for the jurisdictional challenge. On November 16, 2005, the defendants were awarded costs in any event of the cause for an application for particulars. In the remaining interlocutory applications, costs were ordered "to be determined in the cause". It appears that many of these were unopposed. On April 11, 2006, the claim of one of the plaintiffs was dismissed. On August 3, 2006, the claims of three plaintiffs were dismissed. On August 8, 2006, the claims of 41 plaintiffs were dismissed after a contested Rule 18A application. On February 9, 2007, the defendants were unsuccessful in having the claims against six defendants dismissed under Rule 18A. No order was provided, but in her reasons for judgment, Madam Justice Sinclair-Prowse ordered that "costs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claims by the 11 plaintiffs who did not testify and the claims against six defendants who were not present at the event were dismissed by consent on May 9, 2007, at the end of the trial. The parties agreed that costs were "to be determined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Costs of an interlocutory application are "costs in the cause" in the absence of any other order. Rule 57(12)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Unless the court hearing a motion otherwise orders,</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party making a motion that is granted is entitled to costs as costs in the cause, but the party opposing it is not entitled to costs as costs in the cause;</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party making a motion that is refused is not entitled to costs as costs in the cause, but the party opposing it is entitled to costs as costs in the cause; and</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motion made by one party and not opposed by the other is granted, the costs of the motion are costs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term "costs in the cause" generally means that the costs of an interlocutory application are to be awarded according to the final award of costs in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defendants say that the orders made in this case were not "costs in the cause", as the orders stated "costs to be determined in the cause." Mr. Anderson submitted that this means that the costs of the interlocutory applications are within my discretion. Mr. Harbottle submitted that the addition of the words "to be determined" does not change the meaning of the phrase and he pointed out that counsel for the defendants drafted the orders. In my opinion, the additional words do not change the meaning of the well known phrase "costs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How is this to be applied? Is the party who is successful in the action entitled to the costs of an interlocutory application whether or not that party succeeded in the application? Mr. Harbottle initially submitted that this is the effect of an order of "costs in the cause". With respect, I disagree. Only the party who was successful in the interlocutory application is entitled to its costs, and may recover these costs only if it is ultimately successful in the action. Rule 57(12) makes no provision for the party who was unsuccessful in the interlocutory application to recover costs in the cause. While Rule 57(12) and the commentary on it is confusing, it is my view that "costs in the cause" means that</w:t>
      </w:r>
      <w:r>
        <w:rPr>
          <w:rFonts w:ascii="arial" w:eastAsia="arial" w:hAnsi="arial" w:cs="arial"/>
          <w:sz w:val="20"/>
          <w:lang w:val="en-US" w:eastAsia="en-US" w:bidi="ar-SA"/>
        </w:rPr>
        <w:cr/>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party who is successful on a contested interlocutory application (whether as applicant or respondent) will be entitled to the costs of that application if that party is successful in the action and is awarded costs;</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party who is unsuccessful on a contested interlocutory application (whether as applicant or respondent) will not be entitled to the costs of that application even if that party is successful in the action and is awarded costs; and</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for an unopposed application, the party who is ultimately successful in the action will be entitled to the costs of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w:t>
      </w:r>
      <w:r>
        <w:rPr>
          <w:rFonts w:ascii="arial" w:eastAsia="arial" w:hAnsi="arial" w:cs="arial"/>
          <w:i/>
          <w:color w:val="000000"/>
          <w:sz w:val="20"/>
          <w:lang w:val="en-US" w:eastAsia="en-US" w:bidi="ar-SA"/>
        </w:rPr>
        <w:t>Butterworths Costs in Civil Litigation and Non-Litigious Work</w:t>
      </w:r>
      <w:r>
        <w:rPr>
          <w:rFonts w:ascii="arial" w:eastAsia="arial" w:hAnsi="arial" w:cs="arial"/>
          <w:color w:val="000000"/>
          <w:sz w:val="20"/>
          <w:lang w:val="en-US" w:eastAsia="en-US" w:bidi="ar-SA"/>
        </w:rPr>
        <w:t>, 4th ed. (London: Butterworths, 1971) at A59, points (a) to (e).</w:t>
      </w:r>
      <w:bookmarkStart w:id="247" w:name="Backward_fnref_fnr-1_1"/>
      <w:hyperlink w:anchor="Forward_fnref_fnr-1" w:history="1">
        <w:r>
          <w:rPr>
            <w:rFonts w:ascii="arial" w:eastAsia="arial" w:hAnsi="arial" w:cs="arial"/>
            <w:b/>
            <w:color w:val="BE161D"/>
            <w:sz w:val="20"/>
            <w:shd w:val="clear" w:color="auto" w:fill="FFFFFF"/>
            <w:vertAlign w:val="superscript"/>
            <w:lang w:val="en-US" w:eastAsia="en-US" w:bidi="ar-SA"/>
          </w:rPr>
          <w:t>1</w:t>
        </w:r>
      </w:hyperlink>
      <w:bookmarkEnd w:id="247"/>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Here, the defendants were not successful in the action and are not awarded the costs of the proceeding. As I describe below, any costs to which the defendants are entitled are for specific matters and are to be set off against the plaintiffs' overall award of costs. In this circumstance, the defendants are not entitled to the costs of the contested interlocutory applications in which they were successful. On the other hand, the plaintiffs were successful in the action and are awarded the costs of the proceeding. They are entitled to the costs of the unopposed interlocutory applications as well as the contested applications in which they were 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Scale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plaintiffs submit that their costs should be assessed at Scale C on the basis that this matter was of more than ordinary difficulty. Section 2 in Appendix B provides:</w:t>
      </w:r>
      <w:r>
        <w:rPr>
          <w:rFonts w:ascii="arial" w:eastAsia="arial" w:hAnsi="arial" w:cs="arial"/>
          <w:sz w:val="20"/>
          <w:lang w:val="en-US" w:eastAsia="en-US" w:bidi="ar-SA"/>
        </w:rPr>
        <w:cr/>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court has made an order for costs, it may fix the scale, from Scale A to Scale C in subsection (2), under which the costs will be assessed, and may order that one or more steps in the proceeding be assessed under a different scale from that fixed for other steps.</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fixing the scale of costs the court shall have regard to the following principles:</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Scale A is for matters of little or less than ordinary difficulty;</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Scale B is for matters of ordinary difficulty;</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Scale C is for matters of more than ordinary difficulty.</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fixing the appropriate scale under which costs will be assessed, the court may take into account the following:</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 difficult issue of law, fact or construction is involved;</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an issue is of importance to a class or body of persons, or is of general interest;</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result of the proceeding effectively determines the rights and obligations as between the parties beyond the relief that was actually granted or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These factors (as they applied to Scales 1 to 5 under the previous Appendix B) were expanded upon by Justice R.D. Wilson in </w:t>
      </w:r>
      <w:r>
        <w:rPr>
          <w:rFonts w:ascii="arial" w:eastAsia="arial" w:hAnsi="arial" w:cs="arial"/>
          <w:b/>
          <w:i/>
          <w:color w:val="000000"/>
          <w:sz w:val="20"/>
          <w:lang w:val="en-US" w:eastAsia="en-US" w:bidi="ar-SA"/>
        </w:rPr>
        <w:t>Mort v. Saanich School District No. 63</w:t>
      </w:r>
      <w:r>
        <w:rPr>
          <w:rFonts w:ascii="arial" w:eastAsia="arial" w:hAnsi="arial" w:cs="arial"/>
          <w:color w:val="000000"/>
          <w:sz w:val="20"/>
          <w:lang w:val="en-US" w:eastAsia="en-US" w:bidi="ar-SA"/>
        </w:rPr>
        <w:t xml:space="preserve">, </w:t>
      </w:r>
      <w:hyperlink r:id="rId965" w:history="1">
        <w:r>
          <w:rPr>
            <w:rFonts w:ascii="arial" w:eastAsia="arial" w:hAnsi="arial" w:cs="arial"/>
            <w:i/>
            <w:color w:val="0077CC"/>
            <w:sz w:val="20"/>
            <w:u w:val="single"/>
            <w:shd w:val="clear" w:color="auto" w:fill="FFFFFF"/>
            <w:lang w:val="en-US" w:eastAsia="en-US" w:bidi="ar-SA"/>
          </w:rPr>
          <w:t>2001 BCSC 1473</w:t>
        </w:r>
      </w:hyperlink>
      <w:r>
        <w:rPr>
          <w:rFonts w:ascii="arial" w:eastAsia="arial" w:hAnsi="arial" w:cs="arial"/>
          <w:color w:val="000000"/>
          <w:sz w:val="20"/>
          <w:lang w:val="en-US" w:eastAsia="en-US" w:bidi="ar-SA"/>
        </w:rPr>
        <w:t>, at para. 5 and 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starting point is to determine whether this matter was of little difficulty; less than ordinary difficulty; ordinary difficulty or importance; more than ordinary difficulty or importance; or, of unusual difficulty or importance. Difficulty or importance must be established, not both.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Relevant factors to consider in answering that question include:</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length of the trial;</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complexity of the issues involved;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number and complexity of pre-trial applications;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or not the action was hard fought with little or nothing being conceded along the way;</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number and length of Examinations for Discovery;</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number and complexity of Experts' Reports; and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the effort required in the collection and proof of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this case, the trial was lengthy, lasting 36 days. Some of the issues were reasonably complex. Liability involved many alleged joint tortfeasors, including union members, officers, a local union and a successor union. Damages claimed included punitive damages for a large number of plaintiffs as against a large number of defendants. I assume that the issues were important to unions and union members, a specific class or body of persons. There was no expert evidence. There were many pre-trial applications; only those challenging the jurisdiction of the court and those challenging various causes of action were of any complexity. Examinations for discovery were relatively brief despite the large number of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There is no question that the defendants fought hard, conceding little, if anything, before or during the trial. There was less time spent in examinations for discovery relative to the number of parties, but the plaintiffs had considerable difficulty collecting information about the identity of the individual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my opinion, the hard-fought aspect of this case is the primary relevant factor in considering the appropriate scale of costs. As a result of the defendants' approach, there were more pre-trial applications and it was more difficult for the plaintiffs to collect information and eventually prove facts. Mr. Harbottle reviewed in some detail the nature of the steps the plaintiffs were required to take after the claim was filed because the defendants refused to agree about almost all of the procedural steps along the way. There were considerable delays while the defendants pursued their challenge to the court's jurisdiction, which concluded in a decision of the Court of Appeal in favour of the plaintiffs in February 2005. During this time, the defendants did not participate in any pre-trial process. In the absence of agreement to add parties and amend the statement of claim, the plaintiffs commenced a second action, which was later consolidated by consent. The plaintiffs sought to do some discovery by way of simple interrogatories and when the defendants failed to answer them, an order had to be obtained that they do so. The defendants provided answers very slowly. After a schedule for examinations for discovery was set, the defendants changed counsel, and none of those appointments were kept. Examinations were held later and only for some of the parties. All of this prevented the plaintiffs from obtaining discovery on a timely basis. At trial, the defendants maintained their opposition to all of the claims of the plaintiffs and continued the hard fight.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Anderson submitted that the plaintiffs should be seeking special costs rather than costs on a higher tariff, because they are essentially saying that they were delayed due to the conduct of counsel. He also pointed out that these factors were in play only during the early stages of the proceeding, and should be taken into account only in respect of the costs to the corporate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do not interpret Mr. Harbottle's submission as being critical of the conduct of counsel. It is not improper for counsel to vigorously fight a case. Here, the hard-fought aspect of this case was significant primarily in respect of the pre-trial process. While the defendants continued to fight hard during the trial, I do not think that this aspect caused the trial to take considerably longer than it otherwise would have. And while some of the issues were complex, I do not think they were of the kind that rendered the trial itself one of more than ordinary difficulty. In this context, I do not think that the hard-fought aspect of this case is sufficient to justify a higher scale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Accordingly, the plaintiffs are entitled to costs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Costs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defendants are entitled to costs in respect of:</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interlocutory applications where costs were awarded to the defendants in any event of the cause;</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discontinuances against 21 defendants prior to trial;</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two extra trial days caused by the plaintiffs' late amendment of pleadings, as ordered at trial; and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claims against the Society and Les Veale that were dismissed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plaintiffs say that all of the defendants had a common interest and were represented by the same counsel. Pre-trial discovery was relatively brief and little trial time was required to address the claims against the Society and Les Veale. As a result, the involvement of the 21 defendants before trial did not add significantly to the costs associated with the defence of the claims and the involvement of the Society and Mr. Veale did not add significantly to the cost of the trial. The plaintiffs also say that the costs for the two additional trial days should be relatively minimal given that the defendants had already cross-examined the plaintiffs and prepared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Harbottle submitted that the defendants' costs should be assessed on a lump sum basis and set off against the award of costs to the personal plaintiffs. Mr. Anderson submitted that under Rule 57(13), the court may not fix lump sum costs of a whole proceeding unless the parties consent. Lump sum costs may only be awarded for interlocutory applications, under Rule 57(13.1).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do not intend to assess what units of costs are appropriate, as this is a matter more properly left to the Registrar. I will, however, direct that the costs of the defendants should be assessed having regard to the common interests of all defendants, the specific matters that were performed, such as answers to interrogatories or attending an examination for discovery, and the relatively small amount of time that was required to defend the claims. The defendants' costs will also be fixed at Scale B and they are to be set-off against the global award of costs to the personal plaintiffs, as agreed to by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same principle should apply in assessing the costs attributable to the 15 graveyard shift plaintiffs whose claims were dismissed at trial, given the commonality of interest among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Finally, the defendants are entitled to their costs against Mr. Ghag in respect of the third party action, in accordance with my reasons for judgment dated November 30, 2007. They are also entitled to the costs of the application for reconsideration of the third party claim. These will also be fixed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Specific items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Anderson submitted that the plaintiffs should not be entitled to costs for filing two sets of pleadings and for disbursements related to their investigation of telephone records. I am not prepared to restrict the plaintiffs' costs on these items. The second statement of claim was filed after counsel for the defendants would not agree to the addition or substitution of parties. The two claims were later consolidated by consent. The plaintiffs sought telephone records for officers and members of Local 1-3567 in an effort to determine who participated in the event. The defendants did not cooperate early in the process and delayed answering interrogatories that may have narrowed the scope of the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summary, the following orders and directions are made:</w:t>
      </w:r>
      <w:r>
        <w:rPr>
          <w:rFonts w:ascii="arial" w:eastAsia="arial" w:hAnsi="arial" w:cs="arial"/>
          <w:sz w:val="20"/>
          <w:lang w:val="en-US" w:eastAsia="en-US" w:bidi="ar-SA"/>
        </w:rPr>
        <w:cr/>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personal plaintiffs will have costs on a global basis from February 10, 2006, fixed at Scale B. This global award is to be reduced only by the costs attributable to the 15 graveyard shift plaintiffs whose claims were dismissed at trial.</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corporate plaintiffs will have costs to February 10, 2006. The defendants will have costs against the corporate plaintiffs that relate to the corporate plaintiffs' claims from February 10, 2006 to January 8, 2007. These costs are to be fixed at Scale 3 under the Tariff that was in effect before January 1, 2007.</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personal plaintiffs are entitled to the costs of unopposed interlocutory applications, costs of contested applications in which they were successful and costs awarded to them specifically in other orders. The defendants are not entitled to the costs of contested interlocutory applications in which they were successful.</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are entitled to costs in respect of interlocutory applications where costs were awarded to them in any event of the cause, the discontinuances against 21 defendants prior to trial, the two extra trial days caused by the plaintiffs' late amendment of pleadings, and the claims against the Society and Les Veale that were dismissed at trial. These costs are to be fixed at Scale B (regardless of when they were incurred) and are to be set-off against the global award of costs to the personal plaintiffs. They are to be assessed having regard to the common interests of all defendants, the specific matters that were performed and the relatively small amount of time that was required to defend the claims. The same principle applies in assessing the costs attributable to the 15 graveyard shift plaintiffs whose claims were dismissed at trial.</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are entitled to costs at Scale B against Sonny Ghag in respect of the third party action and the costs of the application for reconsideration of the third party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 FISHER J.</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r>
        <w:pict>
          <v:line id="_x0000_s1189" style="position:absolute;z-index:251821056" from="0,15pt" to="180pt,15pt" strokecolor="#bcbeb0" strokeweight="0.5pt">
            <v:stroke linestyle="single"/>
          </v:line>
        </w:pict>
      </w:r>
    </w:p>
    <w:p>
      <w:pPr>
        <w:rPr>
          <w:rFonts w:ascii="arial" w:eastAsia="arial" w:hAnsi="arial" w:cs="arial"/>
          <w:sz w:val="20"/>
          <w:lang w:val="en-US" w:eastAsia="en-US" w:bidi="ar-SA"/>
        </w:rPr>
      </w:pPr>
    </w:p>
    <w:p>
      <w:pPr>
        <w:spacing w:before="120" w:after="20" w:line="240" w:lineRule="atLeast"/>
        <w:ind w:left="720" w:hanging="360"/>
        <w:jc w:val="both"/>
        <w:rPr>
          <w:rFonts w:ascii="arial" w:eastAsia="arial" w:hAnsi="arial" w:cs="arial"/>
          <w:sz w:val="20"/>
          <w:lang w:val="en-US" w:eastAsia="en-US" w:bidi="ar-SA"/>
        </w:rPr>
      </w:pPr>
      <w:bookmarkStart w:id="248" w:name="Forward_fnref_fnr-1_1"/>
      <w:hyperlink w:anchor="Backward_fnref_fnr-1" w:history="1">
        <w:r>
          <w:rPr>
            <w:rFonts w:ascii="arial" w:eastAsia="arial" w:hAnsi="arial" w:cs="arial"/>
            <w:b/>
            <w:color w:val="BE161D"/>
            <w:sz w:val="18"/>
            <w:shd w:val="clear" w:color="auto" w:fill="FFFFFF"/>
            <w:lang w:val="en-US" w:eastAsia="en-US" w:bidi="ar-SA"/>
          </w:rPr>
          <w:t>1</w:t>
        </w:r>
      </w:hyperlink>
      <w:bookmarkEnd w:id="248"/>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Point (h) appears to contradict what is set out in points (a) to (e). However, the case referred to, </w:t>
      </w:r>
      <w:r>
        <w:rPr>
          <w:rFonts w:ascii="arial" w:eastAsia="arial" w:hAnsi="arial" w:cs="arial"/>
          <w:b/>
          <w:i/>
          <w:color w:val="6D6E71"/>
          <w:sz w:val="18"/>
          <w:lang w:val="en-US" w:eastAsia="en-US" w:bidi="ar-SA"/>
        </w:rPr>
        <w:t>Stevens v. Keating</w:t>
      </w:r>
      <w:r>
        <w:rPr>
          <w:rFonts w:ascii="arial" w:eastAsia="arial" w:hAnsi="arial" w:cs="arial"/>
          <w:color w:val="6D6E71"/>
          <w:sz w:val="18"/>
          <w:lang w:val="en-US" w:eastAsia="en-US" w:bidi="ar-SA"/>
        </w:rPr>
        <w:t xml:space="preserve"> (1850), 1 Mac. &amp; G. 659 supports the proposition that the party making a successful motion is entitled to his costs as costs in the cause, but the party opposing it is not entitled to his costs in the cause.</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0" style="position:absolute;z-index:2518231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66"/>
          <w:headerReference w:type="default" r:id="rId967"/>
          <w:footerReference w:type="even" r:id="rId968"/>
          <w:footerReference w:type="default" r:id="rId969"/>
          <w:headerReference w:type="first" r:id="rId970"/>
          <w:footerReference w:type="first" r:id="rId97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72" w:history="1">
        <w:r>
          <w:rPr>
            <w:rFonts w:ascii="arial" w:eastAsia="arial" w:hAnsi="arial" w:cs="arial"/>
            <w:b/>
            <w:bCs/>
            <w:i/>
            <w:color w:val="0077CC"/>
            <w:kern w:val="32"/>
            <w:sz w:val="28"/>
            <w:szCs w:val="32"/>
            <w:u w:val="single"/>
            <w:shd w:val="clear" w:color="auto" w:fill="FFFFFF"/>
            <w:lang w:val="en-US" w:eastAsia="en-US" w:bidi="ar-SA"/>
          </w:rPr>
          <w:t>McCaffery v. British Columbia (Solicitor General Office), [2004] B.C.J. No. 217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Stewart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3 and 4,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9,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S026784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217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176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128 A.C.W.S. (3d) 725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Gregory P. McCaffery, plaintiff, and Solicitor General Office of British Columbia namely, Alison MacPhail, Leah Bailey, Thea Vakil, Terry Barnett, E. Garry Spence and The British Columbia Government Employees Union namely George Heyman, Kenneth Curry and Paul Johnston,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1" style="position:absolute;z-index:2517084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49" w:name="Keywords_3"/>
      <w:bookmarkEnd w:id="249"/>
      <w:r>
        <w:rPr>
          <w:rFonts w:ascii="arial" w:eastAsia="arial" w:hAnsi="arial" w:cs="arial"/>
          <w:b/>
          <w:color w:val="000000"/>
          <w:sz w:val="20"/>
          <w:lang w:val="en-US" w:eastAsia="en-US" w:bidi="ar-SA"/>
        </w:rPr>
        <w:t>Employment law — Wrongful dismissal — Civil procedure — Jurisdiction — Parties — Pleadings.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50" w:name="Case Summary_4"/>
            <w:bookmarkEnd w:id="25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Motions by two groups of defendants, British Columbia and others, treated as an application to dismiss plaintiff McCaffery's action for wrongful dismissal, fraudulent misrepresentation and breach of Charter rights, for want of jurisdiction under Rule 18A. The issue of naming one defendant as the Solicitor General Office of BC was ignored; the defendants were the employer BC and individuals acting for it, the BC Government Employees Union (BCGEU) and individuals acting for it. The action was based on McCaffery having been dismissed, with an arbitration having then started.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51" w:name="Holdings of Court_3"/>
            <w:bookmarkEnd w:id="251"/>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McCaffery was in a union covered by a collective agreement. It was a clear case that the court's jurisdiction had been ousted by the Labour Relations Code. The two separate motions were dealt with as invoking by all defendants Rule 18A. McCaffery's action was dismissed for want of jurisdiction; there was precedent for making such an order at the conclusion of a trial.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52" w:name="Legislation Cited_2"/>
      <w:bookmarkEnd w:id="25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92" style="position:absolute;z-index:2517596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Rules,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Canadian Charter of Rights and Freedoms, 1982, R.S.C. 1985, App. II, No. 44, Schedule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Labour Relations Code, </w:t>
      </w:r>
      <w:hyperlink r:id="rId973" w:history="1">
        <w:r>
          <w:rPr>
            <w:rFonts w:ascii="arial" w:eastAsia="arial" w:hAnsi="arial" w:cs="arial"/>
            <w:i/>
            <w:color w:val="0077CC"/>
            <w:sz w:val="20"/>
            <w:u w:val="single"/>
            <w:shd w:val="clear" w:color="auto" w:fill="FFFFFF"/>
            <w:lang w:val="en-US" w:eastAsia="en-US" w:bidi="ar-SA"/>
          </w:rPr>
          <w:t>RSBC 1996, CHAPTER 244, s. 12</w:t>
        </w:r>
      </w:hyperlink>
      <w:r>
        <w:rPr>
          <w:rFonts w:ascii="arial" w:eastAsia="arial" w:hAnsi="arial" w:cs="arial"/>
          <w:color w:val="000000"/>
          <w:sz w:val="20"/>
          <w:lang w:val="en-US" w:eastAsia="en-US" w:bidi="ar-SA"/>
        </w:rPr>
        <w:t>, s. 13, s. 14, s. 84, s. 89, s. 95, s. 101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53" w:name="Counsel_47"/>
      <w:bookmarkEnd w:id="25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3" style="position:absolute;z-index:2518097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Gregory P. McCaffery, in person. Peter A. Juk, for the defendants, Her Majesty the Queen In Right of the Province of British Columbia and Solicitor General of British Columbia namely, Alison MacPhail, Leah Bailey, Thea Vakil, Terry Barnett and E. Garry Spence. Tina-Marie Bradford, for the defendants, the British Columbia Government Employees Union namely, George Heyman, Kenneth Curry and Paul Johnston.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54" w:name="Judgment_47"/>
      <w:bookmarkEnd w:id="254"/>
      <w:r>
        <w:pict>
          <v:line id="_x0000_s1194" style="position:absolute;z-index:25181798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55" w:name="STEWART J."/>
            <w:bookmarkEnd w:id="255"/>
            <w:r>
              <w:rPr>
                <w:rFonts w:ascii="arial" w:eastAsia="arial" w:hAnsi="arial" w:cs="arial"/>
                <w:b/>
                <w:color w:val="000000"/>
                <w:sz w:val="30"/>
                <w:lang w:val="en-US" w:eastAsia="en-US" w:bidi="ar-SA"/>
              </w:rPr>
              <w:t>STEWART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endorsement on the Statement of Claim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 is; the defendants fraudulently misrepresented Mr. McCaffery's work history and professionalism, wrongfully dismissed the plaintiff and violated the plaintiff's Charter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Statement of Claim reads as follows: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THE SUPREME COURT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601"/>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BETWEEN: Gregory P. McCaffery</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Plaintiff</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Solicitor General Office of British Columbia, namely; Alison MacPhail, Leah Bailey, Thea Vakil, Terry Barnett and E. Garry Spence and British Columbia Government Employee's Union namely; George Heyman, Kenneth Curry and Paul Johnston</w:t>
      </w:r>
    </w:p>
    <w:p>
      <w:pPr>
        <w:spacing w:before="120" w:line="260" w:lineRule="atLeast"/>
        <w:ind w:left="3240"/>
        <w:rPr>
          <w:rFonts w:ascii="arial" w:eastAsia="arial" w:hAnsi="arial" w:cs="arial"/>
          <w:sz w:val="20"/>
          <w:lang w:val="en-US" w:eastAsia="en-US" w:bidi="ar-SA"/>
        </w:rPr>
      </w:pPr>
      <w:r>
        <w:rPr>
          <w:rFonts w:ascii="arial" w:eastAsia="arial" w:hAnsi="arial" w:cs="arial"/>
          <w:color w:val="000000"/>
          <w:sz w:val="20"/>
          <w:lang w:val="en-US" w:eastAsia="en-US" w:bidi="ar-SA"/>
        </w:rPr>
        <w:t>Defendants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STATEMENT OF CLAIM</w:t>
      </w:r>
      <w:r>
        <w:rPr>
          <w:rFonts w:ascii="arial" w:eastAsia="arial" w:hAnsi="arial" w:cs="arial"/>
          <w:sz w:val="20"/>
          <w:lang w:val="en-US" w:eastAsia="en-US" w:bidi="ar-SA"/>
        </w:rPr>
        <w:cr/>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Gregory P. McCaffery, am the Plaintiff in this matter and have personal knowledge of the matters and facts hereinafter deposed to, save where stated to be on information and belief and where so stated I verily believe the same to be true.</w:t>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 Garry Spence fraudulently misrepresented the circumstances regarding my obtaining information from ICBC. Mr. Spence had set an informal policy of allowing investigators to go on 'fishing expeditions', using the ICBC motor vehicle database. He then stated that access was only for the purpose of the Motor Dealer Act.</w:t>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 Garry Spence fraudulently misrepresented the fact that there was a policy for the obtaining of information in the office where in fact there was not.</w:t>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 Garry Spence fraudulently misrepresented his ordering me to pay a speeding ticket. This led to his eventual apparent Breach of Trust.</w:t>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 Garry Spence eventually committed perjury regarding this ticket and fraudulently misrepresented the circumstances when he stated under oath that 'it was on my way home' when, in fact, it was the opposite direction in the middle of the day.</w:t>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 Garry Spence fraudulently misrepresented statements I made regarding the release of information to other investigators. I had clearly stated that I release information during joint investigations. He claimed that this was an acknowledgement that I release information to acquaintances, which is a blatantly fraudulent misrepresentation made to discredit me to the union.</w:t>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 Garry Spence fraudulently misrepresented the handling of the Samuel Getaneh case knowing that to allow the Affidavit completed by myself would show that his Supervisor Terry Barnett committed an Abuse of Process. E. Garry Spence and Terry Barnett denied an Affidavit that would have saved elderly people thousands of dollars because it showed that Terry Barnett was taking inappropriate civil action while a criminal action was pending.</w:t>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Terry Barnett fraudulently misrepresented his e-mail of March 29, 2000, claiming that I had jeopardized his civil case when in fact he was aware that he was jeopardizing my criminal case that had started the previous year.</w:t>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 Garry Spence fraudulently misrepresented my handling of the Michael Homes case in stating that it was not completed when in fact the file was given to him directly by myself. He perjured himself to cover this fraudulent misrepresentation. Spence had stated under oath that he 'searched the entire office for the report' and never found it when in fact it a copy was in the files as required and the original was submitted to him personally.</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 Garry Spence fraudulently misrepresented the Court Information that was submitted in Arbitration stating that it proved that I had caused an abuse of Process when in fact it was a corrected Information, which proved that Terry Barnett had committed the Abuse of Process. E. Garry Spence perjured himself in making this claim in that he was aware of the original Information and never questioned me about it.</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 Garry Spence fraudulently misrepresented the handling of an original statement made to me by John Wilson. The original statement was provided to him on May 15, 2000 but he then asked for the original in writing on July 22, 2000 after he submitted a copy to his acquaintance Donald Gamble, a forensic specialist.</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 Garry Spence perjured himself and by doing so fraudulently misrepresented, the handling of John Wilson's statement in that he stated Mr. Wilson could not recall me being there when in fact Mr. Spence had earlier stated that Mr. Wilson could not remember what days I was there.</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Terry Barnett fraudulently misrepresented the receiving a complaint from ICBC in that he held it for over six weeks. He provided an undated document trying to claim that it was just received on January 20, 2000 when in fact it was received no later than December 16, 1999.</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 Garry Spence fraudulently misrepresented this complaint stating that it was held up at ICBC because they did not know who it was when in fact my name and office were clearly marked on the document.</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 Garry Spence and Terry Barnett fraudulently misrepresented my relationship to [x] in that they claimed that I was doing favours for an acquaintance.</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 Garry Spence and Terry Barnett fraudulently misrepresented, by innuendo, that I was receiving some sort of compensation from [x] when in fact there was none.</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 Garry Spence and Terry Barnett fraudulently misrepresented interviews where they were in fact attempting to have me charged with forgery but never advised me of my rights. As they are both special constables, and they knew they were doing a criminal investigation they were required to 'Charter and Warn' me and they did not.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 Garry Spence and Terry Barnett fraudulently misrepresented the submitted copy of the document in question to Donald Gamble implying that I may have committed forgery.</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 Garry Spence, Terry Barnett, Alison MacPhail and Leah Bailey fraudulently misrepresented that I had committed forgery to the RCMP, fourteen months after the false allegation, knowing it was a false allegation, so that they could mislead the RCM Police away from the Breach of Trust investigation made against them.</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Leah Bailey fraudulently misrepresented her investigation of my complaint in that she stated that there was no e-mail from Terry Barnett (March 29, 2000) demanding an explanation. Ms. Bailey was given a copy of this e-mail and it was easily accessible in my file as well as Mr. Spence's and Mr. Barnett's.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Leah Bailey fraudulently misrepresented her agreement to deny the Getaneh Affidavit in that she had no knowledge of the circumstances and did not have the expertise to make such a decision.</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Bailey fraudulently misrepresented this matter to the RCM Police when they did an investigation in that she refused to supply a copy of the e-mail. It is clear that she had not done a proper or thorough investigation because she did not write up a report until 14 months after the incident. This was apparently done to cover for Mr. Barnett and Mr. Spence because the police were investigating the Breach of Trust.</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Bailey fraudulently misrepresented her actions when she stated that it would not be investigated if it were shown that the matter was of no significance when it is clear from Mr. Barnett's e-mail that it was significant.</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Alison MacPhail fraudulently misrepresented her handling of my complaint. She stated that she had it forwarded to Mr. Spence and Mr. Barnett immediately due to natural justice, yet the complaint against me was held for 4 months before I was made aware of it and under the Special Constables Regulations, I was to be advised immediately. It appears that Ms. MacPhail had not even seen the complaint because her office had informed that she would be busy all day and that she would not be receiving any information.</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MacPhail fraudulently misrepresented that my case would be investigated and that it was significant to the complaint against me, as it appears that Ms. Bailey was advised not to bother investigating.</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MacPhail fraudulently misrepresented that she believes in natural justice when in fact it, it is clear that she did not allow this 'natural justice' for her union employees.</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Thea Vakil fraudulently misrepresented the reason for my dismissal in that there was no basis for a forgery claim, any misleading statements were made under duress in that there was not a proper interview and it was done by persons that knew I had made claims against them. The entire dismissal letter is a fraudulent misrepresentation in that there is no substance to any of the allegations. There was no forgery, there was no misleading of supervisors that was not done as the result of improper interviewing and there was sufficient reason to believe that the information released was of an extremely minor nature and done for a proper reason and there were significant mitigating circumstances.</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Johnston, Curry and Heyman fraudulently misrepresented that my complaint against management would cause management to walk out of arbitration. They would not allow me to demand that my complaint be investigated because it 'would interfere in my case'. This made no sense but they stated that they would have the matter investigated after they got me my job back.</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Curry fraudulently misrepresented himself when he stated that Mr. Spence's evidence was too strong because Mr. Curry was given the documents and questions necessary to prove that Mr. Spence had continually perjured himself in Arbitration.</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Curry fraudulently misrepresented that management would not agree to the Arbitrator when in fact they were only complaining about the dates.</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Curry fraudulently misrepresented the statement he received from Mr. Wilson in that he knew Mr. Wilson had no memory of the exact dates. Mr. Curry cannot support his claims, as he did not take statement from Mr. Wilson when I have a statement from Mr. Wilson supporting my claims.</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Curry fraudulently misrepresented the value of his forensic specialist in that it was of no value when in fact it was exactly what was needed. The specialist was satisfied that the signature in question was made by someone else other than myself. This is consistent with the likelihood that Mr. Spence tampered with it deliberately or made questionable copies or by sending it through facsimile machines.</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Curry fraudulently misrepresented his claim that he could not win shortly after he had sent a note claiming that the government had gone too far in all circumstances. Mr. Curry claims that this is a simply a ploy used by lawyers when in fact it shows that nothing he says can be trusted to have any validity.</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Curry, by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fraudulently misrepresented his chances of winning at the Arbitration in that he was given approximately 270 questions, which would show that all of Mr. Spence's evidence was questionable.</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Heyman fraudulently misrepresented the union position when he stated that the union did not condone criminal action by the government when in fact he never had any one in the union question the action of the government. This is obviously condoning the action.</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Johnston fraudulently misrepresented this matter when he stated that he 'could not do anything for Mr. McCaffery because he was accusing Mr. Spence of perjury'. The fact is, Mr. Spence's evidence was questionable in its totality and Mr. Johnston had a responsibility to protect me from this abuse of authority.</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Johnston fraudulently misrepresented that I was responsible for the allegations in the dismissal letter when in fact he had taken no action to determine if any of the allegations were valid.</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parties are responsible for denying me the natural justice that was given to Mr. Spence and Mr. Barnett.</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parties are responsible for denying my fundamental right to face my accusers, the fundamental right to life and liberty and the denial of procedural fairness or "due process". These actions were taken under the Criminal Code of Canada, the Charter of Rights and Freedoms and Labour Relations Law and as such have violated Section 7 of the Charter of Rights and Freedoms.</w:t>
      </w:r>
    </w:p>
    <w:p>
      <w:pPr>
        <w:numPr>
          <w:numId w:val="3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By allowing the fraudulent misrepresentations in the dismissal letter to stand, all parties have denied me the right to seek employment. If there was any validity to the claims then there would be reason for non-employment, but, Mr. Spence was never cross-examined and the documentation proves that there is no validity. The noting in the dismissal letter that I committed forgery insured that I could not get another job anywhere in Canada, yet they did not submit this claim to the police, at the time, because they knew it was false.</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Alison MacPhail, Leah Bailey, Thea Vakil, E. Garry Spence and Terry Barnett took no action to remove the forgery claim even when it was clear from their lawyer Mr. Peter Gall, that there was no validity to the allegation. The removal of the forgery would not have given sufficient grounds for dismissal but this shows their malice in that they took no action to remove it knowing it was false.</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 Garry Spence showed his clear intent on malice when he stated directly to me upon dismissing me, 'It serves you right for saying bad things against me!"</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 Garry Spence fraudulently misrepresented the circumstances of my interview with J. Wilson to the Police Services Branch when he claims that I was acting as a Consumer Services Investigator and not a Special Constable when in fact I was both at the time of the interview. Mr. Spence had to cover for him not following the requirements as stipulated in the Special Constables Regulations.</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noted here that this document has not requested documentation to support these claims but it is stated, here and now, that I have documentation to support all claims made herein and others as well.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claims as follows:</w:t>
      </w:r>
    </w:p>
    <w:p>
      <w:pPr>
        <w:numPr>
          <w:numId w:val="4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be required to continue employment as an unbroken record with full benefits since the time of the wrongful dismissal until the required retirement. In lieu, a payment of $905,000 (based on $55.000.00 per year for 17 years not including interest and raises) should be required.</w:t>
      </w:r>
    </w:p>
    <w:p>
      <w:pPr>
        <w:numPr>
          <w:numId w:val="4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pay all student fees that the plaintiff has incurred as a result of the wrongful dismissal which will be approximately $30,000.00 or higher.</w:t>
      </w:r>
    </w:p>
    <w:p>
      <w:pPr>
        <w:numPr>
          <w:numId w:val="4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be required to pay all court costs, as they are aware that they have acted maliciously.</w:t>
      </w:r>
    </w:p>
    <w:p>
      <w:pPr>
        <w:numPr>
          <w:numId w:val="4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union not to be allowed to withdraw where criminal allegations are made, unless proven or agreed to by the employee.</w:t>
      </w:r>
    </w:p>
    <w:p>
      <w:pPr>
        <w:numPr>
          <w:numId w:val="4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appropriate disciplinary action be taken against the parties.</w:t>
      </w:r>
    </w:p>
    <w:p>
      <w:pPr>
        <w:numPr>
          <w:numId w:val="4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be required to pay damages of $1,000,000.00 to the McCaffery family due to the malicious nature of their actions and for the long time suffering and damage to the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 ignore - because both counsel did - whatever problem or problems may arise from the plaintiff's naming as one of the defendants the "Solicitor General Office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defendants fall into two groups: (1) the plaintiff's erstwhile employer - who all before me simply referred to as the Provincial Government - plus MacPhail, Bailey, Vakil, Barnett and Spence; (2) the Union plus Heyman, Curry and Johnston.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If one looks only at the endorsement on the Writ and what appears on the Statement of Claim what comes through is that the action flows from the plaintiff's being dismissed from his job and the events that occurred as the Union set in train a process that resulted in an arbitration's at least getting under way. It was at that arbitration that Spence testified under oath. I note that fact simply because otherwise the reference in the Statement of Claim to Spence's having allegedly committed "perjury" is without meaning.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That much alone is sufficient to result in a discussion as to the applicability of the law as settled by the Supreme Court of Canada in Weber v. Ontario Hydro, </w:t>
      </w:r>
      <w:hyperlink r:id="rId974" w:history="1">
        <w:r>
          <w:rPr>
            <w:rFonts w:ascii="arial" w:eastAsia="arial" w:hAnsi="arial" w:cs="arial"/>
            <w:i/>
            <w:color w:val="0077CC"/>
            <w:sz w:val="20"/>
            <w:u w:val="single"/>
            <w:shd w:val="clear" w:color="auto" w:fill="FFFFFF"/>
            <w:lang w:val="en-US" w:eastAsia="en-US" w:bidi="ar-SA"/>
          </w:rPr>
          <w:t>[1995] 2 S.C.R. 929</w:t>
        </w:r>
      </w:hyperlink>
      <w:r>
        <w:rPr>
          <w:rFonts w:ascii="arial" w:eastAsia="arial" w:hAnsi="arial" w:cs="arial"/>
          <w:color w:val="000000"/>
          <w:sz w:val="20"/>
          <w:lang w:val="en-US" w:eastAsia="en-US" w:bidi="ar-SA"/>
        </w:rPr>
        <w:t xml:space="preserve"> and applied and explained by the courts of this province in cases such as Haight-Smith v. Neden, </w:t>
      </w:r>
      <w:hyperlink r:id="rId975" w:history="1">
        <w:r>
          <w:rPr>
            <w:rFonts w:ascii="arial" w:eastAsia="arial" w:hAnsi="arial" w:cs="arial"/>
            <w:i/>
            <w:color w:val="0077CC"/>
            <w:sz w:val="20"/>
            <w:u w:val="single"/>
            <w:shd w:val="clear" w:color="auto" w:fill="FFFFFF"/>
            <w:lang w:val="en-US" w:eastAsia="en-US" w:bidi="ar-SA"/>
          </w:rPr>
          <w:t>[2002] B.C.J. No. 375</w:t>
        </w:r>
      </w:hyperlink>
      <w:r>
        <w:rPr>
          <w:rFonts w:ascii="arial" w:eastAsia="arial" w:hAnsi="arial" w:cs="arial"/>
          <w:color w:val="000000"/>
          <w:sz w:val="20"/>
          <w:lang w:val="en-US" w:eastAsia="en-US" w:bidi="ar-SA"/>
        </w:rPr>
        <w:t xml:space="preserve">, </w:t>
      </w:r>
      <w:hyperlink r:id="rId975" w:history="1">
        <w:r>
          <w:rPr>
            <w:rFonts w:ascii="arial" w:eastAsia="arial" w:hAnsi="arial" w:cs="arial"/>
            <w:i/>
            <w:color w:val="0077CC"/>
            <w:sz w:val="20"/>
            <w:u w:val="single"/>
            <w:shd w:val="clear" w:color="auto" w:fill="FFFFFF"/>
            <w:lang w:val="en-US" w:eastAsia="en-US" w:bidi="ar-SA"/>
          </w:rPr>
          <w:t>2002 BCCA 132</w:t>
        </w:r>
      </w:hyperlink>
      <w:r>
        <w:rPr>
          <w:rFonts w:ascii="arial" w:eastAsia="arial" w:hAnsi="arial" w:cs="arial"/>
          <w:color w:val="000000"/>
          <w:sz w:val="20"/>
          <w:lang w:val="en-US" w:eastAsia="en-US" w:bidi="ar-SA"/>
        </w:rPr>
        <w:t xml:space="preserve">; Ancheta v. Joe, </w:t>
      </w:r>
      <w:hyperlink r:id="rId976" w:history="1">
        <w:r>
          <w:rPr>
            <w:rFonts w:ascii="arial" w:eastAsia="arial" w:hAnsi="arial" w:cs="arial"/>
            <w:i/>
            <w:color w:val="0077CC"/>
            <w:sz w:val="20"/>
            <w:u w:val="single"/>
            <w:shd w:val="clear" w:color="auto" w:fill="FFFFFF"/>
            <w:lang w:val="en-US" w:eastAsia="en-US" w:bidi="ar-SA"/>
          </w:rPr>
          <w:t>[2003] B.C.J. No. 112</w:t>
        </w:r>
      </w:hyperlink>
      <w:r>
        <w:rPr>
          <w:rFonts w:ascii="arial" w:eastAsia="arial" w:hAnsi="arial" w:cs="arial"/>
          <w:color w:val="000000"/>
          <w:sz w:val="20"/>
          <w:lang w:val="en-US" w:eastAsia="en-US" w:bidi="ar-SA"/>
        </w:rPr>
        <w:t xml:space="preserve">, </w:t>
      </w:r>
      <w:hyperlink r:id="rId976" w:history="1">
        <w:r>
          <w:rPr>
            <w:rFonts w:ascii="arial" w:eastAsia="arial" w:hAnsi="arial" w:cs="arial"/>
            <w:i/>
            <w:color w:val="0077CC"/>
            <w:sz w:val="20"/>
            <w:u w:val="single"/>
            <w:shd w:val="clear" w:color="auto" w:fill="FFFFFF"/>
            <w:lang w:val="en-US" w:eastAsia="en-US" w:bidi="ar-SA"/>
          </w:rPr>
          <w:t>2003 BCSC 93</w:t>
        </w:r>
      </w:hyperlink>
      <w:r>
        <w:rPr>
          <w:rFonts w:ascii="arial" w:eastAsia="arial" w:hAnsi="arial" w:cs="arial"/>
          <w:color w:val="000000"/>
          <w:sz w:val="20"/>
          <w:lang w:val="en-US" w:eastAsia="en-US" w:bidi="ar-SA"/>
        </w:rPr>
        <w:t xml:space="preserve"> and Blanco-Arriba v. B.C., </w:t>
      </w:r>
      <w:hyperlink r:id="rId977" w:history="1">
        <w:r>
          <w:rPr>
            <w:rFonts w:ascii="arial" w:eastAsia="arial" w:hAnsi="arial" w:cs="arial"/>
            <w:i/>
            <w:color w:val="0077CC"/>
            <w:sz w:val="20"/>
            <w:u w:val="single"/>
            <w:shd w:val="clear" w:color="auto" w:fill="FFFFFF"/>
            <w:lang w:val="en-US" w:eastAsia="en-US" w:bidi="ar-SA"/>
          </w:rPr>
          <w:t>[2001] B.C.J. No. 2376</w:t>
        </w:r>
      </w:hyperlink>
      <w:r>
        <w:rPr>
          <w:rFonts w:ascii="arial" w:eastAsia="arial" w:hAnsi="arial" w:cs="arial"/>
          <w:color w:val="000000"/>
          <w:sz w:val="20"/>
          <w:lang w:val="en-US" w:eastAsia="en-US" w:bidi="ar-SA"/>
        </w:rPr>
        <w:t xml:space="preserve">, </w:t>
      </w:r>
      <w:hyperlink r:id="rId977" w:history="1">
        <w:r>
          <w:rPr>
            <w:rFonts w:ascii="arial" w:eastAsia="arial" w:hAnsi="arial" w:cs="arial"/>
            <w:i/>
            <w:color w:val="0077CC"/>
            <w:sz w:val="20"/>
            <w:u w:val="single"/>
            <w:shd w:val="clear" w:color="auto" w:fill="FFFFFF"/>
            <w:lang w:val="en-US" w:eastAsia="en-US" w:bidi="ar-SA"/>
          </w:rPr>
          <w:t>2001 BCSC 1557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other words is the court without jurisdiction to entertain the action because the "essential character" of the dispute arises from the interpretation, application, administration or violation of a collective agreement entered into between an employer and a union in a jurisdiction in which the applicable labour legislation provides for binding arbitration? (See Weber v. Ontario Hydro, supra, at paragraphs 52, 37, 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affidavit material placed before me makes it clear that, if one puts aside questions of characterization, it is common ground that the events that bottom the plaintiff's action: begin with things done or not done by the plaintiff - a unionized employee represented by the B.C.G.E.U. - during the course of his employment as a Consumer Service Investigator within a division of a branch of a Ministry of the government of B.C.; move through a decision by his employer to suspend him without pay on May 11, 2000 and dismiss him on August 15, 2000; encompass the initiation by the B.C.G.E.U. of a grievance in connection with the plaintiff's dismissal, the getting under way of the resulting arbitration on January 22, 2001, a decision by the Union to withdraw the grievance, an unsuccessful appeal by the plaintiff of the decision to withdraw the grievance, the withdrawing of the grievance; and end with a complaint to the B.C. Labour Relations Board by the plaintiff alleging a breach by his union -the B.C.G.E.U. - of its duty of fair representation, which complaint was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pleadings do not explain who the defendants 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affidavit material makes it clear to me that Spence, Barnett, Vakil, Bailey and MacPhail were all on the employer's side of things and that all they did was done within their capacity as such.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Similarly the affidavit material makes it clear to me that Curry, Johnston and Heyman were all on the union side of things and that all they did was done in their capacity as such.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It is common ground that the defendant union - of which the plaintiff was a member - and the plaintiff's erstwhile employer are signatories to an agreement achieved through collective bargaining and that the collective agreement (Article 9) provides that disputes between the union and the employer are to be resolved through a grievance procedure culminating in arbitration.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It is a fact that the applicable labour legislation provides for binding arbitration.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Labour Relations Code, </w:t>
      </w:r>
      <w:r>
        <w:rPr>
          <w:rFonts w:ascii="arial" w:eastAsia="arial" w:hAnsi="arial" w:cs="arial"/>
          <w:i/>
          <w:color w:val="000000"/>
          <w:sz w:val="20"/>
          <w:lang w:val="en-US" w:eastAsia="en-US" w:bidi="ar-SA"/>
        </w:rPr>
        <w:t>R.S.B.C. 1996, c. 244</w:t>
      </w:r>
      <w:r>
        <w:rPr>
          <w:rFonts w:ascii="arial" w:eastAsia="arial" w:hAnsi="arial" w:cs="arial"/>
          <w:color w:val="000000"/>
          <w:sz w:val="20"/>
          <w:lang w:val="en-US" w:eastAsia="en-US" w:bidi="ar-SA"/>
        </w:rPr>
        <w:t xml:space="preserve"> sections 84, 95, 89, 101.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It is a fact that the applicable labour legislation encompasses not just employer/employee disputes but disputes between a union and an employee and the resolution of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Labour Relations Code sections 12, 13,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the face of it it is a clear case for a ruling that the court's jurisdiction has been ousted.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note here that I also accept that as a matter of common sense, logic and judicial dictum it follows that if Weber v. Ontario Hydro, supra, has application in the case at bar all of the individual defendants may take advantage of the ousting of the court's jurisdiction to entertain the action. (Haight-Smith v. Neden, supra, at paragraph 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But the denial of access to the courts is a serious thing. That's obvious. So I waited with interest to see what the plaintiff's answer would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short point is that the plaintiff's affidavit evidence and his submission only confirmed in my mind that this is a case caught by the law noted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To the extent the plaintiff's submission - both written and oral - grappled with the issue of law under discussion now it amounted to non sequiturs or a refusal to recognize that law that is settled and binding upon me provides that those who accept the benefits of membership in a union which is a signatory to a collective agreement must shoulder the attendant burdens, one of which is losing control over the dispute resolution procedure. (Weber v. Ontario Hydro, supra, as applied by this court in Ancheta v. Joe,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will give some examples:</w:t>
      </w:r>
      <w:r>
        <w:rPr>
          <w:rFonts w:ascii="arial" w:eastAsia="arial" w:hAnsi="arial" w:cs="arial"/>
          <w:sz w:val="20"/>
          <w:lang w:val="en-US" w:eastAsia="en-US" w:bidi="ar-SA"/>
        </w:rPr>
        <w:cr/>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bottom much of what the plaintiff submits is based on the premise that the fact that one of the reasons given for his dismissal - forgery - could have resulted in a charge being levelled against him under the Criminal Code necessarily takes this case outside of the "essential character" demanded by Weber v. Ontario Hydro, supra, for the ousting of the court's jurisdiction. With respect, that submission is a non sequitur.</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Repeatedly the plaintiff asserts that if the "Special Provincial Constable Complaint Procedure Regulation" (</w:t>
      </w:r>
      <w:hyperlink r:id="rId978" w:history="1">
        <w:r>
          <w:rPr>
            <w:rFonts w:ascii="arial" w:eastAsia="arial" w:hAnsi="arial" w:cs="arial"/>
            <w:i/>
            <w:color w:val="0077CC"/>
            <w:sz w:val="20"/>
            <w:u w:val="single"/>
            <w:shd w:val="clear" w:color="auto" w:fill="FFFFFF"/>
            <w:lang w:val="en-US" w:eastAsia="en-US" w:bidi="ar-SA"/>
          </w:rPr>
          <w:t>B.C. Reg. 206/98</w:t>
        </w:r>
      </w:hyperlink>
      <w:r>
        <w:rPr>
          <w:rFonts w:ascii="arial" w:eastAsia="arial" w:hAnsi="arial" w:cs="arial"/>
          <w:color w:val="000000"/>
          <w:sz w:val="20"/>
          <w:lang w:val="en-US" w:eastAsia="en-US" w:bidi="ar-SA"/>
        </w:rPr>
        <w:t xml:space="preserve"> O.C. 724/98) had application to him, the way in which his alleged sins as an employee were investigated was contrary to the demands of the Regulation, thus, says the plaintiff, taking the case outside of the "essential character" demanded by Weber v. Ontario Hydro, supra. On the face of it the Regulation was irrelevant to what was afoot in the case at bar. If it had relevance in the case at bar then the arbitrator had jurisdiction to consider it. For the purposes of considering the application of Weber v. Ontario Hydro, supra, to the case at bar the plaintiff's submission is either nothing or a non sequitur.</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takes the position that as he asserts that his rights under the Charter were infringed or denied it follows that he must have access to the court. That is a classic non sequitur. On the face of the legislation the inferior tribunal's jurisdiction would encompass consideration of the Charter, and, on the case law (Weber v. Ontario Hydro, supra), there is no Constitutional bar to its doing so.</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Sprinkled throughout the plaintiff's submission is a frontal assault on settled law which law is to the effect that the union has control of the employee's side of the dispute resolution procedure with a residual right to resolution by a third party of an allegation by the employee of a breach of the union's duty of fair representation. The plaintiff's submission amounts to nothing more than an assertion that the law ought to be other than it 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What I have just stated are simply examples of the problems that I say put paid to each attempt by the plaintiff to take the case outside the law as settled by the Supreme Court of Canada in Weber v. Ontario Hydro,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my opinion the point taken by all of the defendants is unanswerable. The court is without jurisdiction to entertain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At this late stage of these reasons for judgment I turn to the question of the appropriate procedural vehicle. There are two separate motions before the court. One motion is brought by those on the government side; one motion is brought by those on the union side. Insofar as the question of absence of jurisdiction to entertain the action is concerned, it seems to me that the better procedural vehicle is the invoking by all of the defendants of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the result having conducted a summary trial under Rule 18A on the issue of jurisdiction I order that the plaintiff's action is dismissed for want of jurisdiction. There is precedent for making such an order at the conclusion of a trial. (Westmoreland v. Gorman, </w:t>
      </w:r>
      <w:hyperlink r:id="rId979" w:history="1">
        <w:r>
          <w:rPr>
            <w:rFonts w:ascii="arial" w:eastAsia="arial" w:hAnsi="arial" w:cs="arial"/>
            <w:i/>
            <w:color w:val="0077CC"/>
            <w:sz w:val="20"/>
            <w:u w:val="single"/>
            <w:shd w:val="clear" w:color="auto" w:fill="FFFFFF"/>
            <w:lang w:val="en-US" w:eastAsia="en-US" w:bidi="ar-SA"/>
          </w:rPr>
          <w:t>[2003] B.C.J. No. 721</w:t>
        </w:r>
      </w:hyperlink>
      <w:r>
        <w:rPr>
          <w:rFonts w:ascii="arial" w:eastAsia="arial" w:hAnsi="arial" w:cs="arial"/>
          <w:color w:val="000000"/>
          <w:sz w:val="20"/>
          <w:lang w:val="en-US" w:eastAsia="en-US" w:bidi="ar-SA"/>
        </w:rPr>
        <w:t xml:space="preserve">, </w:t>
      </w:r>
      <w:hyperlink r:id="rId979" w:history="1">
        <w:r>
          <w:rPr>
            <w:rFonts w:ascii="arial" w:eastAsia="arial" w:hAnsi="arial" w:cs="arial"/>
            <w:i/>
            <w:color w:val="0077CC"/>
            <w:sz w:val="20"/>
            <w:u w:val="single"/>
            <w:shd w:val="clear" w:color="auto" w:fill="FFFFFF"/>
            <w:lang w:val="en-US" w:eastAsia="en-US" w:bidi="ar-SA"/>
          </w:rPr>
          <w:t>2003 BCSC 447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the face of it costs follow the event, Scale 3. Costs may be spoken to if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As to the request that approval by the plaintiff of the form of the order be dispensed with, I exercise my discretion against making such an order. Nothing was drawn to my attention that provided a basis for my exercising my discretion against the plaintiff in this connection.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At the hearing that was conducted on February 3/4, 2004 there was confusion as to exactly what the plaintiff had provided by way of affidavit evidence. The record of the proceedings on February 3/4 will make that clear. In order to attempt to keep things clear as to what finally was before me on February 3/4 I am going to send the trial record and the affidavit that the plaintiff handed up to me to the registry with a request that these materials be retained and not handed back to counsel or the plaintiff. I do this so that if this case goes forward to the Court of Appeal there will be no doubt as to what was in fact before me during the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Judgment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STEWART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pPr>
      <w:r>
        <w:rPr>
          <w:rFonts w:ascii="arial" w:eastAsia="arial" w:hAnsi="arial" w:cs="arial"/>
          <w:sz w:val="20"/>
          <w:lang w:val="en-US" w:eastAsia="en-US" w:bidi="ar-SA"/>
        </w:rPr>
        <w:br/>
      </w:r>
      <w:r>
        <w:pict>
          <v:line id="_x0000_s1195" style="position:absolute;z-index:251822080"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Crown West Steel Fabricators v. Capri Insurance Services Ltd., [2001] I.L.R. para. G-1449</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Crump v. Bonin, [2006] B.C.J. No. 3170</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Danielson v. Janze, [2017] B.C.J. No. 492</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Davis v. Jeyaratnam, [2019] B.C.J. No. 1880</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Deline v. Vancouver Talmud Torah Assn., [2020] B.C.J. No. 274</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Fines v. Johnson, [2020] B.C.J. No. 424</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Francescutto v. Church, [2014] B.C.J. No. 638</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Gee v. Bock, [2019] B.C.J. No. 1530</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Gill v. Canada (Minister of Transport), [2014] B.C.J. No. 2921</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Gladwell (Litigation guardian of) v. Busletta, [2018] B.C.J. No. 3570</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Hoessmann Estate v. Aldergrove Credit Union, [2018] B.C.J. No. 303</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Hung Fook Canada Ltd. v. Silcorp Ltd. (c.o.b. Mac's Convenience Stores), [2000] B.C.J. No. 404</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Jones Estate v. Insurance Corp. of British Columbia, [2019] B.C.J. No. 2493</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Jory v. Pereira, [2019] B.C.J. No. 1643</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Kerr v. Hall, [2013] B.C.J. No. 2810</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Lampkin v. Walls, [2016] B.C.J. No. 1154</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Larsen v. Larsen, [2004] B.C.J. No. 399</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Malhotra v. Waterfront Homes Ltd., [2015] B.C.J. No. 1297</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McPhail v. Ross, [2019] B.C.J. No. 20</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M.D.A. Marine Design Associates Ltd. v. British Columbia Ferry Services Inc., [2009] B.C.J. No. 1946</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Mular v. Lawrence, [2013] B.C.J. No. 1410</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Nyffenegger v. Chand, [2011] B.C.J. No. 2691</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Orr v. Faucher, [2005] B.C.J. No. 2044</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Pan v. Shihundu, [2014] B.C.J. No. 523</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Pearlman v. Insurance Corp. of British Columbia, [2009] B.C.J. No. 2849</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Rabiee v. Rendleman, [2015] B.C.J. No. 701</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Randhawa v. Evans, [2019] B.C.J. No. 904</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R.J.R. v. P.M.R., [2019] B.C.J. No. 33</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Rockall v. Alberni Construction Ltd., [2013] B.C.J. No. 3075</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 v. Oswald, [2019] B.C.J. No. 1001</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Samra v. Bring, [2020] B.C.J. No. 137</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Sandhu v. Hennessy, [2020] B.C.J. No. 543</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Scoffield v. Jentsch, [2012] B.C.J. No. 1590</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Seaward v. Canada (Attorney General), [2019] B.C.J. No. 1427</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Senner v. GE Canada Leasing Services Co., [2018] B.C.J. No. 2863</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Shoghi v. Lin, [2019] B.C.J. No. 2009</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Silverstone Trucking Ltd. v. Pacific Dispatch Ltd., [2015] B.C.J. No. 656</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Singh v. Lepitre, [2019] B.C.J. No. 1905</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Singh v. Reddy, [2020] B.C.J. No. 484</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Strauss v. Jarvis, [2005] B.C.J. No. 2946</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Stull v. Cunningham, [2013] B.C.J. No. 1385</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Toronto-Dominion Bank v. Ng, [2015] B.C.J. No. 1547</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Turkson v. TD Direct Investing, a Division of TD Waterhouse Canada Inc., [2016] B.C.J. No. 838</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Williamsburg Water Utility Co. v. Water Rights-Water Management Branch, [2019] B.C.J. No. 2308</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Fontaine v. Canada (Attorney General), [2020] B.C.J. No. 26</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Freshway Specialty Foods Inc. (Re), [2007] B.C.J. No. 827</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Holt v. Farm Industry Review Board, [2014] B.C.J. No. 1930</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Lord v. Canada (Attorney General), [2001] B.C.J. No. 205</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Mainland Sawmills Ltd. v. United Steel, Paper and Forestry, Rubber, Manufacturing, Energy, Allied Industrial and Service Workers International Union, Local 1-35....</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McCaffery v. British Columbia (Solicitor General Office), [2004] B.C.J. No. 217</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decimal"/>
      <w:lvlText w:val="13."/>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14."/>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15."/>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35."/>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3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62."/>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5"/>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6"/>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2"/>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3"/>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5)"/>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5"/>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6"/>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7"/>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8"/>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lowerRoman"/>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0"/>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3"/>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4"/>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5"/>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1"/>
      <w:numFmt w:val="lowerRoman"/>
      <w:lvlText w:val=" %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1"/>
      <w:numFmt w:val="decimal"/>
      <w:lvlText w:val="ii."/>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1"/>
      <w:numFmt w:val="decimal"/>
      <w:lvlText w:val="iii."/>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4"/>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1"/>
      <w:numFmt w:val="lowerRoman"/>
      <w:lvlText w:val=" %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1"/>
      <w:numFmt w:val="decimal"/>
      <w:lvlText w:val="ii."/>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1"/>
      <w:numFmt w:val="decimal"/>
      <w:lvlText w:val=" %1."/>
      <w:lvlJc w:val="left"/>
      <w:pPr>
        <w:tabs>
          <w:tab w:val="num" w:pos="2560"/>
        </w:tabs>
        <w:ind w:left="25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2"/>
      <w:numFmt w:val="decimal"/>
      <w:lvlText w:val=" %1."/>
      <w:lvlJc w:val="left"/>
      <w:pPr>
        <w:tabs>
          <w:tab w:val="num" w:pos="2560"/>
        </w:tabs>
        <w:ind w:left="25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3"/>
      <w:numFmt w:val="decimal"/>
      <w:lvlText w:val=" %1."/>
      <w:lvlJc w:val="left"/>
      <w:pPr>
        <w:tabs>
          <w:tab w:val="num" w:pos="2560"/>
        </w:tabs>
        <w:ind w:left="25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6"/>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0000038"/>
    <w:multiLevelType w:val="multilevel"/>
    <w:tmpl w:val="00000038"/>
    <w:lvl w:ilvl="0">
      <w:start w:val="7"/>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multilevel"/>
    <w:tmpl w:val="00000039"/>
    <w:lvl w:ilvl="0">
      <w:start w:val="8"/>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000003A"/>
    <w:multiLevelType w:val="multilevel"/>
    <w:tmpl w:val="0000003A"/>
    <w:lvl w:ilvl="0">
      <w:start w:val="9"/>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multilevel"/>
    <w:tmpl w:val="0000003B"/>
    <w:lvl w:ilvl="0">
      <w:start w:val="1"/>
      <w:numFmt w:val="decimal"/>
      <w:lvlText w:val="10."/>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0000003C"/>
    <w:multiLevelType w:val="multilevel"/>
    <w:tmpl w:val="0000003C"/>
    <w:lvl w:ilvl="0">
      <w:start w:val="1"/>
      <w:numFmt w:val="decimal"/>
      <w:lvlText w:val="1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0000003D"/>
    <w:multiLevelType w:val="multilevel"/>
    <w:tmpl w:val="0000003D"/>
    <w:lvl w:ilvl="0">
      <w:start w:val="1"/>
      <w:numFmt w:val="decimal"/>
      <w:lvlText w:val="12."/>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0000003E"/>
    <w:multiLevelType w:val="multilevel"/>
    <w:tmpl w:val="0000003E"/>
    <w:lvl w:ilvl="0">
      <w:start w:val="1"/>
      <w:numFmt w:val="decimal"/>
      <w:lvlText w:val="13."/>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0000003F"/>
    <w:multiLevelType w:val="multilevel"/>
    <w:tmpl w:val="0000003F"/>
    <w:lvl w:ilvl="0">
      <w:start w:val="1"/>
      <w:numFmt w:val="decimal"/>
      <w:lvlText w:val="14."/>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00000040"/>
    <w:multiLevelType w:val="multilevel"/>
    <w:tmpl w:val="00000040"/>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00000041"/>
    <w:multiLevelType w:val="multilevel"/>
    <w:tmpl w:val="00000041"/>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00000042"/>
    <w:multiLevelType w:val="multilevel"/>
    <w:tmpl w:val="00000042"/>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00000043"/>
    <w:multiLevelType w:val="multilevel"/>
    <w:tmpl w:val="00000043"/>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00000044"/>
    <w:multiLevelType w:val="multilevel"/>
    <w:tmpl w:val="00000044"/>
    <w:lvl w:ilvl="0">
      <w:start w:val="5"/>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00000045"/>
    <w:multiLevelType w:val="multilevel"/>
    <w:tmpl w:val="00000045"/>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00000046"/>
    <w:multiLevelType w:val="multilevel"/>
    <w:tmpl w:val="00000046"/>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00000047"/>
    <w:multiLevelType w:val="multilevel"/>
    <w:tmpl w:val="00000047"/>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00000048"/>
    <w:multiLevelType w:val="multilevel"/>
    <w:tmpl w:val="00000048"/>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00000049"/>
    <w:multiLevelType w:val="multilevel"/>
    <w:tmpl w:val="00000049"/>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0000004A"/>
    <w:multiLevelType w:val="multilevel"/>
    <w:tmpl w:val="0000004A"/>
    <w:lvl w:ilvl="0">
      <w:start w:val="1"/>
      <w:numFmt w:val="low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0000004B"/>
    <w:multiLevelType w:val="multilevel"/>
    <w:tmpl w:val="0000004B"/>
    <w:lvl w:ilvl="0">
      <w:start w:val="1"/>
      <w:numFmt w:val="lowerRoman"/>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0000004C"/>
    <w:multiLevelType w:val="multilevel"/>
    <w:tmpl w:val="0000004C"/>
    <w:lvl w:ilvl="0">
      <w:start w:val="1"/>
      <w:numFmt w:val="decimal"/>
      <w:lvlText w:val="(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0000004D"/>
    <w:multiLevelType w:val="multilevel"/>
    <w:tmpl w:val="0000004D"/>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02B0003F"/>
    <w:multiLevelType w:val="multilevel"/>
    <w:tmpl w:val="00000001"/>
    <w:lvl w:ilvl="0">
      <w:start w:val="7"/>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07FD12EB"/>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080075E6"/>
    <w:multiLevelType w:val="multilevel"/>
    <w:tmpl w:val="00000001"/>
    <w:lvl w:ilvl="0">
      <w:start w:val="1"/>
      <w:numFmt w:val="decimal"/>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1005253F"/>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11406446"/>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13631358"/>
    <w:multiLevelType w:val="multilevel"/>
    <w:tmpl w:val="00000001"/>
    <w:lvl w:ilvl="0">
      <w:start w:val="1"/>
      <w:numFmt w:val="decimal"/>
      <w:lvlText w:val="15."/>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1523398A"/>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nsid w:val="1648D973"/>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17FD135B"/>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197661A8"/>
    <w:multiLevelType w:val="multilevel"/>
    <w:tmpl w:val="00000001"/>
    <w:lvl w:ilvl="0">
      <w:start w:val="1"/>
      <w:numFmt w:val="decimal"/>
      <w:lvlText w:val="2(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nsid w:val="1C0D3337"/>
    <w:multiLevelType w:val="multilevel"/>
    <w:tmpl w:val="00000001"/>
    <w:lvl w:ilvl="0">
      <w:start w:val="1"/>
      <w:numFmt w:val="lowerRoman"/>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nsid w:val="1F42094C"/>
    <w:multiLevelType w:val="multilevel"/>
    <w:tmpl w:val="00000001"/>
    <w:lvl w:ilvl="0">
      <w:start w:val="1"/>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1F514B1E"/>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nsid w:val="239EF842"/>
    <w:multiLevelType w:val="multilevel"/>
    <w:tmpl w:val="00000001"/>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nsid w:val="2835C3E1"/>
    <w:multiLevelType w:val="multilevel"/>
    <w:tmpl w:val="00000001"/>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nsid w:val="2A258285"/>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nsid w:val="2F73B295"/>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nsid w:val="3519E149"/>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nsid w:val="362CE2A7"/>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nsid w:val="441E2B2B"/>
    <w:multiLevelType w:val="multilevel"/>
    <w:tmpl w:val="00000001"/>
    <w:lvl w:ilvl="0">
      <w:start w:val="1"/>
      <w:numFmt w:val="upperRoman"/>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nsid w:val="44C67566"/>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nsid w:val="475DE667"/>
    <w:multiLevelType w:val="multilevel"/>
    <w:tmpl w:val="00000001"/>
    <w:lvl w:ilvl="0">
      <w:start w:val="1"/>
      <w:numFmt w:val="upp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nsid w:val="47967A78"/>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nsid w:val="47CAC319"/>
    <w:multiLevelType w:val="multilevel"/>
    <w:tmpl w:val="00000001"/>
    <w:lvl w:ilvl="0">
      <w:start w:val="1"/>
      <w:numFmt w:val="decimal"/>
      <w:lvlText w:val="46."/>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nsid w:val="4C7352E8"/>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nsid w:val="509350A0"/>
    <w:multiLevelType w:val="multilevel"/>
    <w:tmpl w:val="0000000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3">
    <w:nsid w:val="529B23FF"/>
    <w:multiLevelType w:val="multilevel"/>
    <w:tmpl w:val="00000001"/>
    <w:lvl w:ilvl="0">
      <w:start w:val="1"/>
      <w:numFmt w:val="decimal"/>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4">
    <w:nsid w:val="591E2230"/>
    <w:multiLevelType w:val="multilevel"/>
    <w:tmpl w:val="00000001"/>
    <w:lvl w:ilvl="0">
      <w:start w:val="1"/>
      <w:numFmt w:val="decimal"/>
      <w:lvlText w:val="47."/>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5">
    <w:nsid w:val="5C307CE8"/>
    <w:multiLevelType w:val="multilevel"/>
    <w:tmpl w:val="00000001"/>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6">
    <w:nsid w:val="622BC225"/>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7">
    <w:nsid w:val="6343C694"/>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8">
    <w:nsid w:val="63578C26"/>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9">
    <w:nsid w:val="64463E95"/>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0">
    <w:nsid w:val="6713D64B"/>
    <w:multiLevelType w:val="multilevel"/>
    <w:tmpl w:val="00000001"/>
    <w:lvl w:ilvl="0">
      <w:start w:val="1"/>
      <w:numFmt w:val="lowerLetter"/>
      <w:lvlText w:val=" %1)"/>
      <w:lvlJc w:val="left"/>
      <w:pPr>
        <w:tabs>
          <w:tab w:val="num" w:pos="1120"/>
        </w:tabs>
        <w:ind w:left="1120" w:hanging="400"/>
      </w:pPr>
      <w:rPr>
        <w:b/>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1">
    <w:nsid w:val="6AEF0187"/>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2">
    <w:nsid w:val="6D6E8B74"/>
    <w:multiLevelType w:val="multilevel"/>
    <w:tmpl w:val="00000001"/>
    <w:lvl w:ilvl="0">
      <w:start w:val="1"/>
      <w:numFmt w:val="decimal"/>
      <w:lvlText w:val="(53)"/>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3">
    <w:nsid w:val="7198AE6C"/>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4">
    <w:nsid w:val="73BC8EFC"/>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5">
    <w:nsid w:val="769F2154"/>
    <w:multiLevelType w:val="multilevel"/>
    <w:tmpl w:val="00000001"/>
    <w:lvl w:ilvl="0">
      <w:start w:val="8"/>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6">
    <w:nsid w:val="76C2B59C"/>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7">
    <w:nsid w:val="7E669992"/>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110"/>
  </w:num>
  <w:num w:numId="22">
    <w:abstractNumId w:val="20"/>
  </w:num>
  <w:num w:numId="23">
    <w:abstractNumId w:val="21"/>
  </w:num>
  <w:num w:numId="24">
    <w:abstractNumId w:val="22"/>
  </w:num>
  <w:num w:numId="25">
    <w:abstractNumId w:val="23"/>
  </w:num>
  <w:num w:numId="26">
    <w:abstractNumId w:val="24"/>
  </w:num>
  <w:num w:numId="27">
    <w:abstractNumId w:val="104"/>
  </w:num>
  <w:num w:numId="28">
    <w:abstractNumId w:val="117"/>
  </w:num>
  <w:num w:numId="29">
    <w:abstractNumId w:val="102"/>
  </w:num>
  <w:num w:numId="30">
    <w:abstractNumId w:val="25"/>
  </w:num>
  <w:num w:numId="31">
    <w:abstractNumId w:val="113"/>
  </w:num>
  <w:num w:numId="32">
    <w:abstractNumId w:val="26"/>
  </w:num>
  <w:num w:numId="33">
    <w:abstractNumId w:val="27"/>
  </w:num>
  <w:num w:numId="34">
    <w:abstractNumId w:val="28"/>
  </w:num>
  <w:num w:numId="35">
    <w:abstractNumId w:val="29"/>
  </w:num>
  <w:num w:numId="36">
    <w:abstractNumId w:val="30"/>
  </w:num>
  <w:num w:numId="37">
    <w:abstractNumId w:val="31"/>
  </w:num>
  <w:num w:numId="38">
    <w:abstractNumId w:val="32"/>
  </w:num>
  <w:num w:numId="39">
    <w:abstractNumId w:val="33"/>
  </w:num>
  <w:num w:numId="40">
    <w:abstractNumId w:val="34"/>
  </w:num>
  <w:num w:numId="41">
    <w:abstractNumId w:val="35"/>
  </w:num>
  <w:num w:numId="42">
    <w:abstractNumId w:val="36"/>
  </w:num>
  <w:num w:numId="43">
    <w:abstractNumId w:val="37"/>
  </w:num>
  <w:num w:numId="44">
    <w:abstractNumId w:val="38"/>
  </w:num>
  <w:num w:numId="45">
    <w:abstractNumId w:val="39"/>
  </w:num>
  <w:num w:numId="46">
    <w:abstractNumId w:val="40"/>
  </w:num>
  <w:num w:numId="47">
    <w:abstractNumId w:val="41"/>
  </w:num>
  <w:num w:numId="48">
    <w:abstractNumId w:val="42"/>
  </w:num>
  <w:num w:numId="49">
    <w:abstractNumId w:val="43"/>
  </w:num>
  <w:num w:numId="50">
    <w:abstractNumId w:val="44"/>
  </w:num>
  <w:num w:numId="51">
    <w:abstractNumId w:val="93"/>
  </w:num>
  <w:num w:numId="52">
    <w:abstractNumId w:val="45"/>
  </w:num>
  <w:num w:numId="53">
    <w:abstractNumId w:val="46"/>
  </w:num>
  <w:num w:numId="54">
    <w:abstractNumId w:val="47"/>
  </w:num>
  <w:num w:numId="55">
    <w:abstractNumId w:val="48"/>
  </w:num>
  <w:num w:numId="56">
    <w:abstractNumId w:val="49"/>
  </w:num>
  <w:num w:numId="57">
    <w:abstractNumId w:val="50"/>
  </w:num>
  <w:num w:numId="58">
    <w:abstractNumId w:val="51"/>
  </w:num>
  <w:num w:numId="59">
    <w:abstractNumId w:val="52"/>
  </w:num>
  <w:num w:numId="60">
    <w:abstractNumId w:val="53"/>
  </w:num>
  <w:num w:numId="61">
    <w:abstractNumId w:val="54"/>
  </w:num>
  <w:num w:numId="62">
    <w:abstractNumId w:val="55"/>
  </w:num>
  <w:num w:numId="63">
    <w:abstractNumId w:val="56"/>
  </w:num>
  <w:num w:numId="64">
    <w:abstractNumId w:val="57"/>
  </w:num>
  <w:num w:numId="65">
    <w:abstractNumId w:val="58"/>
  </w:num>
  <w:num w:numId="66">
    <w:abstractNumId w:val="59"/>
  </w:num>
  <w:num w:numId="67">
    <w:abstractNumId w:val="60"/>
  </w:num>
  <w:num w:numId="68">
    <w:abstractNumId w:val="61"/>
  </w:num>
  <w:num w:numId="69">
    <w:abstractNumId w:val="62"/>
  </w:num>
  <w:num w:numId="70">
    <w:abstractNumId w:val="99"/>
  </w:num>
  <w:num w:numId="71">
    <w:abstractNumId w:val="115"/>
  </w:num>
  <w:num w:numId="72">
    <w:abstractNumId w:val="80"/>
  </w:num>
  <w:num w:numId="73">
    <w:abstractNumId w:val="105"/>
  </w:num>
  <w:num w:numId="74">
    <w:abstractNumId w:val="116"/>
  </w:num>
  <w:num w:numId="75">
    <w:abstractNumId w:val="109"/>
  </w:num>
  <w:num w:numId="76">
    <w:abstractNumId w:val="107"/>
  </w:num>
  <w:num w:numId="77">
    <w:abstractNumId w:val="79"/>
  </w:num>
  <w:num w:numId="78">
    <w:abstractNumId w:val="89"/>
  </w:num>
  <w:num w:numId="79">
    <w:abstractNumId w:val="112"/>
  </w:num>
  <w:num w:numId="80">
    <w:abstractNumId w:val="92"/>
  </w:num>
  <w:num w:numId="81">
    <w:abstractNumId w:val="96"/>
  </w:num>
  <w:num w:numId="82">
    <w:abstractNumId w:val="90"/>
  </w:num>
  <w:num w:numId="83">
    <w:abstractNumId w:val="101"/>
  </w:num>
  <w:num w:numId="84">
    <w:abstractNumId w:val="103"/>
  </w:num>
  <w:num w:numId="85">
    <w:abstractNumId w:val="114"/>
  </w:num>
  <w:num w:numId="86">
    <w:abstractNumId w:val="81"/>
  </w:num>
  <w:num w:numId="87">
    <w:abstractNumId w:val="98"/>
  </w:num>
  <w:num w:numId="88">
    <w:abstractNumId w:val="85"/>
  </w:num>
  <w:num w:numId="89">
    <w:abstractNumId w:val="78"/>
  </w:num>
  <w:num w:numId="90">
    <w:abstractNumId w:val="63"/>
  </w:num>
  <w:num w:numId="91">
    <w:abstractNumId w:val="64"/>
  </w:num>
  <w:num w:numId="92">
    <w:abstractNumId w:val="65"/>
  </w:num>
  <w:num w:numId="93">
    <w:abstractNumId w:val="66"/>
  </w:num>
  <w:num w:numId="94">
    <w:abstractNumId w:val="67"/>
  </w:num>
  <w:num w:numId="95">
    <w:abstractNumId w:val="68"/>
  </w:num>
  <w:num w:numId="96">
    <w:abstractNumId w:val="69"/>
  </w:num>
  <w:num w:numId="97">
    <w:abstractNumId w:val="70"/>
  </w:num>
  <w:num w:numId="98">
    <w:abstractNumId w:val="71"/>
  </w:num>
  <w:num w:numId="99">
    <w:abstractNumId w:val="72"/>
  </w:num>
  <w:num w:numId="100">
    <w:abstractNumId w:val="73"/>
  </w:num>
  <w:num w:numId="101">
    <w:abstractNumId w:val="74"/>
  </w:num>
  <w:num w:numId="102">
    <w:abstractNumId w:val="75"/>
  </w:num>
  <w:num w:numId="103">
    <w:abstractNumId w:val="76"/>
  </w:num>
  <w:num w:numId="104">
    <w:abstractNumId w:val="77"/>
  </w:num>
  <w:num w:numId="105">
    <w:abstractNumId w:val="83"/>
  </w:num>
  <w:num w:numId="106">
    <w:abstractNumId w:val="108"/>
  </w:num>
  <w:num w:numId="107">
    <w:abstractNumId w:val="87"/>
  </w:num>
  <w:num w:numId="108">
    <w:abstractNumId w:val="94"/>
  </w:num>
  <w:num w:numId="109">
    <w:abstractNumId w:val="82"/>
  </w:num>
  <w:num w:numId="110">
    <w:abstractNumId w:val="100"/>
  </w:num>
  <w:num w:numId="111">
    <w:abstractNumId w:val="88"/>
  </w:num>
  <w:num w:numId="112">
    <w:abstractNumId w:val="84"/>
  </w:num>
  <w:num w:numId="113">
    <w:abstractNumId w:val="91"/>
  </w:num>
  <w:num w:numId="114">
    <w:abstractNumId w:val="111"/>
  </w:num>
  <w:num w:numId="115">
    <w:abstractNumId w:val="106"/>
  </w:num>
  <w:num w:numId="116">
    <w:abstractNumId w:val="86"/>
  </w:num>
  <w:num w:numId="117">
    <w:abstractNumId w:val="95"/>
  </w:num>
  <w:num w:numId="118">
    <w:abstractNumId w:val="9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ca&amp;id=urn:contentItem:5K6Y-81T1-F7VM-S3WT-00000-00&amp;context=" TargetMode="External" /><Relationship Id="rId100" Type="http://schemas.openxmlformats.org/officeDocument/2006/relationships/hyperlink" Target="https://advance.lexis.com/api/document?collection=cases-ca&amp;id=urn:contentItem:5H60-GJS1-FD4T-B15X-00000-00&amp;context=" TargetMode="External" /><Relationship Id="rId101" Type="http://schemas.openxmlformats.org/officeDocument/2006/relationships/hyperlink" Target="https://advance.lexis.com/api/document?collection=cases-ca&amp;id=urn:contentItem:5MM5-X7R1-F4W2-60T3-00000-00&amp;context=" TargetMode="External" /><Relationship Id="rId102" Type="http://schemas.openxmlformats.org/officeDocument/2006/relationships/hyperlink" Target="https://advance.lexis.com/api/document?collection=cases-ca&amp;id=urn:contentItem:5F7T-S7D1-FBFS-S1M7-00000-00&amp;context=" TargetMode="External" /><Relationship Id="rId103" Type="http://schemas.openxmlformats.org/officeDocument/2006/relationships/hyperlink" Target="https://advance.lexis.com/api/document?collection=cases-ca&amp;id=urn:contentItem:5SBM-WNB1-FGJR-21XP-00000-00&amp;context=" TargetMode="External" /><Relationship Id="rId104" Type="http://schemas.openxmlformats.org/officeDocument/2006/relationships/hyperlink" Target="https://advance.lexis.com/api/document?collection=cases-ca&amp;id=urn:contentItem:5G3H-VVF1-JSRM-62N9-00000-00&amp;context=" TargetMode="External" /><Relationship Id="rId105" Type="http://schemas.openxmlformats.org/officeDocument/2006/relationships/hyperlink" Target="https://advance.lexis.com/api/document?collection=cases-ca&amp;id=urn:contentItem:5X1V-V571-JNJT-B4W7-00000-00&amp;context=" TargetMode="External" /><Relationship Id="rId106" Type="http://schemas.openxmlformats.org/officeDocument/2006/relationships/hyperlink" Target="https://advance.lexis.com/api/document?collection=cases-ca&amp;id=urn:contentItem:5G77-HXG1-FCK4-G3XG-00000-00&amp;context=" TargetMode="External" /><Relationship Id="rId107" Type="http://schemas.openxmlformats.org/officeDocument/2006/relationships/hyperlink" Target="https://advance.lexis.com/api/document?collection=cases-ca&amp;id=urn:contentItem:5GCC-XVC1-F900-G4X7-00000-00&amp;context=" TargetMode="External" /><Relationship Id="rId108" Type="http://schemas.openxmlformats.org/officeDocument/2006/relationships/hyperlink" Target="https://advance.lexis.com/api/document?collection=cases-ca&amp;id=urn:contentItem:5GCC-XVC1-JSRM-60WB-00000-00&amp;context=" TargetMode="External" /><Relationship Id="rId109" Type="http://schemas.openxmlformats.org/officeDocument/2006/relationships/hyperlink" Target="https://advance.lexis.com/api/document?collection=cases-ca&amp;id=urn:contentItem:5F7T-S7N1-DXWW-20KV-00000-00&amp;context=" TargetMode="External" /><Relationship Id="rId11" Type="http://schemas.openxmlformats.org/officeDocument/2006/relationships/header" Target="header4.xml" /><Relationship Id="rId110" Type="http://schemas.openxmlformats.org/officeDocument/2006/relationships/hyperlink" Target="https://advance.lexis.com/api/document?collection=cases-ca&amp;id=urn:contentItem:5F7T-S7N1-F06F-24M7-00000-00&amp;context=" TargetMode="External" /><Relationship Id="rId111" Type="http://schemas.openxmlformats.org/officeDocument/2006/relationships/hyperlink" Target="https://advance.lexis.com/api/document?collection=cases-ca&amp;id=urn:contentItem:5F7T-S7D1-DY89-M463-00000-00&amp;context=" TargetMode="External" /><Relationship Id="rId112" Type="http://schemas.openxmlformats.org/officeDocument/2006/relationships/hyperlink" Target="https://advance.lexis.com/api/document?collection=cases-ca&amp;id=urn:contentItem:5F8T-N3V1-JTGH-B0YB-00000-00&amp;context=" TargetMode="External" /><Relationship Id="rId113" Type="http://schemas.openxmlformats.org/officeDocument/2006/relationships/hyperlink" Target="https://advance.lexis.com/api/document?collection=cases-ca&amp;id=urn:contentItem:5K6Y-9V81-JJ1H-X44G-00000-00&amp;context=" TargetMode="External" /><Relationship Id="rId114" Type="http://schemas.openxmlformats.org/officeDocument/2006/relationships/hyperlink" Target="https://advance.lexis.com/api/document?collection=cases-ca&amp;id=urn:contentItem:5F7T-S7M1-JCRC-B1TW-00000-00&amp;context=" TargetMode="External" /><Relationship Id="rId115" Type="http://schemas.openxmlformats.org/officeDocument/2006/relationships/hyperlink" Target="https://advance.lexis.com/api/document?collection=cases-ca&amp;id=urn:contentItem:5NDB-4M41-F956-S0BN-00000-00&amp;context=" TargetMode="External" /><Relationship Id="rId116" Type="http://schemas.openxmlformats.org/officeDocument/2006/relationships/hyperlink" Target="https://advance.lexis.com/api/document?collection=cases-ca&amp;id=urn:contentItem:5F7T-S7K1-JSJC-X168-00000-00&amp;context=" TargetMode="External" /><Relationship Id="rId117" Type="http://schemas.openxmlformats.org/officeDocument/2006/relationships/hyperlink" Target="https://advance.lexis.com/api/document?collection=cases-ca&amp;id=urn:contentItem:5F7T-S7J1-FGCG-S0N7-00000-00&amp;context=" TargetMode="External" /><Relationship Id="rId118" Type="http://schemas.openxmlformats.org/officeDocument/2006/relationships/hyperlink" Target="https://advance.lexis.com/api/document?collection=cases-ca&amp;id=urn:contentItem:5F7T-S731-FFFC-B0K2-00000-00&amp;context=" TargetMode="External" /><Relationship Id="rId119" Type="http://schemas.openxmlformats.org/officeDocument/2006/relationships/hyperlink" Target="https://advance.lexis.com/api/document?collection=cases-ca&amp;id=urn:contentItem:5F7T-S7J1-JNS1-M2G2-00000-00&amp;context=" TargetMode="External" /><Relationship Id="rId12" Type="http://schemas.openxmlformats.org/officeDocument/2006/relationships/header" Target="header5.xml" /><Relationship Id="rId120" Type="http://schemas.openxmlformats.org/officeDocument/2006/relationships/hyperlink" Target="https://advance.lexis.com/api/document?collection=cases-ca&amp;id=urn:contentItem:5F7T-S7K1-DY33-B1K8-00000-00&amp;context=" TargetMode="External" /><Relationship Id="rId121" Type="http://schemas.openxmlformats.org/officeDocument/2006/relationships/hyperlink" Target="https://advance.lexis.com/api/document?collection=cases-ca&amp;id=urn:contentItem:5F7T-S7B1-F7ND-G50F-00000-00&amp;context=" TargetMode="External" /><Relationship Id="rId122" Type="http://schemas.openxmlformats.org/officeDocument/2006/relationships/hyperlink" Target="https://advance.lexis.com/api/document?collection=cases-ca&amp;id=urn:contentItem:5F7T-S701-JF75-M4N2-00000-00&amp;context=" TargetMode="External" /><Relationship Id="rId123" Type="http://schemas.openxmlformats.org/officeDocument/2006/relationships/hyperlink" Target="https://advance.lexis.com/api/document?collection=cases-ca&amp;id=urn:contentItem:5F7T-S6W1-JB7K-21F4-00000-00&amp;context=" TargetMode="External" /><Relationship Id="rId124" Type="http://schemas.openxmlformats.org/officeDocument/2006/relationships/hyperlink" Target="https://advance.lexis.com/api/document?collection=cases-ca&amp;id=urn:contentItem:5F7T-S771-JN14-G2PR-00000-00&amp;context=" TargetMode="External" /><Relationship Id="rId125" Type="http://schemas.openxmlformats.org/officeDocument/2006/relationships/hyperlink" Target="https://advance.lexis.com/api/document?collection=cases-ca&amp;id=urn:contentItem:5F7T-S731-F1WF-M2HD-00000-00&amp;context=" TargetMode="External" /><Relationship Id="rId126" Type="http://schemas.openxmlformats.org/officeDocument/2006/relationships/hyperlink" Target="https://advance.lexis.com/api/document?collection=cases-ca&amp;id=urn:contentItem:5F7T-S731-DY33-B0YN-00000-00&amp;context=" TargetMode="External" /><Relationship Id="rId127" Type="http://schemas.openxmlformats.org/officeDocument/2006/relationships/hyperlink" Target="https://advance.lexis.com/api/document?collection=cases-ca&amp;id=urn:contentItem:5F7T-S771-JSJC-X038-00000-00&amp;context=" TargetMode="External" /><Relationship Id="rId128" Type="http://schemas.openxmlformats.org/officeDocument/2006/relationships/hyperlink" Target="https://advance.lexis.com/api/document?collection=cases-ca&amp;id=urn:contentItem:5F7T-S791-JCJ5-251B-00000-00&amp;context=" TargetMode="External" /><Relationship Id="rId129" Type="http://schemas.openxmlformats.org/officeDocument/2006/relationships/hyperlink" Target="https://advance.lexis.com/api/document?collection=cases-ca&amp;id=urn:contentItem:5F7T-S7N1-F57G-S2D4-00000-00&amp;context=" TargetMode="External" /><Relationship Id="rId13" Type="http://schemas.openxmlformats.org/officeDocument/2006/relationships/footer" Target="footer4.xml" /><Relationship Id="rId130" Type="http://schemas.openxmlformats.org/officeDocument/2006/relationships/hyperlink" Target="https://advance.lexis.com/api/document?collection=cases-ca&amp;id=urn:contentItem:5F7T-S7N1-F06F-24BC-00000-00&amp;context=" TargetMode="External" /><Relationship Id="rId131" Type="http://schemas.openxmlformats.org/officeDocument/2006/relationships/hyperlink" Target="https://advance.lexis.com/api/document?collection=cases-ca&amp;id=urn:contentItem:5F7T-S7F1-JX3N-B19D-00000-00&amp;context=" TargetMode="External" /><Relationship Id="rId132" Type="http://schemas.openxmlformats.org/officeDocument/2006/relationships/hyperlink" Target="https://advance.lexis.com/api/document?collection=cases-ca&amp;id=urn:contentItem:5F7T-S7M1-JCRC-B1SF-00000-00&amp;context=" TargetMode="External" /><Relationship Id="rId133" Type="http://schemas.openxmlformats.org/officeDocument/2006/relationships/hyperlink" Target="https://advance.lexis.com/api/document?collection=cases-ca&amp;id=urn:contentItem:5F7T-S7M1-DYMS-62FG-00000-00&amp;context=" TargetMode="External" /><Relationship Id="rId134" Type="http://schemas.openxmlformats.org/officeDocument/2006/relationships/hyperlink" Target="https://advance.lexis.com/api/document?collection=cases-ca&amp;id=urn:contentItem:5F8T-N3V1-FC1F-M4BC-00000-00&amp;context=" TargetMode="External" /><Relationship Id="rId135" Type="http://schemas.openxmlformats.org/officeDocument/2006/relationships/hyperlink" Target="https://advance.lexis.com/api/document?collection=cases-ca&amp;id=urn:contentItem:5F7T-S7H1-JCRC-B110-00000-00&amp;context=" TargetMode="External" /><Relationship Id="rId136" Type="http://schemas.openxmlformats.org/officeDocument/2006/relationships/hyperlink" Target="https://advance.lexis.com/api/document?collection=cases-ca&amp;id=urn:contentItem:5RTY-1871-JCBX-S0TB-00000-00&amp;context=" TargetMode="External" /><Relationship Id="rId137" Type="http://schemas.openxmlformats.org/officeDocument/2006/relationships/hyperlink" Target="https://advance.lexis.com/api/document?collection=cases-ca&amp;id=urn:contentItem:5F7T-S781-JSC5-M4GD-00000-00&amp;context=" TargetMode="External" /><Relationship Id="rId138" Type="http://schemas.openxmlformats.org/officeDocument/2006/relationships/hyperlink" Target="https://advance.lexis.com/api/document?collection=cases-ca&amp;id=urn:contentItem:5KP4-X8R1-JW09-M429-00000-00&amp;context=" TargetMode="External" /><Relationship Id="rId139" Type="http://schemas.openxmlformats.org/officeDocument/2006/relationships/hyperlink" Target="https://advance.lexis.com/api/document?collection=cases-ca&amp;id=urn:contentItem:5PXJ-HY71-JFKM-62SG-00000-00&amp;context=" TargetMode="External" /><Relationship Id="rId14" Type="http://schemas.openxmlformats.org/officeDocument/2006/relationships/footer" Target="footer5.xml" /><Relationship Id="rId140" Type="http://schemas.openxmlformats.org/officeDocument/2006/relationships/header" Target="header19.xml" /><Relationship Id="rId141" Type="http://schemas.openxmlformats.org/officeDocument/2006/relationships/header" Target="header20.xml" /><Relationship Id="rId142" Type="http://schemas.openxmlformats.org/officeDocument/2006/relationships/footer" Target="footer19.xml" /><Relationship Id="rId143" Type="http://schemas.openxmlformats.org/officeDocument/2006/relationships/footer" Target="footer20.xml" /><Relationship Id="rId144" Type="http://schemas.openxmlformats.org/officeDocument/2006/relationships/header" Target="header21.xml" /><Relationship Id="rId145" Type="http://schemas.openxmlformats.org/officeDocument/2006/relationships/footer" Target="footer21.xml" /><Relationship Id="rId146" Type="http://schemas.openxmlformats.org/officeDocument/2006/relationships/hyperlink" Target="https://advance.lexis.com/api/document?collection=cases-ca&amp;id=urn:contentItem:5F7T-S7P1-JP4G-622T-00000-00&amp;context=" TargetMode="External" /><Relationship Id="rId147" Type="http://schemas.openxmlformats.org/officeDocument/2006/relationships/hyperlink" Target="https://advance.lexis.com/api/document?collection=cases-ca&amp;id=urn:contentItem:5F7T-S7M1-JPP5-22N3-00000-00&amp;context=" TargetMode="External" /><Relationship Id="rId148" Type="http://schemas.openxmlformats.org/officeDocument/2006/relationships/header" Target="header22.xml" /><Relationship Id="rId149" Type="http://schemas.openxmlformats.org/officeDocument/2006/relationships/header" Target="header23.xml" /><Relationship Id="rId15" Type="http://schemas.openxmlformats.org/officeDocument/2006/relationships/header" Target="header6.xml" /><Relationship Id="rId150" Type="http://schemas.openxmlformats.org/officeDocument/2006/relationships/footer" Target="footer22.xml" /><Relationship Id="rId151" Type="http://schemas.openxmlformats.org/officeDocument/2006/relationships/footer" Target="footer23.xml" /><Relationship Id="rId152" Type="http://schemas.openxmlformats.org/officeDocument/2006/relationships/header" Target="header24.xml" /><Relationship Id="rId153" Type="http://schemas.openxmlformats.org/officeDocument/2006/relationships/footer" Target="footer24.xml" /><Relationship Id="rId154" Type="http://schemas.openxmlformats.org/officeDocument/2006/relationships/hyperlink" Target="https://advance.lexis.com/api/document?collection=cases-ca&amp;id=urn:contentItem:5WVH-JX61-JJ1H-X2K9-00000-00&amp;context=" TargetMode="External" /><Relationship Id="rId155" Type="http://schemas.openxmlformats.org/officeDocument/2006/relationships/hyperlink" Target="https://advance.lexis.com/api/document?collection=cases-ca&amp;id=urn:contentItem:5F7T-S7M1-JFSV-G3B9-00000-00&amp;context=" TargetMode="External" /><Relationship Id="rId156" Type="http://schemas.openxmlformats.org/officeDocument/2006/relationships/hyperlink" Target="https://advance.lexis.com/api/document?collection=cases-ca&amp;id=urn:contentItem:5F7T-S6V1-JFKM-6133-00000-00&amp;context=" TargetMode="External" /><Relationship Id="rId157" Type="http://schemas.openxmlformats.org/officeDocument/2006/relationships/hyperlink" Target="https://advance.lexis.com/api/document?collection=cases-ca&amp;id=urn:contentItem:5F7T-S7K1-F528-G2XC-00000-00&amp;context=" TargetMode="External" /><Relationship Id="rId158" Type="http://schemas.openxmlformats.org/officeDocument/2006/relationships/hyperlink" Target="https://advance.lexis.com/api/document?collection=cases-ca&amp;id=urn:contentItem:5F7T-S7M1-F4W2-626V-00000-00&amp;context=" TargetMode="External" /><Relationship Id="rId159" Type="http://schemas.openxmlformats.org/officeDocument/2006/relationships/hyperlink" Target="https://advance.lexis.com/api/document?collection=cases-ca&amp;id=urn:contentItem:5F7T-S7J1-JYYX-625B-00000-00&amp;context=" TargetMode="External" /><Relationship Id="rId16" Type="http://schemas.openxmlformats.org/officeDocument/2006/relationships/footer" Target="footer6.xml" /><Relationship Id="rId160" Type="http://schemas.openxmlformats.org/officeDocument/2006/relationships/hyperlink" Target="https://advance.lexis.com/api/document?collection=cases-ca&amp;id=urn:contentItem:5F7T-S7F1-FBN1-21Y2-00000-00&amp;context=" TargetMode="External" /><Relationship Id="rId161" Type="http://schemas.openxmlformats.org/officeDocument/2006/relationships/hyperlink" Target="https://advance.lexis.com/api/document?collection=cases-ca&amp;id=urn:contentItem:5F7T-S7G1-JBT7-X40C-00000-00&amp;context=" TargetMode="External" /><Relationship Id="rId162" Type="http://schemas.openxmlformats.org/officeDocument/2006/relationships/hyperlink" Target="https://advance.lexis.com/api/document?collection=cases-ca&amp;id=urn:contentItem:5F8T-N3V1-JTGH-B18F-00000-00&amp;context=" TargetMode="External" /><Relationship Id="rId163" Type="http://schemas.openxmlformats.org/officeDocument/2006/relationships/hyperlink" Target="https://advance.lexis.com/api/document?collection=cases-ca&amp;id=urn:contentItem:5F8T-N3V1-JTGH-B153-00000-00&amp;context=" TargetMode="External" /><Relationship Id="rId164" Type="http://schemas.openxmlformats.org/officeDocument/2006/relationships/hyperlink" Target="https://advance.lexis.com/api/document?collection=cases-ca&amp;id=urn:contentItem:5F7T-S7H1-F016-S3X8-00000-00&amp;context=" TargetMode="External" /><Relationship Id="rId165" Type="http://schemas.openxmlformats.org/officeDocument/2006/relationships/hyperlink" Target="https://advance.lexis.com/api/document?collection=cases-ca&amp;id=urn:contentItem:5F7T-S7D1-F7ND-G0MH-00000-00&amp;context=" TargetMode="External" /><Relationship Id="rId166" Type="http://schemas.openxmlformats.org/officeDocument/2006/relationships/hyperlink" Target="https://advance.lexis.com/api/document?collection=cases-ca&amp;id=urn:contentItem:5F7T-S7M1-JNCK-22MK-00000-00&amp;context=" TargetMode="External" /><Relationship Id="rId167" Type="http://schemas.openxmlformats.org/officeDocument/2006/relationships/hyperlink" Target="https://advance.lexis.com/api/document?collection=cases-ca&amp;id=urn:contentItem:5F7T-S7G1-JBT7-X4BC-00000-00&amp;context=" TargetMode="External" /><Relationship Id="rId168" Type="http://schemas.openxmlformats.org/officeDocument/2006/relationships/hyperlink" Target="https://advance.lexis.com/api/document?collection=cases-ca&amp;id=urn:contentItem:5F7T-S7N1-JJ1H-X2RV-00000-00&amp;context=" TargetMode="External" /><Relationship Id="rId169" Type="http://schemas.openxmlformats.org/officeDocument/2006/relationships/hyperlink" Target="https://advance.lexis.com/api/document?collection=cases-ca&amp;id=urn:contentItem:5MF2-KC41-F60C-X1H3-00000-00&amp;context=" TargetMode="External" /><Relationship Id="rId17" Type="http://schemas.openxmlformats.org/officeDocument/2006/relationships/hyperlink" Target="https://advance.lexis.com/api/document?collection=cases-ca&amp;id=urn:contentItem:5F7T-S7F1-JBT7-X354-00000-00&amp;context=" TargetMode="External" /><Relationship Id="rId170" Type="http://schemas.openxmlformats.org/officeDocument/2006/relationships/hyperlink" Target="https://advance.lexis.com/api/document?collection=cases-ca&amp;id=urn:contentItem:5GJP-VFP1-FJM6-60JP-00000-00&amp;context=" TargetMode="External" /><Relationship Id="rId171" Type="http://schemas.openxmlformats.org/officeDocument/2006/relationships/hyperlink" Target="https://advance.lexis.com/api/document?collection=cases-ca&amp;id=urn:contentItem:5F7T-S7M1-JFSV-G3T6-00000-00&amp;context=" TargetMode="External" /><Relationship Id="rId172" Type="http://schemas.openxmlformats.org/officeDocument/2006/relationships/hyperlink" Target="https://advance.lexis.com/api/document?collection=cases-ca&amp;id=urn:contentItem:5H8B-4TV1-F8SS-64D0-00000-00&amp;context=" TargetMode="External" /><Relationship Id="rId173" Type="http://schemas.openxmlformats.org/officeDocument/2006/relationships/hyperlink" Target="https://advance.lexis.com/api/document?collection=cases-ca&amp;id=urn:contentItem:5J3K-3591-F956-S3CM-00000-00&amp;context=" TargetMode="External" /><Relationship Id="rId174" Type="http://schemas.openxmlformats.org/officeDocument/2006/relationships/hyperlink" Target="https://advance.lexis.com/api/document?collection=cases-ca&amp;id=urn:contentItem:5F7T-S7K1-F1H1-22C1-00000-00&amp;context=" TargetMode="External" /><Relationship Id="rId175" Type="http://schemas.openxmlformats.org/officeDocument/2006/relationships/hyperlink" Target="https://advance.lexis.com/api/document?collection=cases-ca&amp;id=urn:contentItem:5F7T-S7C1-F7VM-S3T7-00000-00&amp;context=" TargetMode="External" /><Relationship Id="rId176" Type="http://schemas.openxmlformats.org/officeDocument/2006/relationships/hyperlink" Target="https://advance.lexis.com/api/document?collection=cases-ca&amp;id=urn:contentItem:5F7T-S7D1-JN6B-S131-00000-00&amp;context=" TargetMode="External" /><Relationship Id="rId177" Type="http://schemas.openxmlformats.org/officeDocument/2006/relationships/hyperlink" Target="https://advance.lexis.com/api/document?collection=cases-ca&amp;id=urn:contentItem:5F7T-S7D1-JN6B-S13K-00000-00&amp;context=" TargetMode="External" /><Relationship Id="rId178" Type="http://schemas.openxmlformats.org/officeDocument/2006/relationships/header" Target="header25.xml" /><Relationship Id="rId179" Type="http://schemas.openxmlformats.org/officeDocument/2006/relationships/header" Target="header26.xml" /><Relationship Id="rId18" Type="http://schemas.openxmlformats.org/officeDocument/2006/relationships/hyperlink" Target="https://advance.lexis.com/api/document?collection=cases-ca&amp;id=urn:contentItem:5F7T-S7D1-JXG3-X109-00000-00&amp;context=" TargetMode="External" /><Relationship Id="rId180" Type="http://schemas.openxmlformats.org/officeDocument/2006/relationships/footer" Target="footer25.xml" /><Relationship Id="rId181" Type="http://schemas.openxmlformats.org/officeDocument/2006/relationships/footer" Target="footer26.xml" /><Relationship Id="rId182" Type="http://schemas.openxmlformats.org/officeDocument/2006/relationships/header" Target="header27.xml" /><Relationship Id="rId183" Type="http://schemas.openxmlformats.org/officeDocument/2006/relationships/footer" Target="footer27.xml" /><Relationship Id="rId184" Type="http://schemas.openxmlformats.org/officeDocument/2006/relationships/hyperlink" Target="https://advance.lexis.com/api/document?collection=cases-ca&amp;id=urn:contentItem:5FX0-KKR1-JCBX-S2KC-00000-00&amp;context=" TargetMode="External" /><Relationship Id="rId185" Type="http://schemas.openxmlformats.org/officeDocument/2006/relationships/hyperlink" Target="https://advance.lexis.com/api/document?collection=cases-ca&amp;id=urn:contentItem:5F7T-S7P1-JP4G-6210-00000-00&amp;context=" TargetMode="External" /><Relationship Id="rId186" Type="http://schemas.openxmlformats.org/officeDocument/2006/relationships/hyperlink" Target="https://advance.lexis.com/api/document?collection=legislation-ca&amp;id=urn:contentItem:5VYK-WB21-FBN1-24MH-00000-00&amp;context=" TargetMode="External" /><Relationship Id="rId187" Type="http://schemas.openxmlformats.org/officeDocument/2006/relationships/hyperlink" Target="https://advance.lexis.com/api/document?collection=cases-ca&amp;id=urn:contentItem:5F7T-S7P1-JNJT-B2DD-00000-00&amp;context=" TargetMode="External" /><Relationship Id="rId188" Type="http://schemas.openxmlformats.org/officeDocument/2006/relationships/hyperlink" Target="https://advance.lexis.com/api/document?collection=cases-ca&amp;id=urn:contentItem:5F8P-SDR1-JSJC-X4MK-00000-00&amp;context=" TargetMode="External" /><Relationship Id="rId189" Type="http://schemas.openxmlformats.org/officeDocument/2006/relationships/hyperlink" Target="https://advance.lexis.com/api/document?collection=cases-ca&amp;id=urn:contentItem:5F7T-S721-F57G-S14R-00000-00&amp;context=" TargetMode="External" /><Relationship Id="rId19" Type="http://schemas.openxmlformats.org/officeDocument/2006/relationships/hyperlink" Target="https://advance.lexis.com/api/document?collection=cases-ca&amp;id=urn:contentItem:5F7T-S751-JP4G-617G-00000-00&amp;context=" TargetMode="External" /><Relationship Id="rId190" Type="http://schemas.openxmlformats.org/officeDocument/2006/relationships/hyperlink" Target="https://advance.lexis.com/api/document?collection=cases-ca&amp;id=urn:contentItem:5F7T-S731-FG12-62HS-00000-00&amp;context=" TargetMode="External" /><Relationship Id="rId191" Type="http://schemas.openxmlformats.org/officeDocument/2006/relationships/hyperlink" Target="https://advance.lexis.com/api/document?collection=cases-ca&amp;id=urn:contentItem:5F7T-S7D1-JXG3-X13R-00000-00&amp;context=" TargetMode="External" /><Relationship Id="rId192" Type="http://schemas.openxmlformats.org/officeDocument/2006/relationships/hyperlink" Target="https://advance.lexis.com/api/document?collection=cases-ca&amp;id=urn:contentItem:5F7T-S7N1-F06F-24V6-00000-00&amp;context=" TargetMode="External" /><Relationship Id="rId193" Type="http://schemas.openxmlformats.org/officeDocument/2006/relationships/hyperlink" Target="https://advance.lexis.com/api/document?collection=cases-ca&amp;id=urn:contentItem:5F7T-S7K1-F528-G2RD-00000-00&amp;context=" TargetMode="External" /><Relationship Id="rId194" Type="http://schemas.openxmlformats.org/officeDocument/2006/relationships/hyperlink" Target="https://advance.lexis.com/api/document?collection=cases-ca&amp;id=urn:contentItem:5F7T-S7F1-F7VM-S3YN-00000-00&amp;context=" TargetMode="External" /><Relationship Id="rId195" Type="http://schemas.openxmlformats.org/officeDocument/2006/relationships/hyperlink" Target="https://advance.lexis.com/api/document?collection=cases-ca&amp;id=urn:contentItem:5F7T-S7P1-JP4G-61W2-00000-00&amp;context=" TargetMode="External" /><Relationship Id="rId196" Type="http://schemas.openxmlformats.org/officeDocument/2006/relationships/hyperlink" Target="https://advance.lexis.com/api/document?collection=cases-ca&amp;id=urn:contentItem:5F7T-S7J1-FGCG-S0BN-00000-00&amp;context=" TargetMode="External" /><Relationship Id="rId197" Type="http://schemas.openxmlformats.org/officeDocument/2006/relationships/hyperlink" Target="https://advance.lexis.com/api/document?collection=cases-ca&amp;id=urn:contentItem:5F7T-S7M1-F4W2-62HT-00000-00&amp;context=" TargetMode="External" /><Relationship Id="rId198" Type="http://schemas.openxmlformats.org/officeDocument/2006/relationships/hyperlink" Target="https://advance.lexis.com/api/document?collection=cases-ca&amp;id=urn:contentItem:5F7T-S7K1-JX3N-B315-00000-00&amp;context=" TargetMode="External" /><Relationship Id="rId199" Type="http://schemas.openxmlformats.org/officeDocument/2006/relationships/hyperlink" Target="https://advance.lexis.com/api/document?collection=cases-ca&amp;id=urn:contentItem:5F7T-S7N1-F06F-24K5-00000-00&amp;context=" TargetMode="External" /><Relationship Id="rId2" Type="http://schemas.openxmlformats.org/officeDocument/2006/relationships/webSettings" Target="webSettings.xml" /><Relationship Id="rId20" Type="http://schemas.openxmlformats.org/officeDocument/2006/relationships/hyperlink" Target="https://advance.lexis.com/api/document?collection=cases-ca&amp;id=urn:contentItem:5F7T-S771-JSJC-X06B-00000-00&amp;context=" TargetMode="External" /><Relationship Id="rId200" Type="http://schemas.openxmlformats.org/officeDocument/2006/relationships/hyperlink" Target="https://advance.lexis.com/api/document?collection=cases-ca&amp;id=urn:contentItem:5FX0-KKR1-JCBX-S2K8-00000-00&amp;context=" TargetMode="External" /><Relationship Id="rId201" Type="http://schemas.openxmlformats.org/officeDocument/2006/relationships/hyperlink" Target="https://advance.lexis.com/api/document?collection=cases-ca&amp;id=urn:contentItem:5F7T-S6Y1-DY33-B06C-00000-00&amp;context=" TargetMode="External" /><Relationship Id="rId202" Type="http://schemas.openxmlformats.org/officeDocument/2006/relationships/hyperlink" Target="https://advance.lexis.com/api/document?collection=cases-ca&amp;id=urn:contentItem:5F7T-S6T1-FD4T-B028-00000-00&amp;context=" TargetMode="External" /><Relationship Id="rId203" Type="http://schemas.openxmlformats.org/officeDocument/2006/relationships/hyperlink" Target="https://advance.lexis.com/api/document?collection=cases-ca&amp;id=urn:contentItem:5K6Y-81K1-JKHB-63FD-00000-00&amp;context=" TargetMode="External" /><Relationship Id="rId204" Type="http://schemas.openxmlformats.org/officeDocument/2006/relationships/hyperlink" Target="https://advance.lexis.com/api/document?collection=cases-ca&amp;id=urn:contentItem:5F7T-S7M1-JNCK-22T2-00000-00&amp;context=" TargetMode="External" /><Relationship Id="rId205" Type="http://schemas.openxmlformats.org/officeDocument/2006/relationships/hyperlink" Target="https://advance.lexis.com/api/document?collection=cases-ca&amp;id=urn:contentItem:5F7T-S7M1-JPP5-22M2-00000-00&amp;context=" TargetMode="External" /><Relationship Id="rId206" Type="http://schemas.openxmlformats.org/officeDocument/2006/relationships/hyperlink" Target="https://advance.lexis.com/api/document?collection=cases-ca&amp;id=urn:contentItem:5F7T-S761-FGJR-22C3-00000-00&amp;context=" TargetMode="External" /><Relationship Id="rId207" Type="http://schemas.openxmlformats.org/officeDocument/2006/relationships/hyperlink" Target="https://advance.lexis.com/api/document?collection=cases-ca&amp;id=urn:contentItem:5F7T-S7N1-JGHR-M35K-00000-00&amp;context=" TargetMode="External" /><Relationship Id="rId208" Type="http://schemas.openxmlformats.org/officeDocument/2006/relationships/hyperlink" Target="https://advance.lexis.com/api/document?collection=cases-ca&amp;id=urn:contentItem:5F8T-N3V1-JTGH-B1CS-00000-00&amp;context=" TargetMode="External" /><Relationship Id="rId209" Type="http://schemas.openxmlformats.org/officeDocument/2006/relationships/hyperlink" Target="https://advance.lexis.com/api/document?collection=cases-ca&amp;id=urn:contentItem:5F8T-N3V1-JTGH-B19N-00000-00&amp;context=" TargetMode="External" /><Relationship Id="rId21" Type="http://schemas.openxmlformats.org/officeDocument/2006/relationships/hyperlink" Target="https://advance.lexis.com/api/document?collection=cases-ca&amp;id=urn:contentItem:5F7T-S781-JSC5-M4F1-00000-00&amp;context=" TargetMode="External" /><Relationship Id="rId210" Type="http://schemas.openxmlformats.org/officeDocument/2006/relationships/hyperlink" Target="https://advance.lexis.com/api/document?collection=cases-ca&amp;id=urn:contentItem:5F7T-S7K1-JKHB-62R4-00000-00&amp;context=" TargetMode="External" /><Relationship Id="rId211" Type="http://schemas.openxmlformats.org/officeDocument/2006/relationships/hyperlink" Target="https://advance.lexis.com/api/document?collection=cases-ca&amp;id=urn:contentItem:5F8T-N3V1-FH4C-X1VX-00000-00&amp;context=" TargetMode="External" /><Relationship Id="rId212" Type="http://schemas.openxmlformats.org/officeDocument/2006/relationships/hyperlink" Target="https://advance.lexis.com/api/document?collection=cases-ca&amp;id=urn:contentItem:5F7T-S7C1-F30T-B241-00000-00&amp;context=" TargetMode="External" /><Relationship Id="rId213" Type="http://schemas.openxmlformats.org/officeDocument/2006/relationships/header" Target="header28.xml" /><Relationship Id="rId214" Type="http://schemas.openxmlformats.org/officeDocument/2006/relationships/header" Target="header29.xml" /><Relationship Id="rId215" Type="http://schemas.openxmlformats.org/officeDocument/2006/relationships/footer" Target="footer28.xml" /><Relationship Id="rId216" Type="http://schemas.openxmlformats.org/officeDocument/2006/relationships/footer" Target="footer29.xml" /><Relationship Id="rId217" Type="http://schemas.openxmlformats.org/officeDocument/2006/relationships/header" Target="header30.xml" /><Relationship Id="rId218" Type="http://schemas.openxmlformats.org/officeDocument/2006/relationships/footer" Target="footer30.xml" /><Relationship Id="rId219" Type="http://schemas.openxmlformats.org/officeDocument/2006/relationships/hyperlink" Target="https://advance.lexis.com/api/document?collection=cases-ca&amp;id=urn:contentItem:5TP5-WDB1-JCBX-S2TW-00000-00&amp;context=" TargetMode="External" /><Relationship Id="rId22" Type="http://schemas.openxmlformats.org/officeDocument/2006/relationships/hyperlink" Target="https://advance.lexis.com/api/document?collection=cases-ca&amp;id=urn:contentItem:5F7T-S751-JP4G-61H7-00000-00&amp;context=" TargetMode="External" /><Relationship Id="rId220" Type="http://schemas.openxmlformats.org/officeDocument/2006/relationships/hyperlink" Target="https://advance.lexis.com/api/document?collection=cases-ca&amp;id=urn:contentItem:5F7T-S6T1-FJTD-G1PC-00000-00&amp;context=" TargetMode="External" /><Relationship Id="rId221" Type="http://schemas.openxmlformats.org/officeDocument/2006/relationships/hyperlink" Target="https://advance.lexis.com/api/document?collection=cases-ca&amp;id=urn:contentItem:5F7T-S6S1-F60C-X0SM-00000-00&amp;context=" TargetMode="External" /><Relationship Id="rId222" Type="http://schemas.openxmlformats.org/officeDocument/2006/relationships/hyperlink" Target="https://advance.lexis.com/api/document?collection=cases-ca&amp;id=urn:contentItem:5F7T-S771-F81W-22B3-00000-00&amp;context=" TargetMode="External" /><Relationship Id="rId223" Type="http://schemas.openxmlformats.org/officeDocument/2006/relationships/hyperlink" Target="https://advance.lexis.com/api/document?collection=cases-ca&amp;id=urn:contentItem:5F7T-S731-F1WF-M2DW-00000-00&amp;context=" TargetMode="External" /><Relationship Id="rId224" Type="http://schemas.openxmlformats.org/officeDocument/2006/relationships/hyperlink" Target="https://advance.lexis.com/api/document?collection=cases-ca&amp;id=urn:contentItem:5F7T-S711-JG02-S1NR-00000-00&amp;context=" TargetMode="External" /><Relationship Id="rId225" Type="http://schemas.openxmlformats.org/officeDocument/2006/relationships/hyperlink" Target="https://advance.lexis.com/api/document?collection=cases-ca&amp;id=urn:contentItem:5F7T-S731-DY33-B16W-00000-00&amp;context=" TargetMode="External" /><Relationship Id="rId226" Type="http://schemas.openxmlformats.org/officeDocument/2006/relationships/hyperlink" Target="https://advance.lexis.com/api/document?collection=cases-ca&amp;id=urn:contentItem:5F7T-S741-F2F4-G2F0-00000-00&amp;context=" TargetMode="External" /><Relationship Id="rId227" Type="http://schemas.openxmlformats.org/officeDocument/2006/relationships/hyperlink" Target="https://advance.lexis.com/api/document?collection=cases-ca&amp;id=urn:contentItem:5F7T-S6X1-F7G6-623M-00000-00&amp;context=" TargetMode="External" /><Relationship Id="rId228" Type="http://schemas.openxmlformats.org/officeDocument/2006/relationships/hyperlink" Target="https://advance.lexis.com/api/document?collection=cases-ca&amp;id=urn:contentItem:5F7T-S711-JB2B-S17T-00000-00&amp;context=" TargetMode="External" /><Relationship Id="rId229" Type="http://schemas.openxmlformats.org/officeDocument/2006/relationships/hyperlink" Target="https://advance.lexis.com/api/document?collection=cases-ca&amp;id=urn:contentItem:5F7T-S771-FG68-G0W8-00000-00&amp;context=" TargetMode="External" /><Relationship Id="rId23" Type="http://schemas.openxmlformats.org/officeDocument/2006/relationships/hyperlink" Target="https://advance.lexis.com/api/document?collection=cases-ca&amp;id=urn:contentItem:5F7T-S741-F57G-S1FG-00000-00&amp;context=" TargetMode="External" /><Relationship Id="rId230" Type="http://schemas.openxmlformats.org/officeDocument/2006/relationships/hyperlink" Target="https://advance.lexis.com/api/document?collection=cases-ca&amp;id=urn:contentItem:5F7T-S6T1-JP9P-G13Y-00000-00&amp;context=" TargetMode="External" /><Relationship Id="rId231" Type="http://schemas.openxmlformats.org/officeDocument/2006/relationships/hyperlink" Target="https://advance.lexis.com/api/document?collection=cases-ca&amp;id=urn:contentItem:5F7T-S7F1-F7VM-S4DC-00000-00&amp;context=" TargetMode="External" /><Relationship Id="rId232" Type="http://schemas.openxmlformats.org/officeDocument/2006/relationships/hyperlink" Target="https://advance.lexis.com/api/document?collection=cases-ca&amp;id=urn:contentItem:5F7T-S6V1-F956-S05H-00000-00&amp;context=" TargetMode="External" /><Relationship Id="rId233" Type="http://schemas.openxmlformats.org/officeDocument/2006/relationships/hyperlink" Target="https://advance.lexis.com/api/document?collection=cases-ca&amp;id=urn:contentItem:5F7T-S7F1-F7VM-S48J-00000-00&amp;context=" TargetMode="External" /><Relationship Id="rId234" Type="http://schemas.openxmlformats.org/officeDocument/2006/relationships/hyperlink" Target="https://advance.lexis.com/api/document?collection=cases-ca&amp;id=urn:contentItem:5F7T-S7C1-FGRY-B05R-00000-00&amp;context=" TargetMode="External" /><Relationship Id="rId235" Type="http://schemas.openxmlformats.org/officeDocument/2006/relationships/hyperlink" Target="https://advance.lexis.com/api/document?collection=cases-ca&amp;id=urn:contentItem:5F7T-S7N1-JJ1H-X32S-00000-00&amp;context=" TargetMode="External" /><Relationship Id="rId236" Type="http://schemas.openxmlformats.org/officeDocument/2006/relationships/hyperlink" Target="https://advance.lexis.com/api/document?collection=cases-ca&amp;id=urn:contentItem:5F7T-S7J1-JYYX-6211-00000-00&amp;context=" TargetMode="External" /><Relationship Id="rId237" Type="http://schemas.openxmlformats.org/officeDocument/2006/relationships/hyperlink" Target="https://advance.lexis.com/api/document?collection=cases-ca&amp;id=urn:contentItem:5F7T-S7D1-FFFC-B14J-00000-00&amp;context=" TargetMode="External" /><Relationship Id="rId238" Type="http://schemas.openxmlformats.org/officeDocument/2006/relationships/hyperlink" Target="https://advance.lexis.com/api/document?collection=cases-ca&amp;id=urn:contentItem:5F7T-S761-FFMK-M11Y-00000-00&amp;context=" TargetMode="External" /><Relationship Id="rId239" Type="http://schemas.openxmlformats.org/officeDocument/2006/relationships/hyperlink" Target="https://advance.lexis.com/api/document?collection=cases-ca&amp;id=urn:contentItem:5F7T-S741-DXPM-S0RK-00000-00&amp;context=" TargetMode="External" /><Relationship Id="rId24" Type="http://schemas.openxmlformats.org/officeDocument/2006/relationships/hyperlink" Target="https://advance.lexis.com/api/document?collection=cases-ca&amp;id=urn:contentItem:5F7T-S7C1-F7VM-S3TM-00000-00&amp;context=" TargetMode="External" /><Relationship Id="rId240" Type="http://schemas.openxmlformats.org/officeDocument/2006/relationships/hyperlink" Target="https://advance.lexis.com/api/document?collection=cases-ca&amp;id=urn:contentItem:5F7T-S781-F06F-23P1-00000-00&amp;context=" TargetMode="External" /><Relationship Id="rId241" Type="http://schemas.openxmlformats.org/officeDocument/2006/relationships/hyperlink" Target="https://advance.lexis.com/api/document?collection=cases-ca&amp;id=urn:contentItem:5F7T-S741-F1H1-21CY-00000-00&amp;context=" TargetMode="External" /><Relationship Id="rId242" Type="http://schemas.openxmlformats.org/officeDocument/2006/relationships/hyperlink" Target="https://advance.lexis.com/api/document?collection=cases-ca&amp;id=urn:contentItem:5F7T-S7C1-FCSB-S2C5-00000-00&amp;context=" TargetMode="External" /><Relationship Id="rId243" Type="http://schemas.openxmlformats.org/officeDocument/2006/relationships/hyperlink" Target="https://advance.lexis.com/api/document?collection=cases-ca&amp;id=urn:contentItem:5F7T-S7J1-JGBH-B2D3-00000-00&amp;context=" TargetMode="External" /><Relationship Id="rId244" Type="http://schemas.openxmlformats.org/officeDocument/2006/relationships/hyperlink" Target="https://advance.lexis.com/api/document?collection=cases-ca&amp;id=urn:contentItem:5F7T-S7H1-F4GK-M3BG-00000-00&amp;context=" TargetMode="External" /><Relationship Id="rId245" Type="http://schemas.openxmlformats.org/officeDocument/2006/relationships/hyperlink" Target="https://advance.lexis.com/api/document?collection=cases-ca&amp;id=urn:contentItem:5F8T-N3R1-JNS1-M11K-00000-00&amp;context=" TargetMode="External" /><Relationship Id="rId246" Type="http://schemas.openxmlformats.org/officeDocument/2006/relationships/hyperlink" Target="https://advance.lexis.com/api/document?collection=cases-ca&amp;id=urn:contentItem:5F7T-S6R1-JGPY-X176-00000-00&amp;context=" TargetMode="External" /><Relationship Id="rId247" Type="http://schemas.openxmlformats.org/officeDocument/2006/relationships/hyperlink" Target="https://advance.lexis.com/api/document?collection=cases-ca&amp;id=urn:contentItem:5F7T-S7H1-F016-S3RK-00000-00&amp;context=" TargetMode="External" /><Relationship Id="rId248" Type="http://schemas.openxmlformats.org/officeDocument/2006/relationships/hyperlink" Target="https://advance.lexis.com/api/document?collection=cases-ca&amp;id=urn:contentItem:5F7T-XR01-JGPY-X3TP-00000-00&amp;context=" TargetMode="External" /><Relationship Id="rId249" Type="http://schemas.openxmlformats.org/officeDocument/2006/relationships/hyperlink" Target="https://advance.lexis.com/api/document?collection=cases-ca&amp;id=urn:contentItem:5F7T-XPV1-DYV0-G1X6-00000-00&amp;context=" TargetMode="External" /><Relationship Id="rId25" Type="http://schemas.openxmlformats.org/officeDocument/2006/relationships/hyperlink" Target="https://advance.lexis.com/api/document?collection=cases-ca&amp;id=urn:contentItem:5F7T-S7C1-F7VM-S3BJ-00000-00&amp;context=" TargetMode="External" /><Relationship Id="rId250" Type="http://schemas.openxmlformats.org/officeDocument/2006/relationships/hyperlink" Target="https://advance.lexis.com/api/document?collection=cases-ca&amp;id=urn:contentItem:5F7T-XPY1-JX8W-M4KH-00000-00&amp;context=" TargetMode="External" /><Relationship Id="rId251" Type="http://schemas.openxmlformats.org/officeDocument/2006/relationships/header" Target="header31.xml" /><Relationship Id="rId252" Type="http://schemas.openxmlformats.org/officeDocument/2006/relationships/header" Target="header32.xml" /><Relationship Id="rId253" Type="http://schemas.openxmlformats.org/officeDocument/2006/relationships/footer" Target="footer31.xml" /><Relationship Id="rId254" Type="http://schemas.openxmlformats.org/officeDocument/2006/relationships/footer" Target="footer32.xml" /><Relationship Id="rId255" Type="http://schemas.openxmlformats.org/officeDocument/2006/relationships/header" Target="header33.xml" /><Relationship Id="rId256" Type="http://schemas.openxmlformats.org/officeDocument/2006/relationships/footer" Target="footer33.xml" /><Relationship Id="rId257" Type="http://schemas.openxmlformats.org/officeDocument/2006/relationships/hyperlink" Target="https://advance.lexis.com/api/document?collection=cases-ca&amp;id=urn:contentItem:5RS2-2VF1-JJD0-G4K0-00000-00&amp;context=" TargetMode="External" /><Relationship Id="rId258" Type="http://schemas.openxmlformats.org/officeDocument/2006/relationships/hyperlink" Target="https://advance.lexis.com/api/document?collection=legislation-ca&amp;id=urn:contentItem:5F41-1FM1-JSJC-X220-00000-00&amp;context=" TargetMode="External" /><Relationship Id="rId259" Type="http://schemas.openxmlformats.org/officeDocument/2006/relationships/hyperlink" Target="https://advance.lexis.com/api/document?collection=legislation-ca&amp;id=urn:contentItem:5F41-1FM1-JSJC-X221-00000-00&amp;context=" TargetMode="External" /><Relationship Id="rId26" Type="http://schemas.openxmlformats.org/officeDocument/2006/relationships/hyperlink" Target="https://advance.lexis.com/api/document?collection=cases-ca&amp;id=urn:contentItem:5F7T-S761-FFMK-M103-00000-00&amp;context=" TargetMode="External" /><Relationship Id="rId260" Type="http://schemas.openxmlformats.org/officeDocument/2006/relationships/hyperlink" Target="https://advance.lexis.com/api/document?collection=cases-ca&amp;id=urn:contentItem:5GXH-CVG1-F2F4-G0MG-00000-00&amp;context=" TargetMode="External" /><Relationship Id="rId261" Type="http://schemas.openxmlformats.org/officeDocument/2006/relationships/hyperlink" Target="https://advance.lexis.com/api/document?collection=cases-ca&amp;id=urn:contentItem:5F7T-S771-JJD0-G1M3-00000-00&amp;context=" TargetMode="External" /><Relationship Id="rId262" Type="http://schemas.openxmlformats.org/officeDocument/2006/relationships/image" Target="media/image1.png" /><Relationship Id="rId263" Type="http://schemas.openxmlformats.org/officeDocument/2006/relationships/image" Target="media/image2.png" /><Relationship Id="rId264" Type="http://schemas.openxmlformats.org/officeDocument/2006/relationships/hyperlink" Target="https://advance.lexis.com/api/document?collection=cases-ca&amp;id=urn:contentItem:5F7T-S7D1-JN6B-S0WV-00000-00&amp;context=" TargetMode="External" /><Relationship Id="rId265" Type="http://schemas.openxmlformats.org/officeDocument/2006/relationships/hyperlink" Target="https://advance.lexis.com/api/document?collection=cases-ca&amp;id=urn:contentItem:5F7T-S7M1-JPP5-22SW-00000-00&amp;context=" TargetMode="External" /><Relationship Id="rId266" Type="http://schemas.openxmlformats.org/officeDocument/2006/relationships/hyperlink" Target="https://advance.lexis.com/api/document?collection=cases-ca&amp;id=urn:contentItem:5F7T-XPW1-F65M-62S2-00000-00&amp;context=" TargetMode="External" /><Relationship Id="rId267" Type="http://schemas.openxmlformats.org/officeDocument/2006/relationships/hyperlink" Target="https://advance.lexis.com/api/document?collection=cases-ca&amp;id=urn:contentItem:5F7T-S7P1-JSJC-X1DR-00000-00&amp;context=" TargetMode="External" /><Relationship Id="rId268" Type="http://schemas.openxmlformats.org/officeDocument/2006/relationships/hyperlink" Target="https://advance.lexis.com/api/document?collection=cases-ca&amp;id=urn:contentItem:5F16-9341-JJD0-G13G-00000-00&amp;context=" TargetMode="External" /><Relationship Id="rId269" Type="http://schemas.openxmlformats.org/officeDocument/2006/relationships/hyperlink" Target="https://advance.lexis.com/api/document?collection=cases-ca&amp;id=urn:contentItem:5F8T-N3S1-JBDT-B0CD-00000-00&amp;context=" TargetMode="External" /><Relationship Id="rId27" Type="http://schemas.openxmlformats.org/officeDocument/2006/relationships/hyperlink" Target="https://advance.lexis.com/api/document?collection=cases-ca&amp;id=urn:contentItem:5F7T-S7C1-F4NT-X3M3-00000-00&amp;context=" TargetMode="External" /><Relationship Id="rId270" Type="http://schemas.openxmlformats.org/officeDocument/2006/relationships/hyperlink" Target="https://advance.lexis.com/api/document?collection=cases-ca&amp;id=urn:contentItem:5F7T-S7K1-DY33-B1VH-00000-00&amp;context=" TargetMode="External" /><Relationship Id="rId271" Type="http://schemas.openxmlformats.org/officeDocument/2006/relationships/hyperlink" Target="https://advance.lexis.com/api/document?collection=cases-ca&amp;id=urn:contentItem:5M67-1F81-JW5H-X002-00000-00&amp;context=" TargetMode="External" /><Relationship Id="rId272" Type="http://schemas.openxmlformats.org/officeDocument/2006/relationships/hyperlink" Target="https://advance.lexis.com/api/document?collection=cases-ca&amp;id=urn:contentItem:5F7T-S711-F5KY-B0Y6-00000-00&amp;context=" TargetMode="External" /><Relationship Id="rId273" Type="http://schemas.openxmlformats.org/officeDocument/2006/relationships/hyperlink" Target="https://advance.lexis.com/api/document?collection=cases-ca&amp;id=urn:contentItem:5F7T-S7M1-JPP5-22NS-00000-00&amp;context=" TargetMode="External" /><Relationship Id="rId274" Type="http://schemas.openxmlformats.org/officeDocument/2006/relationships/hyperlink" Target="https://advance.lexis.com/api/document?collection=cases-ca&amp;id=urn:contentItem:5KS2-M7W1-JNY7-X3HS-00000-00&amp;context=" TargetMode="External" /><Relationship Id="rId275" Type="http://schemas.openxmlformats.org/officeDocument/2006/relationships/hyperlink" Target="https://advance.lexis.com/api/document?collection=cases-ca&amp;id=urn:contentItem:5F7T-S7M1-JNCK-22HM-00000-00&amp;context=" TargetMode="External" /><Relationship Id="rId276" Type="http://schemas.openxmlformats.org/officeDocument/2006/relationships/hyperlink" Target="https://advance.lexis.com/api/document?collection=cases-ca&amp;id=urn:contentItem:5F7T-S721-F5T5-M236-00000-00&amp;context=" TargetMode="External" /><Relationship Id="rId277" Type="http://schemas.openxmlformats.org/officeDocument/2006/relationships/hyperlink" Target="https://advance.lexis.com/api/document?collection=cases-ca&amp;id=urn:contentItem:5F7T-S7P1-JCRC-B24V-00000-00&amp;context=" TargetMode="External" /><Relationship Id="rId278" Type="http://schemas.openxmlformats.org/officeDocument/2006/relationships/hyperlink" Target="https://advance.lexis.com/api/document?collection=cases-ca&amp;id=urn:contentItem:5F7T-S7F1-JBT7-X2R9-00000-00&amp;context=" TargetMode="External" /><Relationship Id="rId279" Type="http://schemas.openxmlformats.org/officeDocument/2006/relationships/header" Target="header34.xml" /><Relationship Id="rId28" Type="http://schemas.openxmlformats.org/officeDocument/2006/relationships/hyperlink" Target="https://advance.lexis.com/api/document?collection=cases-ca&amp;id=urn:contentItem:5F7T-S771-JJD0-G119-00000-00&amp;context=" TargetMode="External" /><Relationship Id="rId280" Type="http://schemas.openxmlformats.org/officeDocument/2006/relationships/header" Target="header35.xml" /><Relationship Id="rId281" Type="http://schemas.openxmlformats.org/officeDocument/2006/relationships/footer" Target="footer34.xml" /><Relationship Id="rId282" Type="http://schemas.openxmlformats.org/officeDocument/2006/relationships/footer" Target="footer35.xml" /><Relationship Id="rId283" Type="http://schemas.openxmlformats.org/officeDocument/2006/relationships/header" Target="header36.xml" /><Relationship Id="rId284" Type="http://schemas.openxmlformats.org/officeDocument/2006/relationships/footer" Target="footer36.xml" /><Relationship Id="rId285" Type="http://schemas.openxmlformats.org/officeDocument/2006/relationships/hyperlink" Target="https://advance.lexis.com/api/document?collection=cases-ca&amp;id=urn:contentItem:5F7T-S771-JSJC-X035-00000-00&amp;context=" TargetMode="External" /><Relationship Id="rId286" Type="http://schemas.openxmlformats.org/officeDocument/2006/relationships/hyperlink" Target="https://advance.lexis.com/api/document?collection=cases-ca&amp;id=urn:contentItem:5F7T-S771-F361-M1W4-00000-00&amp;context=" TargetMode="External" /><Relationship Id="rId287" Type="http://schemas.openxmlformats.org/officeDocument/2006/relationships/header" Target="header37.xml" /><Relationship Id="rId288" Type="http://schemas.openxmlformats.org/officeDocument/2006/relationships/header" Target="header38.xml" /><Relationship Id="rId289" Type="http://schemas.openxmlformats.org/officeDocument/2006/relationships/footer" Target="footer37.xml" /><Relationship Id="rId29" Type="http://schemas.openxmlformats.org/officeDocument/2006/relationships/hyperlink" Target="https://advance.lexis.com/api/document?collection=cases-ca&amp;id=urn:contentItem:5F7T-S7D1-JS5Y-B21Y-00000-00&amp;context=" TargetMode="External" /><Relationship Id="rId290" Type="http://schemas.openxmlformats.org/officeDocument/2006/relationships/footer" Target="footer38.xml" /><Relationship Id="rId291" Type="http://schemas.openxmlformats.org/officeDocument/2006/relationships/header" Target="header39.xml" /><Relationship Id="rId292" Type="http://schemas.openxmlformats.org/officeDocument/2006/relationships/footer" Target="footer39.xml" /><Relationship Id="rId293" Type="http://schemas.openxmlformats.org/officeDocument/2006/relationships/hyperlink" Target="https://advance.lexis.com/api/document?collection=cases-ca&amp;id=urn:contentItem:5XV8-1431-F2TK-20J8-00000-00&amp;context=" TargetMode="External" /><Relationship Id="rId294" Type="http://schemas.openxmlformats.org/officeDocument/2006/relationships/hyperlink" Target="https://advance.lexis.com/api/document?collection=cases-ca&amp;id=urn:contentItem:5F7T-S7N1-JC5P-G2CM-00000-00&amp;context=" TargetMode="External" /><Relationship Id="rId295" Type="http://schemas.openxmlformats.org/officeDocument/2006/relationships/hyperlink" Target="https://advance.lexis.com/api/document?collection=cases-ca&amp;id=urn:contentItem:5F7T-S7G1-F5KY-B1K6-00000-00&amp;context=" TargetMode="External" /><Relationship Id="rId296" Type="http://schemas.openxmlformats.org/officeDocument/2006/relationships/hyperlink" Target="https://advance.lexis.com/api/document?collection=cases-ca&amp;id=urn:contentItem:5F7T-S7C1-F4NT-X2YG-00000-00&amp;context=" TargetMode="External" /><Relationship Id="rId297" Type="http://schemas.openxmlformats.org/officeDocument/2006/relationships/hyperlink" Target="https://advance.lexis.com/api/document?collection=cases-ca&amp;id=urn:contentItem:5F7T-S7M1-F4W2-61YM-00000-00&amp;context=" TargetMode="External" /><Relationship Id="rId298" Type="http://schemas.openxmlformats.org/officeDocument/2006/relationships/hyperlink" Target="https://advance.lexis.com/api/document?collection=cases-ca&amp;id=urn:contentItem:5F7T-S7C1-F30T-B2BW-00000-00&amp;context=" TargetMode="External" /><Relationship Id="rId299" Type="http://schemas.openxmlformats.org/officeDocument/2006/relationships/hyperlink" Target="https://advance.lexis.com/api/document?collection=cases-ca&amp;id=urn:contentItem:5F7T-S7G1-JNY7-X41W-00000-00&amp;context=" TargetMode="External" /><Relationship Id="rId3" Type="http://schemas.openxmlformats.org/officeDocument/2006/relationships/fontTable" Target="fontTable.xml" /><Relationship Id="rId30" Type="http://schemas.openxmlformats.org/officeDocument/2006/relationships/hyperlink" Target="https://advance.lexis.com/api/document?collection=cases-ca&amp;id=urn:contentItem:5F8T-N3V1-JF75-M3S6-00000-00&amp;context=" TargetMode="External" /><Relationship Id="rId300" Type="http://schemas.openxmlformats.org/officeDocument/2006/relationships/hyperlink" Target="https://advance.lexis.com/api/document?collection=cases-ca&amp;id=urn:contentItem:5F7T-S7P1-JP4G-61PW-00000-00&amp;context=" TargetMode="External" /><Relationship Id="rId301" Type="http://schemas.openxmlformats.org/officeDocument/2006/relationships/hyperlink" Target="https://advance.lexis.com/api/document?collection=cases-ca&amp;id=urn:contentItem:5H90-B6F1-JN6B-S3NH-00000-00&amp;context=" TargetMode="External" /><Relationship Id="rId302" Type="http://schemas.openxmlformats.org/officeDocument/2006/relationships/hyperlink" Target="https://advance.lexis.com/api/document?collection=cases-ca&amp;id=urn:contentItem:5F7T-S791-JCJ5-2522-00000-00&amp;context=" TargetMode="External" /><Relationship Id="rId303" Type="http://schemas.openxmlformats.org/officeDocument/2006/relationships/hyperlink" Target="https://advance.lexis.com/api/document?collection=cases-ca&amp;id=urn:contentItem:5F7T-S781-JC5P-G1JG-00000-00&amp;context=" TargetMode="External" /><Relationship Id="rId304" Type="http://schemas.openxmlformats.org/officeDocument/2006/relationships/hyperlink" Target="https://advance.lexis.com/api/document?collection=cases-ca&amp;id=urn:contentItem:5F7T-S7M1-JJK6-S204-00000-00&amp;context=" TargetMode="External" /><Relationship Id="rId305" Type="http://schemas.openxmlformats.org/officeDocument/2006/relationships/header" Target="header40.xml" /><Relationship Id="rId306" Type="http://schemas.openxmlformats.org/officeDocument/2006/relationships/header" Target="header41.xml" /><Relationship Id="rId307" Type="http://schemas.openxmlformats.org/officeDocument/2006/relationships/footer" Target="footer40.xml" /><Relationship Id="rId308" Type="http://schemas.openxmlformats.org/officeDocument/2006/relationships/footer" Target="footer41.xml" /><Relationship Id="rId309" Type="http://schemas.openxmlformats.org/officeDocument/2006/relationships/header" Target="header42.xml" /><Relationship Id="rId31" Type="http://schemas.openxmlformats.org/officeDocument/2006/relationships/hyperlink" Target="https://advance.lexis.com/api/document?collection=cases-ca&amp;id=urn:contentItem:5F7T-S781-JSC5-M4F4-00000-00&amp;context=" TargetMode="External" /><Relationship Id="rId310" Type="http://schemas.openxmlformats.org/officeDocument/2006/relationships/footer" Target="footer42.xml" /><Relationship Id="rId311" Type="http://schemas.openxmlformats.org/officeDocument/2006/relationships/hyperlink" Target="https://advance.lexis.com/api/document?collection=cases-ca&amp;id=urn:contentItem:5X05-23H1-JCBX-S141-00000-00&amp;context=" TargetMode="External" /><Relationship Id="rId312" Type="http://schemas.openxmlformats.org/officeDocument/2006/relationships/hyperlink" Target="https://advance.lexis.com/api/document?collection=cases-ca&amp;id=urn:contentItem:5F7T-S7N1-JWR6-S2JD-00000-00&amp;context=" TargetMode="External" /><Relationship Id="rId313" Type="http://schemas.openxmlformats.org/officeDocument/2006/relationships/hyperlink" Target="https://advance.lexis.com/api/document?collection=cases-ca&amp;id=urn:contentItem:5F7T-S7K1-JKHB-62YV-00000-00&amp;context=" TargetMode="External" /><Relationship Id="rId314" Type="http://schemas.openxmlformats.org/officeDocument/2006/relationships/hyperlink" Target="https://advance.lexis.com/api/document?collection=cases-ca&amp;id=urn:contentItem:5NHR-M691-FH4C-X2CB-00000-00&amp;context=" TargetMode="External" /><Relationship Id="rId315" Type="http://schemas.openxmlformats.org/officeDocument/2006/relationships/hyperlink" Target="https://advance.lexis.com/api/document?collection=cases-ca&amp;id=urn:contentItem:5F81-YH41-JX8W-M05P-00000-00&amp;context=" TargetMode="External" /><Relationship Id="rId316" Type="http://schemas.openxmlformats.org/officeDocument/2006/relationships/hyperlink" Target="https://advance.lexis.com/api/document?collection=cases-ca&amp;id=urn:contentItem:5J58-W6W1-FG12-61NB-00000-00&amp;context=" TargetMode="External" /><Relationship Id="rId317" Type="http://schemas.openxmlformats.org/officeDocument/2006/relationships/hyperlink" Target="https://advance.lexis.com/api/document?collection=cases-ca&amp;id=urn:contentItem:5F7T-S721-F5T5-M260-00000-00&amp;context=" TargetMode="External" /><Relationship Id="rId318" Type="http://schemas.openxmlformats.org/officeDocument/2006/relationships/hyperlink" Target="https://advance.lexis.com/api/document?collection=cases-ca&amp;id=urn:contentItem:5F7T-S7J1-JYYX-6229-00000-00&amp;context=" TargetMode="External" /><Relationship Id="rId319" Type="http://schemas.openxmlformats.org/officeDocument/2006/relationships/header" Target="header43.xml" /><Relationship Id="rId32" Type="http://schemas.openxmlformats.org/officeDocument/2006/relationships/hyperlink" Target="https://advance.lexis.com/api/document?collection=cases-ca&amp;id=urn:contentItem:5F7T-S781-F7G6-63KX-00000-00&amp;context=" TargetMode="External" /><Relationship Id="rId320" Type="http://schemas.openxmlformats.org/officeDocument/2006/relationships/header" Target="header44.xml" /><Relationship Id="rId321" Type="http://schemas.openxmlformats.org/officeDocument/2006/relationships/footer" Target="footer43.xml" /><Relationship Id="rId322" Type="http://schemas.openxmlformats.org/officeDocument/2006/relationships/footer" Target="footer44.xml" /><Relationship Id="rId323" Type="http://schemas.openxmlformats.org/officeDocument/2006/relationships/header" Target="header45.xml" /><Relationship Id="rId324" Type="http://schemas.openxmlformats.org/officeDocument/2006/relationships/footer" Target="footer45.xml" /><Relationship Id="rId325" Type="http://schemas.openxmlformats.org/officeDocument/2006/relationships/hyperlink" Target="https://advance.lexis.com/api/document?collection=cases-ca&amp;id=urn:contentItem:5F7T-S7P1-JNJT-B2B9-00000-00&amp;context=" TargetMode="External" /><Relationship Id="rId326" Type="http://schemas.openxmlformats.org/officeDocument/2006/relationships/hyperlink" Target="https://advance.lexis.com/api/document?collection=cases-ca&amp;id=urn:contentItem:5F7T-S7K1-F528-G2KR-00000-00&amp;context=" TargetMode="External" /><Relationship Id="rId327" Type="http://schemas.openxmlformats.org/officeDocument/2006/relationships/hyperlink" Target="https://advance.lexis.com/api/document?collection=cases-ca&amp;id=urn:contentItem:5F7T-S7N1-JWR6-S2DF-00000-00&amp;context=" TargetMode="External" /><Relationship Id="rId328" Type="http://schemas.openxmlformats.org/officeDocument/2006/relationships/hyperlink" Target="https://advance.lexis.com/api/document?collection=cases-ca&amp;id=urn:contentItem:5F7T-S7H1-JG02-S3RS-00000-00&amp;context=" TargetMode="External" /><Relationship Id="rId329" Type="http://schemas.openxmlformats.org/officeDocument/2006/relationships/hyperlink" Target="https://advance.lexis.com/api/document?collection=cases-ca&amp;id=urn:contentItem:5F7T-S7K1-F528-G33M-00000-00&amp;context=" TargetMode="External" /><Relationship Id="rId33" Type="http://schemas.openxmlformats.org/officeDocument/2006/relationships/hyperlink" Target="https://advance.lexis.com/api/document?collection=cases-ca&amp;id=urn:contentItem:5F7T-S761-F81W-21RK-00000-00&amp;context=" TargetMode="External" /><Relationship Id="rId330" Type="http://schemas.openxmlformats.org/officeDocument/2006/relationships/hyperlink" Target="https://advance.lexis.com/api/document?collection=cases-ca&amp;id=urn:contentItem:5F8T-N3P1-FC6N-X1BS-00000-00&amp;context=" TargetMode="External" /><Relationship Id="rId331" Type="http://schemas.openxmlformats.org/officeDocument/2006/relationships/hyperlink" Target="https://advance.lexis.com/api/document?collection=cases-ca&amp;id=urn:contentItem:5F7T-S7N1-JWR6-S236-00000-00&amp;context=" TargetMode="External" /><Relationship Id="rId332" Type="http://schemas.openxmlformats.org/officeDocument/2006/relationships/hyperlink" Target="https://advance.lexis.com/api/document?collection=cases-ca&amp;id=urn:contentItem:5F7T-S7G1-JPP5-21X8-00000-00&amp;context=" TargetMode="External" /><Relationship Id="rId333" Type="http://schemas.openxmlformats.org/officeDocument/2006/relationships/hyperlink" Target="https://advance.lexis.com/api/document?collection=cases-ca&amp;id=urn:contentItem:5F7T-S751-JG02-S2HX-00000-00&amp;context=" TargetMode="External" /><Relationship Id="rId334" Type="http://schemas.openxmlformats.org/officeDocument/2006/relationships/hyperlink" Target="https://advance.lexis.com/api/document?collection=cases-ca&amp;id=urn:contentItem:5F7T-S711-F4W2-61WK-00000-00&amp;context=" TargetMode="External" /><Relationship Id="rId335" Type="http://schemas.openxmlformats.org/officeDocument/2006/relationships/hyperlink" Target="https://advance.lexis.com/api/document?collection=cases-ca&amp;id=urn:contentItem:5F7T-S6Y1-FJDY-X1KK-00000-00&amp;context=" TargetMode="External" /><Relationship Id="rId336" Type="http://schemas.openxmlformats.org/officeDocument/2006/relationships/hyperlink" Target="https://advance.lexis.com/api/document?collection=cases-ca&amp;id=urn:contentItem:5F7T-S731-F60C-X1K0-00000-00&amp;context=" TargetMode="External" /><Relationship Id="rId337" Type="http://schemas.openxmlformats.org/officeDocument/2006/relationships/header" Target="header46.xml" /><Relationship Id="rId338" Type="http://schemas.openxmlformats.org/officeDocument/2006/relationships/header" Target="header47.xml" /><Relationship Id="rId339" Type="http://schemas.openxmlformats.org/officeDocument/2006/relationships/footer" Target="footer46.xml" /><Relationship Id="rId34" Type="http://schemas.openxmlformats.org/officeDocument/2006/relationships/hyperlink" Target="https://advance.lexis.com/api/document?collection=cases-ca&amp;id=urn:contentItem:5F8T-N3S1-JT99-250W-00000-00&amp;context=" TargetMode="External" /><Relationship Id="rId340" Type="http://schemas.openxmlformats.org/officeDocument/2006/relationships/footer" Target="footer47.xml" /><Relationship Id="rId341" Type="http://schemas.openxmlformats.org/officeDocument/2006/relationships/header" Target="header48.xml" /><Relationship Id="rId342" Type="http://schemas.openxmlformats.org/officeDocument/2006/relationships/footer" Target="footer48.xml" /><Relationship Id="rId343" Type="http://schemas.openxmlformats.org/officeDocument/2006/relationships/hyperlink" Target="https://advance.lexis.com/api/document?collection=cases-ca&amp;id=urn:contentItem:5K0R-HRN1-JX8W-M23S-00000-00&amp;context=" TargetMode="External" /><Relationship Id="rId344" Type="http://schemas.openxmlformats.org/officeDocument/2006/relationships/hyperlink" Target="https://advance.lexis.com/api/document?collection=cases-ca&amp;id=urn:contentItem:5F7T-S6X1-JTNR-M3X3-00000-00&amp;context=" TargetMode="External" /><Relationship Id="rId345" Type="http://schemas.openxmlformats.org/officeDocument/2006/relationships/hyperlink" Target="https://advance.lexis.com/api/document?collection=cases-ca&amp;id=urn:contentItem:5F82-1SF1-F361-M45M-00000-00&amp;context=" TargetMode="External" /><Relationship Id="rId346" Type="http://schemas.openxmlformats.org/officeDocument/2006/relationships/hyperlink" Target="https://advance.lexis.com/api/document?collection=cases-ca&amp;id=urn:contentItem:5F7T-S7N1-F57G-S2PF-00000-00&amp;context=" TargetMode="External" /><Relationship Id="rId347" Type="http://schemas.openxmlformats.org/officeDocument/2006/relationships/hyperlink" Target="https://advance.lexis.com/api/document?collection=cases-ca&amp;id=urn:contentItem:5F8T-N3P1-F7ND-G14C-00000-00&amp;context=" TargetMode="External" /><Relationship Id="rId348" Type="http://schemas.openxmlformats.org/officeDocument/2006/relationships/hyperlink" Target="https://advance.lexis.com/api/document?collection=cases-ca&amp;id=urn:contentItem:5F81-YGW1-DYFH-X025-00000-00&amp;context=" TargetMode="External" /><Relationship Id="rId349" Type="http://schemas.openxmlformats.org/officeDocument/2006/relationships/hyperlink" Target="https://advance.lexis.com/api/document?collection=cases-ca&amp;id=urn:contentItem:5F8P-SC71-JK4W-M2MK-00000-00&amp;context=" TargetMode="External" /><Relationship Id="rId35" Type="http://schemas.openxmlformats.org/officeDocument/2006/relationships/hyperlink" Target="https://advance.lexis.com/api/document?collection=cases-ca&amp;id=urn:contentItem:5F7T-S7F1-FJTD-G3CS-00000-00&amp;context=" TargetMode="External" /><Relationship Id="rId350" Type="http://schemas.openxmlformats.org/officeDocument/2006/relationships/hyperlink" Target="https://advance.lexis.com/api/document?collection=cases-ca&amp;id=urn:contentItem:5F8T-N3V1-JF75-M3WX-00000-00&amp;context=" TargetMode="External" /><Relationship Id="rId351" Type="http://schemas.openxmlformats.org/officeDocument/2006/relationships/hyperlink" Target="https://advance.lexis.com/api/document?collection=cases-ca&amp;id=urn:contentItem:5F7T-S771-JW5H-X1KV-00000-00&amp;context=" TargetMode="External" /><Relationship Id="rId352" Type="http://schemas.openxmlformats.org/officeDocument/2006/relationships/hyperlink" Target="https://advance.lexis.com/api/document?collection=cases-ca&amp;id=urn:contentItem:5F7T-S7H1-FCSB-S3MF-00000-00&amp;context=" TargetMode="External" /><Relationship Id="rId353" Type="http://schemas.openxmlformats.org/officeDocument/2006/relationships/hyperlink" Target="https://advance.lexis.com/api/document?collection=cases-ca&amp;id=urn:contentItem:5F8T-N3V1-JTGH-B109-00000-00&amp;context=" TargetMode="External" /><Relationship Id="rId354" Type="http://schemas.openxmlformats.org/officeDocument/2006/relationships/hyperlink" Target="https://advance.lexis.com/api/document?collection=cases-ca&amp;id=urn:contentItem:5F7T-S7G1-JPP5-2210-00000-00&amp;context=" TargetMode="External" /><Relationship Id="rId355" Type="http://schemas.openxmlformats.org/officeDocument/2006/relationships/hyperlink" Target="https://advance.lexis.com/api/document?collection=cases-ca&amp;id=urn:contentItem:5F7T-S7K1-F528-G2RP-00000-00&amp;context=" TargetMode="External" /><Relationship Id="rId356" Type="http://schemas.openxmlformats.org/officeDocument/2006/relationships/hyperlink" Target="https://advance.lexis.com/api/document?collection=cases-ca&amp;id=urn:contentItem:5GCC-XVB1-JGHR-M4D1-00000-00&amp;context=" TargetMode="External" /><Relationship Id="rId357" Type="http://schemas.openxmlformats.org/officeDocument/2006/relationships/hyperlink" Target="https://advance.lexis.com/api/document?collection=cases-ca&amp;id=urn:contentItem:5GCC-XVB1-JSXV-G075-00000-00&amp;context=" TargetMode="External" /><Relationship Id="rId358" Type="http://schemas.openxmlformats.org/officeDocument/2006/relationships/hyperlink" Target="https://advance.lexis.com/api/document?collection=cases-ca&amp;id=urn:contentItem:5F7T-S7P1-JNJT-B2RM-00000-00&amp;context=" TargetMode="External" /><Relationship Id="rId359" Type="http://schemas.openxmlformats.org/officeDocument/2006/relationships/hyperlink" Target="https://advance.lexis.com/api/document?collection=cases-ca&amp;id=urn:contentItem:5GCC-XVC1-JSRM-60PD-00000-00&amp;context=" TargetMode="External" /><Relationship Id="rId36" Type="http://schemas.openxmlformats.org/officeDocument/2006/relationships/hyperlink" Target="https://advance.lexis.com/api/document?collection=cases-ca&amp;id=urn:contentItem:5F7T-S6W1-JYYX-61TX-00000-00&amp;context=" TargetMode="External" /><Relationship Id="rId360" Type="http://schemas.openxmlformats.org/officeDocument/2006/relationships/hyperlink" Target="https://advance.lexis.com/api/document?collection=cases-ca&amp;id=urn:contentItem:5F7T-S7N1-F06F-24SM-00000-00&amp;context=" TargetMode="External" /><Relationship Id="rId361" Type="http://schemas.openxmlformats.org/officeDocument/2006/relationships/hyperlink" Target="https://advance.lexis.com/api/document?collection=cases-ca&amp;id=urn:contentItem:5F7T-S7P1-JSJC-X1B5-00000-00&amp;context=" TargetMode="External" /><Relationship Id="rId362" Type="http://schemas.openxmlformats.org/officeDocument/2006/relationships/hyperlink" Target="https://advance.lexis.com/api/document?collection=cases-ca&amp;id=urn:contentItem:5F7T-S7P1-JNJT-B2B4-00000-00&amp;context=" TargetMode="External" /><Relationship Id="rId363" Type="http://schemas.openxmlformats.org/officeDocument/2006/relationships/hyperlink" Target="https://advance.lexis.com/api/document?collection=cases-ca&amp;id=urn:contentItem:5J17-BK31-F5T5-M24J-00000-00&amp;context=" TargetMode="External" /><Relationship Id="rId364" Type="http://schemas.openxmlformats.org/officeDocument/2006/relationships/hyperlink" Target="https://advance.lexis.com/api/document?collection=cases-ca&amp;id=urn:contentItem:5F8T-N3T1-JJSF-2361-00000-00&amp;context=" TargetMode="External" /><Relationship Id="rId365" Type="http://schemas.openxmlformats.org/officeDocument/2006/relationships/hyperlink" Target="https://advance.lexis.com/api/document?collection=cases-ca&amp;id=urn:contentItem:5F7T-S7K1-JWXF-2115-00000-00&amp;context=" TargetMode="External" /><Relationship Id="rId366" Type="http://schemas.openxmlformats.org/officeDocument/2006/relationships/hyperlink" Target="https://advance.lexis.com/api/document?collection=cases-ca&amp;id=urn:contentItem:5F16-9371-F5DR-22XJ-00000-00&amp;context=" TargetMode="External" /><Relationship Id="rId367" Type="http://schemas.openxmlformats.org/officeDocument/2006/relationships/hyperlink" Target="https://advance.lexis.com/api/document?collection=cases-ca&amp;id=urn:contentItem:5F7T-S7H1-JCRC-B0PH-00000-00&amp;context=" TargetMode="External" /><Relationship Id="rId368" Type="http://schemas.openxmlformats.org/officeDocument/2006/relationships/hyperlink" Target="https://advance.lexis.com/api/document?collection=cases-ca&amp;id=urn:contentItem:5F7T-S7H1-F4GK-M34T-00000-00&amp;context=" TargetMode="External" /><Relationship Id="rId369" Type="http://schemas.openxmlformats.org/officeDocument/2006/relationships/hyperlink" Target="https://advance.lexis.com/api/document?collection=cases-ca&amp;id=urn:contentItem:5F7T-S7M1-DYMS-6201-00000-00&amp;context=" TargetMode="External" /><Relationship Id="rId37" Type="http://schemas.openxmlformats.org/officeDocument/2006/relationships/header" Target="header7.xml" /><Relationship Id="rId370" Type="http://schemas.openxmlformats.org/officeDocument/2006/relationships/hyperlink" Target="https://advance.lexis.com/api/document?collection=cases-ca&amp;id=urn:contentItem:5F7T-S7N1-JGHR-M2XR-00000-00&amp;context=" TargetMode="External" /><Relationship Id="rId371" Type="http://schemas.openxmlformats.org/officeDocument/2006/relationships/image" Target="media/image3.png" /><Relationship Id="rId372" Type="http://schemas.openxmlformats.org/officeDocument/2006/relationships/image" Target="media/image4.png" /><Relationship Id="rId373" Type="http://schemas.openxmlformats.org/officeDocument/2006/relationships/hyperlink" Target="https://advance.lexis.com/api/document?collection=cases-ca&amp;id=urn:contentItem:5F8T-N3S1-JT99-250X-00000-00&amp;context=" TargetMode="External" /><Relationship Id="rId374" Type="http://schemas.openxmlformats.org/officeDocument/2006/relationships/hyperlink" Target="https://advance.lexis.com/api/document?collection=cases-ca&amp;id=urn:contentItem:5F8T-N3S1-JT99-250Y-00000-00&amp;context=" TargetMode="External" /><Relationship Id="rId375" Type="http://schemas.openxmlformats.org/officeDocument/2006/relationships/hyperlink" Target="https://advance.lexis.com/api/document?collection=cases-ca&amp;id=urn:contentItem:5F8T-N3R1-JJSF-22JX-00000-00&amp;context=" TargetMode="External" /><Relationship Id="rId376" Type="http://schemas.openxmlformats.org/officeDocument/2006/relationships/hyperlink" Target="https://advance.lexis.com/api/document?collection=cases-ca&amp;id=urn:contentItem:5F7T-S7M1-JCRC-B1FJ-00000-00&amp;context=" TargetMode="External" /><Relationship Id="rId377" Type="http://schemas.openxmlformats.org/officeDocument/2006/relationships/hyperlink" Target="https://advance.lexis.com/api/document?collection=cases-ca&amp;id=urn:contentItem:5F7T-S7P1-JG02-S46D-00000-00&amp;context=" TargetMode="External" /><Relationship Id="rId378" Type="http://schemas.openxmlformats.org/officeDocument/2006/relationships/image" Target="media/image5.png" /><Relationship Id="rId379" Type="http://schemas.openxmlformats.org/officeDocument/2006/relationships/hyperlink" Target="https://advance.lexis.com/api/document?collection=cases-ca&amp;id=urn:contentItem:5F7T-S781-JSC5-M4D1-00000-00&amp;context=" TargetMode="External" /><Relationship Id="rId38" Type="http://schemas.openxmlformats.org/officeDocument/2006/relationships/header" Target="header8.xml" /><Relationship Id="rId380" Type="http://schemas.openxmlformats.org/officeDocument/2006/relationships/hyperlink" Target="https://advance.lexis.com/api/document?collection=cases-ca&amp;id=urn:contentItem:5GM0-J411-JJYN-B3XJ-00000-00&amp;context=" TargetMode="External" /><Relationship Id="rId381" Type="http://schemas.openxmlformats.org/officeDocument/2006/relationships/hyperlink" Target="https://advance.lexis.com/api/document?collection=cases-ca&amp;id=urn:contentItem:5F7T-S7N1-JW09-M126-00000-00&amp;context=" TargetMode="External" /><Relationship Id="rId382" Type="http://schemas.openxmlformats.org/officeDocument/2006/relationships/header" Target="header49.xml" /><Relationship Id="rId383" Type="http://schemas.openxmlformats.org/officeDocument/2006/relationships/header" Target="header50.xml" /><Relationship Id="rId384" Type="http://schemas.openxmlformats.org/officeDocument/2006/relationships/footer" Target="footer49.xml" /><Relationship Id="rId385" Type="http://schemas.openxmlformats.org/officeDocument/2006/relationships/footer" Target="footer50.xml" /><Relationship Id="rId386" Type="http://schemas.openxmlformats.org/officeDocument/2006/relationships/header" Target="header51.xml" /><Relationship Id="rId387" Type="http://schemas.openxmlformats.org/officeDocument/2006/relationships/footer" Target="footer51.xml" /><Relationship Id="rId388" Type="http://schemas.openxmlformats.org/officeDocument/2006/relationships/hyperlink" Target="https://advance.lexis.com/api/document?collection=cases-ca&amp;id=urn:contentItem:5F7T-S7C1-F7VM-S3NT-00000-00&amp;context=" TargetMode="External" /><Relationship Id="rId389" Type="http://schemas.openxmlformats.org/officeDocument/2006/relationships/hyperlink" Target="https://advance.lexis.com/api/document?collection=cases-ca&amp;id=urn:contentItem:5F7T-S6S1-JX3N-B0KH-00000-00&amp;context=" TargetMode="External" /><Relationship Id="rId39" Type="http://schemas.openxmlformats.org/officeDocument/2006/relationships/footer" Target="footer7.xml" /><Relationship Id="rId390" Type="http://schemas.openxmlformats.org/officeDocument/2006/relationships/hyperlink" Target="https://advance.lexis.com/api/document?collection=cases-ca&amp;id=urn:contentItem:5F8T-N3T1-JJSF-2339-00000-00&amp;context=" TargetMode="External" /><Relationship Id="rId391" Type="http://schemas.openxmlformats.org/officeDocument/2006/relationships/hyperlink" Target="https://advance.lexis.com/api/document?collection=cases-ca&amp;id=urn:contentItem:5F8T-N3T1-JFKM-652N-00000-00&amp;context=" TargetMode="External" /><Relationship Id="rId392" Type="http://schemas.openxmlformats.org/officeDocument/2006/relationships/hyperlink" Target="https://advance.lexis.com/api/document?collection=cases-ca&amp;id=urn:contentItem:5F8T-N3V1-FC1F-M41J-00000-00&amp;context=" TargetMode="External" /><Relationship Id="rId393" Type="http://schemas.openxmlformats.org/officeDocument/2006/relationships/hyperlink" Target="https://advance.lexis.com/api/document?collection=legislation-ca&amp;id=urn:contentItem:5F41-1FN1-JSXV-G1VN-00000-00&amp;context=" TargetMode="External" /><Relationship Id="rId394" Type="http://schemas.openxmlformats.org/officeDocument/2006/relationships/header" Target="header52.xml" /><Relationship Id="rId395" Type="http://schemas.openxmlformats.org/officeDocument/2006/relationships/header" Target="header53.xml" /><Relationship Id="rId396" Type="http://schemas.openxmlformats.org/officeDocument/2006/relationships/footer" Target="footer52.xml" /><Relationship Id="rId397" Type="http://schemas.openxmlformats.org/officeDocument/2006/relationships/footer" Target="footer53.xml" /><Relationship Id="rId398" Type="http://schemas.openxmlformats.org/officeDocument/2006/relationships/header" Target="header54.xml" /><Relationship Id="rId399" Type="http://schemas.openxmlformats.org/officeDocument/2006/relationships/footer" Target="footer54.xml" /><Relationship Id="rId4" Type="http://schemas.openxmlformats.org/officeDocument/2006/relationships/header" Target="header1.xml" /><Relationship Id="rId40" Type="http://schemas.openxmlformats.org/officeDocument/2006/relationships/footer" Target="footer8.xml" /><Relationship Id="rId400" Type="http://schemas.openxmlformats.org/officeDocument/2006/relationships/hyperlink" Target="https://advance.lexis.com/api/document?collection=cases-ca&amp;id=urn:contentItem:5GBY-KWR1-FG12-60CG-00000-00&amp;context=" TargetMode="External" /><Relationship Id="rId401" Type="http://schemas.openxmlformats.org/officeDocument/2006/relationships/header" Target="header55.xml" /><Relationship Id="rId402" Type="http://schemas.openxmlformats.org/officeDocument/2006/relationships/header" Target="header56.xml" /><Relationship Id="rId403" Type="http://schemas.openxmlformats.org/officeDocument/2006/relationships/footer" Target="footer55.xml" /><Relationship Id="rId404" Type="http://schemas.openxmlformats.org/officeDocument/2006/relationships/footer" Target="footer56.xml" /><Relationship Id="rId405" Type="http://schemas.openxmlformats.org/officeDocument/2006/relationships/header" Target="header57.xml" /><Relationship Id="rId406" Type="http://schemas.openxmlformats.org/officeDocument/2006/relationships/footer" Target="footer57.xml" /><Relationship Id="rId407" Type="http://schemas.openxmlformats.org/officeDocument/2006/relationships/hyperlink" Target="https://advance.lexis.com/api/document?collection=cases-ca&amp;id=urn:contentItem:5V6F-TFX1-JW09-M4BJ-00000-00&amp;context=" TargetMode="External" /><Relationship Id="rId408" Type="http://schemas.openxmlformats.org/officeDocument/2006/relationships/hyperlink" Target="https://advance.lexis.com/api/document?collection=cases-ca&amp;id=urn:contentItem:5F7T-S7N1-F06F-24KX-00000-00&amp;context=" TargetMode="External" /><Relationship Id="rId409" Type="http://schemas.openxmlformats.org/officeDocument/2006/relationships/hyperlink" Target="https://advance.lexis.com/api/document?collection=cases-ca&amp;id=urn:contentItem:5J0C-MF51-JSXV-G2N2-00000-00&amp;context=" TargetMode="External" /><Relationship Id="rId41" Type="http://schemas.openxmlformats.org/officeDocument/2006/relationships/header" Target="header9.xml" /><Relationship Id="rId410" Type="http://schemas.openxmlformats.org/officeDocument/2006/relationships/hyperlink" Target="https://advance.lexis.com/api/document?collection=cases-ca&amp;id=urn:contentItem:5R32-47Y1-F2TK-220V-00000-00&amp;context=" TargetMode="External" /><Relationship Id="rId411" Type="http://schemas.openxmlformats.org/officeDocument/2006/relationships/hyperlink" Target="https://advance.lexis.com/api/document?collection=cases-ca&amp;id=urn:contentItem:5GW7-N221-JW5H-X0MC-00000-00&amp;context=" TargetMode="External" /><Relationship Id="rId412" Type="http://schemas.openxmlformats.org/officeDocument/2006/relationships/hyperlink" Target="https://advance.lexis.com/api/document?collection=cases-ca&amp;id=urn:contentItem:5SNT-TNG1-JBT7-X266-00000-00&amp;context=" TargetMode="External" /><Relationship Id="rId413" Type="http://schemas.openxmlformats.org/officeDocument/2006/relationships/hyperlink" Target="https://advance.lexis.com/api/document?collection=cases-ca&amp;id=urn:contentItem:5F7T-S7D1-FC6N-X0N4-00000-00&amp;context=" TargetMode="External" /><Relationship Id="rId414" Type="http://schemas.openxmlformats.org/officeDocument/2006/relationships/hyperlink" Target="https://advance.lexis.com/api/document?collection=cases-ca&amp;id=urn:contentItem:5F7T-S7H1-K054-G2DS-00000-00&amp;context=" TargetMode="External" /><Relationship Id="rId415" Type="http://schemas.openxmlformats.org/officeDocument/2006/relationships/hyperlink" Target="https://advance.lexis.com/api/document?collection=cases-ca&amp;id=urn:contentItem:5F7T-S7N1-JWR6-S2NB-00000-00&amp;context=" TargetMode="External" /><Relationship Id="rId416" Type="http://schemas.openxmlformats.org/officeDocument/2006/relationships/hyperlink" Target="https://advance.lexis.com/api/document?collection=cases-ca&amp;id=urn:contentItem:5PRV-MB21-JW5H-X0RX-00000-00&amp;context=" TargetMode="External" /><Relationship Id="rId417" Type="http://schemas.openxmlformats.org/officeDocument/2006/relationships/hyperlink" Target="https://advance.lexis.com/api/document?collection=cases-ca&amp;id=urn:contentItem:5F7T-S7M1-F4W2-62B8-00000-00&amp;context=" TargetMode="External" /><Relationship Id="rId418" Type="http://schemas.openxmlformats.org/officeDocument/2006/relationships/header" Target="header58.xml" /><Relationship Id="rId419" Type="http://schemas.openxmlformats.org/officeDocument/2006/relationships/header" Target="header59.xml" /><Relationship Id="rId42" Type="http://schemas.openxmlformats.org/officeDocument/2006/relationships/footer" Target="footer9.xml" /><Relationship Id="rId420" Type="http://schemas.openxmlformats.org/officeDocument/2006/relationships/footer" Target="footer58.xml" /><Relationship Id="rId421" Type="http://schemas.openxmlformats.org/officeDocument/2006/relationships/footer" Target="footer59.xml" /><Relationship Id="rId422" Type="http://schemas.openxmlformats.org/officeDocument/2006/relationships/header" Target="header60.xml" /><Relationship Id="rId423" Type="http://schemas.openxmlformats.org/officeDocument/2006/relationships/footer" Target="footer60.xml" /><Relationship Id="rId424" Type="http://schemas.openxmlformats.org/officeDocument/2006/relationships/hyperlink" Target="https://advance.lexis.com/api/document?collection=cases-ca&amp;id=urn:contentItem:5F7T-S7J1-JYYX-62KY-00000-00&amp;context=" TargetMode="External" /><Relationship Id="rId425" Type="http://schemas.openxmlformats.org/officeDocument/2006/relationships/hyperlink" Target="https://advance.lexis.com/api/document?collection=cases-ca&amp;id=urn:contentItem:5F7T-S7H1-FCSB-S3VF-00000-00&amp;context=" TargetMode="External" /><Relationship Id="rId426" Type="http://schemas.openxmlformats.org/officeDocument/2006/relationships/hyperlink" Target="https://advance.lexis.com/api/document?collection=cases-ca&amp;id=urn:contentItem:5F7T-S731-JC0G-6399-00000-00&amp;context=" TargetMode="External" /><Relationship Id="rId427" Type="http://schemas.openxmlformats.org/officeDocument/2006/relationships/hyperlink" Target="https://advance.lexis.com/api/document?collection=cases-ca&amp;id=urn:contentItem:5F7T-S711-JC0G-633B-00000-00&amp;context=" TargetMode="External" /><Relationship Id="rId428" Type="http://schemas.openxmlformats.org/officeDocument/2006/relationships/hyperlink" Target="https://advance.lexis.com/api/document?collection=cases-ca&amp;id=urn:contentItem:5F7T-S7G1-FCYK-208R-00000-00&amp;context=" TargetMode="External" /><Relationship Id="rId429" Type="http://schemas.openxmlformats.org/officeDocument/2006/relationships/hyperlink" Target="https://advance.lexis.com/api/document?collection=cases-ca&amp;id=urn:contentItem:5F7T-S7F1-JFKM-61M4-00000-00&amp;context=" TargetMode="External" /><Relationship Id="rId43" Type="http://schemas.openxmlformats.org/officeDocument/2006/relationships/hyperlink" Target="https://advance.lexis.com/api/document?collection=cases-ca&amp;id=urn:contentItem:5N54-05W1-JPGX-S1H3-00000-00&amp;context=" TargetMode="External" /><Relationship Id="rId430" Type="http://schemas.openxmlformats.org/officeDocument/2006/relationships/hyperlink" Target="https://advance.lexis.com/api/document?collection=cases-ca&amp;id=urn:contentItem:5F7T-S7D1-DY89-M4CC-00000-00&amp;context=" TargetMode="External" /><Relationship Id="rId431" Type="http://schemas.openxmlformats.org/officeDocument/2006/relationships/hyperlink" Target="https://advance.lexis.com/api/document?collection=cases-ca&amp;id=urn:contentItem:5F8P-SDP1-JGPY-X3FC-00000-00&amp;context=" TargetMode="External" /><Relationship Id="rId432" Type="http://schemas.openxmlformats.org/officeDocument/2006/relationships/hyperlink" Target="https://advance.lexis.com/api/document?collection=cases-ca&amp;id=urn:contentItem:5F7T-S7D1-DY89-M4DC-00000-00&amp;context=" TargetMode="External" /><Relationship Id="rId433" Type="http://schemas.openxmlformats.org/officeDocument/2006/relationships/hyperlink" Target="https://advance.lexis.com/api/document?collection=cases-ca&amp;id=urn:contentItem:5F7T-S741-F8D9-M1KR-00000-00&amp;context=" TargetMode="External" /><Relationship Id="rId434" Type="http://schemas.openxmlformats.org/officeDocument/2006/relationships/hyperlink" Target="https://advance.lexis.com/api/document?collection=cases-ca&amp;id=urn:contentItem:5F7T-S741-F8D9-M1NH-00000-00&amp;context=" TargetMode="External" /><Relationship Id="rId435" Type="http://schemas.openxmlformats.org/officeDocument/2006/relationships/hyperlink" Target="https://advance.lexis.com/api/document?collection=cases-ca&amp;id=urn:contentItem:5F7T-S7H1-F016-S3SR-00000-00&amp;context=" TargetMode="External" /><Relationship Id="rId436" Type="http://schemas.openxmlformats.org/officeDocument/2006/relationships/header" Target="header61.xml" /><Relationship Id="rId437" Type="http://schemas.openxmlformats.org/officeDocument/2006/relationships/header" Target="header62.xml" /><Relationship Id="rId438" Type="http://schemas.openxmlformats.org/officeDocument/2006/relationships/footer" Target="footer61.xml" /><Relationship Id="rId439" Type="http://schemas.openxmlformats.org/officeDocument/2006/relationships/footer" Target="footer62.xml" /><Relationship Id="rId44" Type="http://schemas.openxmlformats.org/officeDocument/2006/relationships/hyperlink" Target="https://advance.lexis.com/api/document?collection=cases-ca&amp;id=urn:contentItem:5F8T-N3V1-FH4C-X203-00000-00&amp;context=" TargetMode="External" /><Relationship Id="rId440" Type="http://schemas.openxmlformats.org/officeDocument/2006/relationships/header" Target="header63.xml" /><Relationship Id="rId441" Type="http://schemas.openxmlformats.org/officeDocument/2006/relationships/footer" Target="footer63.xml" /><Relationship Id="rId442" Type="http://schemas.openxmlformats.org/officeDocument/2006/relationships/hyperlink" Target="https://advance.lexis.com/api/document?collection=cases-ca&amp;id=urn:contentItem:5F7T-S7N1-JW09-M13P-00000-00&amp;context=" TargetMode="External" /><Relationship Id="rId443" Type="http://schemas.openxmlformats.org/officeDocument/2006/relationships/hyperlink" Target="https://advance.lexis.com/api/document?collection=legislation-ca&amp;id=urn:contentItem:5F41-1FN1-JBDT-B0J5-00000-00&amp;context=" TargetMode="External" /><Relationship Id="rId444" Type="http://schemas.openxmlformats.org/officeDocument/2006/relationships/hyperlink" Target="https://advance.lexis.com/api/document?collection=cases-ca&amp;id=urn:contentItem:5F8P-SFS1-FFMK-M116-00000-00&amp;context=" TargetMode="External" /><Relationship Id="rId445" Type="http://schemas.openxmlformats.org/officeDocument/2006/relationships/hyperlink" Target="https://advance.lexis.com/api/document?collection=cases-ca&amp;id=urn:contentItem:5F8T-N3T1-JJSF-23F8-00000-00&amp;context=" TargetMode="External" /><Relationship Id="rId446" Type="http://schemas.openxmlformats.org/officeDocument/2006/relationships/hyperlink" Target="https://advance.lexis.com/api/document?collection=cases-ca&amp;id=urn:contentItem:5F7T-S771-F2TK-22TH-00000-00&amp;context=" TargetMode="External" /><Relationship Id="rId447" Type="http://schemas.openxmlformats.org/officeDocument/2006/relationships/hyperlink" Target="https://advance.lexis.com/api/document?collection=cases-ca&amp;id=urn:contentItem:5F7T-S741-F528-G2DN-00000-00&amp;context=" TargetMode="External" /><Relationship Id="rId448" Type="http://schemas.openxmlformats.org/officeDocument/2006/relationships/hyperlink" Target="https://advance.lexis.com/api/document?collection=cases-ca&amp;id=urn:contentItem:5F7T-S7M1-F4W2-626P-00000-00&amp;context=" TargetMode="External" /><Relationship Id="rId449" Type="http://schemas.openxmlformats.org/officeDocument/2006/relationships/hyperlink" Target="https://advance.lexis.com/api/document?collection=cases-ca&amp;id=urn:contentItem:5F7T-S711-FJDY-X331-00000-00&amp;context=" TargetMode="External" /><Relationship Id="rId45" Type="http://schemas.openxmlformats.org/officeDocument/2006/relationships/hyperlink" Target="https://advance.lexis.com/api/document?collection=cases-ca&amp;id=urn:contentItem:5F7T-S7K1-JKHB-62XT-00000-00&amp;context=" TargetMode="External" /><Relationship Id="rId450" Type="http://schemas.openxmlformats.org/officeDocument/2006/relationships/hyperlink" Target="https://advance.lexis.com/api/document?collection=cases-ca&amp;id=urn:contentItem:5F7T-S6X1-K0BB-S0CG-00000-00&amp;context=" TargetMode="External" /><Relationship Id="rId451" Type="http://schemas.openxmlformats.org/officeDocument/2006/relationships/header" Target="header64.xml" /><Relationship Id="rId452" Type="http://schemas.openxmlformats.org/officeDocument/2006/relationships/header" Target="header65.xml" /><Relationship Id="rId453" Type="http://schemas.openxmlformats.org/officeDocument/2006/relationships/footer" Target="footer64.xml" /><Relationship Id="rId454" Type="http://schemas.openxmlformats.org/officeDocument/2006/relationships/footer" Target="footer65.xml" /><Relationship Id="rId455" Type="http://schemas.openxmlformats.org/officeDocument/2006/relationships/header" Target="header66.xml" /><Relationship Id="rId456" Type="http://schemas.openxmlformats.org/officeDocument/2006/relationships/footer" Target="footer66.xml" /><Relationship Id="rId457" Type="http://schemas.openxmlformats.org/officeDocument/2006/relationships/hyperlink" Target="https://advance.lexis.com/api/document?collection=cases-ca&amp;id=urn:contentItem:5F7T-S7N1-F57G-S2D6-00000-00&amp;context=" TargetMode="External" /><Relationship Id="rId458" Type="http://schemas.openxmlformats.org/officeDocument/2006/relationships/hyperlink" Target="https://advance.lexis.com/api/document?collection=legislation-ca&amp;id=urn:contentItem:5W2C-X5K1-JWJ0-G0T5-00000-00&amp;context=" TargetMode="External" /><Relationship Id="rId459" Type="http://schemas.openxmlformats.org/officeDocument/2006/relationships/hyperlink" Target="https://advance.lexis.com/api/document?collection=cases-ca&amp;id=urn:contentItem:5F7T-S7H1-JFKM-629T-00000-00&amp;context=" TargetMode="External" /><Relationship Id="rId46" Type="http://schemas.openxmlformats.org/officeDocument/2006/relationships/hyperlink" Target="https://advance.lexis.com/api/document?collection=cases-ca&amp;id=urn:contentItem:5F7T-S7J1-DXWW-24TW-00000-00&amp;context=" TargetMode="External" /><Relationship Id="rId460" Type="http://schemas.openxmlformats.org/officeDocument/2006/relationships/header" Target="header67.xml" /><Relationship Id="rId461" Type="http://schemas.openxmlformats.org/officeDocument/2006/relationships/header" Target="header68.xml" /><Relationship Id="rId462" Type="http://schemas.openxmlformats.org/officeDocument/2006/relationships/footer" Target="footer67.xml" /><Relationship Id="rId463" Type="http://schemas.openxmlformats.org/officeDocument/2006/relationships/footer" Target="footer68.xml" /><Relationship Id="rId464" Type="http://schemas.openxmlformats.org/officeDocument/2006/relationships/header" Target="header69.xml" /><Relationship Id="rId465" Type="http://schemas.openxmlformats.org/officeDocument/2006/relationships/footer" Target="footer69.xml" /><Relationship Id="rId466" Type="http://schemas.openxmlformats.org/officeDocument/2006/relationships/hyperlink" Target="https://advance.lexis.com/api/document?collection=cases-ca&amp;id=urn:contentItem:5F7T-S7D1-FFFC-B1JH-00000-00&amp;context=" TargetMode="External" /><Relationship Id="rId467" Type="http://schemas.openxmlformats.org/officeDocument/2006/relationships/hyperlink" Target="https://advance.lexis.com/api/document?collection=cases-ca&amp;id=urn:contentItem:5F7T-S761-FGJR-22SB-00000-00&amp;context=" TargetMode="External" /><Relationship Id="rId468" Type="http://schemas.openxmlformats.org/officeDocument/2006/relationships/hyperlink" Target="https://advance.lexis.com/api/document?collection=cases-ca&amp;id=urn:contentItem:5F7T-S731-FG12-62J7-00000-00&amp;context=" TargetMode="External" /><Relationship Id="rId469" Type="http://schemas.openxmlformats.org/officeDocument/2006/relationships/hyperlink" Target="https://advance.lexis.com/api/document?collection=cases-ca&amp;id=urn:contentItem:5F7T-S731-F016-S397-00000-00&amp;context=" TargetMode="External" /><Relationship Id="rId47" Type="http://schemas.openxmlformats.org/officeDocument/2006/relationships/hyperlink" Target="https://advance.lexis.com/api/document?collection=cases-ca&amp;id=urn:contentItem:5F8P-SGB1-FBV7-B4F0-00000-00&amp;context=" TargetMode="External" /><Relationship Id="rId470" Type="http://schemas.openxmlformats.org/officeDocument/2006/relationships/hyperlink" Target="https://advance.lexis.com/api/document?collection=cases-ca&amp;id=urn:contentItem:5F7T-S751-F361-M0PK-00000-00&amp;context=" TargetMode="External" /><Relationship Id="rId471" Type="http://schemas.openxmlformats.org/officeDocument/2006/relationships/hyperlink" Target="https://advance.lexis.com/api/document?collection=cases-ca&amp;id=urn:contentItem:5F7T-S6R1-JCJ5-243D-00000-00&amp;context=" TargetMode="External" /><Relationship Id="rId472" Type="http://schemas.openxmlformats.org/officeDocument/2006/relationships/hyperlink" Target="https://advance.lexis.com/api/document?collection=cases-ca&amp;id=urn:contentItem:5F7T-S731-F60C-X1CY-00000-00&amp;context=" TargetMode="External" /><Relationship Id="rId473" Type="http://schemas.openxmlformats.org/officeDocument/2006/relationships/hyperlink" Target="https://advance.lexis.com/api/document?collection=cases-ca&amp;id=urn:contentItem:5F7T-S711-F4W2-619X-00000-00&amp;context=" TargetMode="External" /><Relationship Id="rId474" Type="http://schemas.openxmlformats.org/officeDocument/2006/relationships/header" Target="header70.xml" /><Relationship Id="rId475" Type="http://schemas.openxmlformats.org/officeDocument/2006/relationships/header" Target="header71.xml" /><Relationship Id="rId476" Type="http://schemas.openxmlformats.org/officeDocument/2006/relationships/footer" Target="footer70.xml" /><Relationship Id="rId477" Type="http://schemas.openxmlformats.org/officeDocument/2006/relationships/footer" Target="footer71.xml" /><Relationship Id="rId478" Type="http://schemas.openxmlformats.org/officeDocument/2006/relationships/header" Target="header72.xml" /><Relationship Id="rId479" Type="http://schemas.openxmlformats.org/officeDocument/2006/relationships/footer" Target="footer72.xml" /><Relationship Id="rId48" Type="http://schemas.openxmlformats.org/officeDocument/2006/relationships/hyperlink" Target="https://advance.lexis.com/api/document?collection=cases-ca&amp;id=urn:contentItem:5F81-VJY1-F016-S2DY-00000-00&amp;context=" TargetMode="External" /><Relationship Id="rId480" Type="http://schemas.openxmlformats.org/officeDocument/2006/relationships/hyperlink" Target="https://advance.lexis.com/api/document?collection=cases-ca&amp;id=urn:contentItem:5F7T-S7P1-JP4G-61X7-00000-00&amp;context=" TargetMode="External" /><Relationship Id="rId481" Type="http://schemas.openxmlformats.org/officeDocument/2006/relationships/hyperlink" Target="https://advance.lexis.com/api/document?collection=cases-ca&amp;id=urn:contentItem:5F7T-S7K1-JKHB-6319-00000-00&amp;context=" TargetMode="External" /><Relationship Id="rId482" Type="http://schemas.openxmlformats.org/officeDocument/2006/relationships/hyperlink" Target="https://advance.lexis.com/api/document?collection=cases-ca&amp;id=urn:contentItem:5F7T-S7M1-JNCK-22H1-00000-00&amp;context=" TargetMode="External" /><Relationship Id="rId483" Type="http://schemas.openxmlformats.org/officeDocument/2006/relationships/hyperlink" Target="https://advance.lexis.com/api/document?collection=cases-ca&amp;id=urn:contentItem:5F7T-S7P1-F2TK-23R4-00000-00&amp;context=" TargetMode="External" /><Relationship Id="rId484" Type="http://schemas.openxmlformats.org/officeDocument/2006/relationships/hyperlink" Target="https://advance.lexis.com/api/document?collection=cases-ca&amp;id=urn:contentItem:5F7H-KWB1-F2MB-S07K-00000-00&amp;context=" TargetMode="External" /><Relationship Id="rId485" Type="http://schemas.openxmlformats.org/officeDocument/2006/relationships/hyperlink" Target="https://advance.lexis.com/api/document?collection=cases-ca&amp;id=urn:contentItem:5F7T-S7K1-JWXF-20X0-00000-00&amp;context=" TargetMode="External" /><Relationship Id="rId486" Type="http://schemas.openxmlformats.org/officeDocument/2006/relationships/hyperlink" Target="https://advance.lexis.com/api/document?collection=cases-ca&amp;id=urn:contentItem:5F7T-S7H1-JS5Y-B2WW-00000-00&amp;context=" TargetMode="External" /><Relationship Id="rId487" Type="http://schemas.openxmlformats.org/officeDocument/2006/relationships/hyperlink" Target="https://advance.lexis.com/api/document?collection=cases-ca&amp;id=urn:contentItem:5F7T-S771-JW5H-X21S-00000-00&amp;context=" TargetMode="External" /><Relationship Id="rId488" Type="http://schemas.openxmlformats.org/officeDocument/2006/relationships/hyperlink" Target="https://advance.lexis.com/api/document?collection=cases-ca&amp;id=urn:contentItem:5F7T-S7K1-DXWW-201V-00000-00&amp;context=" TargetMode="External" /><Relationship Id="rId489" Type="http://schemas.openxmlformats.org/officeDocument/2006/relationships/hyperlink" Target="https://advance.lexis.com/api/document?collection=cases-ca&amp;id=urn:contentItem:5F7T-S7N1-JGHR-M3B9-00000-00&amp;context=" TargetMode="External" /><Relationship Id="rId49" Type="http://schemas.openxmlformats.org/officeDocument/2006/relationships/header" Target="header10.xml" /><Relationship Id="rId490" Type="http://schemas.openxmlformats.org/officeDocument/2006/relationships/hyperlink" Target="https://advance.lexis.com/api/document?collection=cases-ca&amp;id=urn:contentItem:5F7T-S7K1-JWXF-218V-00000-00&amp;context=" TargetMode="External" /><Relationship Id="rId491" Type="http://schemas.openxmlformats.org/officeDocument/2006/relationships/hyperlink" Target="https://advance.lexis.com/api/document?collection=cases-ca&amp;id=urn:contentItem:5F7T-S7N1-JWR6-S27V-00000-00&amp;context=" TargetMode="External" /><Relationship Id="rId492" Type="http://schemas.openxmlformats.org/officeDocument/2006/relationships/hyperlink" Target="https://advance.lexis.com/api/document?collection=cases-ca&amp;id=urn:contentItem:5F7T-S7N1-JC5P-G2DS-00000-00&amp;context=" TargetMode="External" /><Relationship Id="rId493" Type="http://schemas.openxmlformats.org/officeDocument/2006/relationships/hyperlink" Target="https://advance.lexis.com/api/document?collection=cases-ca&amp;id=urn:contentItem:5F7T-S7K1-JX3N-B2YD-00000-00&amp;context=" TargetMode="External" /><Relationship Id="rId494" Type="http://schemas.openxmlformats.org/officeDocument/2006/relationships/hyperlink" Target="https://advance.lexis.com/api/document?collection=cases-ca&amp;id=urn:contentItem:5F7T-S7J1-FGCG-S0M6-00000-00&amp;context=" TargetMode="External" /><Relationship Id="rId495" Type="http://schemas.openxmlformats.org/officeDocument/2006/relationships/hyperlink" Target="https://advance.lexis.com/api/document?collection=cases-ca&amp;id=urn:contentItem:5F7T-S721-F956-S1WD-00000-00&amp;context=" TargetMode="External" /><Relationship Id="rId496" Type="http://schemas.openxmlformats.org/officeDocument/2006/relationships/hyperlink" Target="https://advance.lexis.com/api/document?collection=cases-ca&amp;id=urn:contentItem:5F7T-S781-F7G6-63DP-00000-00&amp;context=" TargetMode="External" /><Relationship Id="rId497" Type="http://schemas.openxmlformats.org/officeDocument/2006/relationships/header" Target="header73.xml" /><Relationship Id="rId498" Type="http://schemas.openxmlformats.org/officeDocument/2006/relationships/header" Target="header74.xml" /><Relationship Id="rId499" Type="http://schemas.openxmlformats.org/officeDocument/2006/relationships/footer" Target="footer73.xml" /><Relationship Id="rId5" Type="http://schemas.openxmlformats.org/officeDocument/2006/relationships/header" Target="header2.xml" /><Relationship Id="rId50" Type="http://schemas.openxmlformats.org/officeDocument/2006/relationships/header" Target="header11.xml" /><Relationship Id="rId500" Type="http://schemas.openxmlformats.org/officeDocument/2006/relationships/footer" Target="footer74.xml" /><Relationship Id="rId501" Type="http://schemas.openxmlformats.org/officeDocument/2006/relationships/header" Target="header75.xml" /><Relationship Id="rId502" Type="http://schemas.openxmlformats.org/officeDocument/2006/relationships/footer" Target="footer75.xml" /><Relationship Id="rId503" Type="http://schemas.openxmlformats.org/officeDocument/2006/relationships/hyperlink" Target="https://advance.lexis.com/api/document?collection=cases-ca&amp;id=urn:contentItem:5F7T-S7K1-JNY7-X4DR-00000-00&amp;context=" TargetMode="External" /><Relationship Id="rId504" Type="http://schemas.openxmlformats.org/officeDocument/2006/relationships/hyperlink" Target="https://advance.lexis.com/api/document?collection=cases-ca&amp;id=urn:contentItem:5F7T-S761-JS5Y-B1DS-00000-00&amp;context=" TargetMode="External" /><Relationship Id="rId505" Type="http://schemas.openxmlformats.org/officeDocument/2006/relationships/hyperlink" Target="https://advance.lexis.com/api/document?collection=cases-ca&amp;id=urn:contentItem:5F8T-N3V1-FC1F-M48G-00000-00&amp;context=" TargetMode="External" /><Relationship Id="rId506" Type="http://schemas.openxmlformats.org/officeDocument/2006/relationships/hyperlink" Target="https://advance.lexis.com/api/document?collection=cases-ca&amp;id=urn:contentItem:5F8T-N3V1-JTGH-B0YP-00000-00&amp;context=" TargetMode="External" /><Relationship Id="rId507" Type="http://schemas.openxmlformats.org/officeDocument/2006/relationships/header" Target="header76.xml" /><Relationship Id="rId508" Type="http://schemas.openxmlformats.org/officeDocument/2006/relationships/header" Target="header77.xml" /><Relationship Id="rId509" Type="http://schemas.openxmlformats.org/officeDocument/2006/relationships/footer" Target="footer76.xml" /><Relationship Id="rId51" Type="http://schemas.openxmlformats.org/officeDocument/2006/relationships/footer" Target="footer10.xml" /><Relationship Id="rId510" Type="http://schemas.openxmlformats.org/officeDocument/2006/relationships/footer" Target="footer77.xml" /><Relationship Id="rId511" Type="http://schemas.openxmlformats.org/officeDocument/2006/relationships/header" Target="header78.xml" /><Relationship Id="rId512" Type="http://schemas.openxmlformats.org/officeDocument/2006/relationships/footer" Target="footer78.xml" /><Relationship Id="rId513" Type="http://schemas.openxmlformats.org/officeDocument/2006/relationships/hyperlink" Target="https://advance.lexis.com/api/document?collection=cases-ca&amp;id=urn:contentItem:5F7T-S7N1-DXWW-20CN-00000-00&amp;context=" TargetMode="External" /><Relationship Id="rId514" Type="http://schemas.openxmlformats.org/officeDocument/2006/relationships/hyperlink" Target="https://advance.lexis.com/api/document?collection=cases-ca&amp;id=urn:contentItem:5F7T-S721-F06F-230Y-00000-00&amp;context=" TargetMode="External" /><Relationship Id="rId515" Type="http://schemas.openxmlformats.org/officeDocument/2006/relationships/hyperlink" Target="https://advance.lexis.com/api/document?collection=cases-ca&amp;id=urn:contentItem:5F7T-S7N1-JGHR-M37R-00000-00&amp;context=" TargetMode="External" /><Relationship Id="rId516" Type="http://schemas.openxmlformats.org/officeDocument/2006/relationships/hyperlink" Target="https://advance.lexis.com/api/document?collection=cases-ca&amp;id=urn:contentItem:5F7T-S7F1-DXWW-2408-00000-00&amp;context=" TargetMode="External" /><Relationship Id="rId517" Type="http://schemas.openxmlformats.org/officeDocument/2006/relationships/hyperlink" Target="https://advance.lexis.com/api/document?collection=cases-ca&amp;id=urn:contentItem:5F7T-S6T1-FJTD-G1NJ-00000-00&amp;context=" TargetMode="External" /><Relationship Id="rId518" Type="http://schemas.openxmlformats.org/officeDocument/2006/relationships/hyperlink" Target="https://advance.lexis.com/api/document?collection=cases-ca&amp;id=urn:contentItem:5F7T-S6V1-JNS1-M0BG-00000-00&amp;context=" TargetMode="External" /><Relationship Id="rId519" Type="http://schemas.openxmlformats.org/officeDocument/2006/relationships/hyperlink" Target="https://advance.lexis.com/api/document?collection=cases-ca&amp;id=urn:contentItem:5F7T-S7N1-JW09-M0P4-00000-00&amp;context=" TargetMode="External" /><Relationship Id="rId52" Type="http://schemas.openxmlformats.org/officeDocument/2006/relationships/footer" Target="footer11.xml" /><Relationship Id="rId520" Type="http://schemas.openxmlformats.org/officeDocument/2006/relationships/hyperlink" Target="https://advance.lexis.com/api/document?collection=cases-ca&amp;id=urn:contentItem:5F7T-S7K1-JNY7-X4GT-00000-00&amp;context=" TargetMode="External" /><Relationship Id="rId521" Type="http://schemas.openxmlformats.org/officeDocument/2006/relationships/hyperlink" Target="https://advance.lexis.com/api/document?collection=cases-ca&amp;id=urn:contentItem:5F7T-S7N1-F57G-S264-00000-00&amp;context=" TargetMode="External" /><Relationship Id="rId522" Type="http://schemas.openxmlformats.org/officeDocument/2006/relationships/hyperlink" Target="https://advance.lexis.com/api/document?collection=cases-ca&amp;id=urn:contentItem:5F7T-S7P1-JBDT-B11F-00000-00&amp;context=" TargetMode="External" /><Relationship Id="rId523" Type="http://schemas.openxmlformats.org/officeDocument/2006/relationships/hyperlink" Target="https://advance.lexis.com/api/document?collection=cases-ca&amp;id=urn:contentItem:5F7T-S7N1-JW09-M0W8-00000-00&amp;context=" TargetMode="External" /><Relationship Id="rId524" Type="http://schemas.openxmlformats.org/officeDocument/2006/relationships/hyperlink" Target="https://advance.lexis.com/api/document?collection=cases-ca&amp;id=urn:contentItem:5F7T-S7M1-F4W2-6292-00000-00&amp;context=" TargetMode="External" /><Relationship Id="rId525" Type="http://schemas.openxmlformats.org/officeDocument/2006/relationships/hyperlink" Target="https://advance.lexis.com/api/document?collection=cases-ca&amp;id=urn:contentItem:5F7T-S7P1-JCRC-B29G-00000-00&amp;context=" TargetMode="External" /><Relationship Id="rId526" Type="http://schemas.openxmlformats.org/officeDocument/2006/relationships/hyperlink" Target="https://advance.lexis.com/api/document?collection=cases-ca&amp;id=urn:contentItem:5GCC-XVB1-JGHR-M4KN-00000-00&amp;context=" TargetMode="External" /><Relationship Id="rId527" Type="http://schemas.openxmlformats.org/officeDocument/2006/relationships/hyperlink" Target="https://advance.lexis.com/api/document?collection=cases-ca&amp;id=urn:contentItem:5F7T-S7F1-JFKM-61YH-00000-00&amp;context=" TargetMode="External" /><Relationship Id="rId528" Type="http://schemas.openxmlformats.org/officeDocument/2006/relationships/hyperlink" Target="https://advance.lexis.com/api/document?collection=cases-ca&amp;id=urn:contentItem:5F7T-S7G1-JBT7-X4C5-00000-00&amp;context=" TargetMode="External" /><Relationship Id="rId529" Type="http://schemas.openxmlformats.org/officeDocument/2006/relationships/hyperlink" Target="https://advance.lexis.com/api/document?collection=cases-ca&amp;id=urn:contentItem:5F7T-S7B1-FH4C-X381-00000-00&amp;context=" TargetMode="External" /><Relationship Id="rId53" Type="http://schemas.openxmlformats.org/officeDocument/2006/relationships/header" Target="header12.xml" /><Relationship Id="rId530" Type="http://schemas.openxmlformats.org/officeDocument/2006/relationships/hyperlink" Target="https://advance.lexis.com/api/document?collection=cases-ca&amp;id=urn:contentItem:5F7T-S7K1-JNY7-X4RM-00000-00&amp;context=" TargetMode="External" /><Relationship Id="rId531" Type="http://schemas.openxmlformats.org/officeDocument/2006/relationships/header" Target="header79.xml" /><Relationship Id="rId532" Type="http://schemas.openxmlformats.org/officeDocument/2006/relationships/header" Target="header80.xml" /><Relationship Id="rId533" Type="http://schemas.openxmlformats.org/officeDocument/2006/relationships/footer" Target="footer79.xml" /><Relationship Id="rId534" Type="http://schemas.openxmlformats.org/officeDocument/2006/relationships/footer" Target="footer80.xml" /><Relationship Id="rId535" Type="http://schemas.openxmlformats.org/officeDocument/2006/relationships/header" Target="header81.xml" /><Relationship Id="rId536" Type="http://schemas.openxmlformats.org/officeDocument/2006/relationships/footer" Target="footer81.xml" /><Relationship Id="rId537" Type="http://schemas.openxmlformats.org/officeDocument/2006/relationships/hyperlink" Target="https://advance.lexis.com/api/document?collection=cases-ca&amp;id=urn:contentItem:5W6N-2JC1-JS0R-246K-00000-00&amp;context=" TargetMode="External" /><Relationship Id="rId538" Type="http://schemas.openxmlformats.org/officeDocument/2006/relationships/hyperlink" Target="https://advance.lexis.com/api/document?collection=cases-ca&amp;id=urn:contentItem:5KD1-W4V1-JC5P-G3DY-00000-00&amp;context=" TargetMode="External" /><Relationship Id="rId539" Type="http://schemas.openxmlformats.org/officeDocument/2006/relationships/hyperlink" Target="https://advance.lexis.com/api/document?collection=cases-ca&amp;id=urn:contentItem:5F7T-S781-F7G6-639N-00000-00&amp;context=" TargetMode="External" /><Relationship Id="rId54" Type="http://schemas.openxmlformats.org/officeDocument/2006/relationships/footer" Target="footer12.xml" /><Relationship Id="rId540" Type="http://schemas.openxmlformats.org/officeDocument/2006/relationships/hyperlink" Target="https://advance.lexis.com/api/document?collection=cases-ca&amp;id=urn:contentItem:5F7T-S7F1-FFFC-B22N-00000-00&amp;context=" TargetMode="External" /><Relationship Id="rId541" Type="http://schemas.openxmlformats.org/officeDocument/2006/relationships/hyperlink" Target="https://advance.lexis.com/api/document?collection=cases-ca&amp;id=urn:contentItem:5F7T-S711-JG02-S1F6-00000-00&amp;context=" TargetMode="External" /><Relationship Id="rId542" Type="http://schemas.openxmlformats.org/officeDocument/2006/relationships/hyperlink" Target="https://advance.lexis.com/api/document?collection=cases-ca&amp;id=urn:contentItem:5F7T-S7P1-JBDT-B1BC-00000-00&amp;context=" TargetMode="External" /><Relationship Id="rId543" Type="http://schemas.openxmlformats.org/officeDocument/2006/relationships/header" Target="header82.xml" /><Relationship Id="rId544" Type="http://schemas.openxmlformats.org/officeDocument/2006/relationships/header" Target="header83.xml" /><Relationship Id="rId545" Type="http://schemas.openxmlformats.org/officeDocument/2006/relationships/footer" Target="footer82.xml" /><Relationship Id="rId546" Type="http://schemas.openxmlformats.org/officeDocument/2006/relationships/footer" Target="footer83.xml" /><Relationship Id="rId547" Type="http://schemas.openxmlformats.org/officeDocument/2006/relationships/header" Target="header84.xml" /><Relationship Id="rId548" Type="http://schemas.openxmlformats.org/officeDocument/2006/relationships/footer" Target="footer84.xml" /><Relationship Id="rId549" Type="http://schemas.openxmlformats.org/officeDocument/2006/relationships/hyperlink" Target="https://advance.lexis.com/api/document?collection=cases-ca&amp;id=urn:contentItem:5V73-WHH1-JTGH-B3W2-00000-00&amp;context=" TargetMode="External" /><Relationship Id="rId55" Type="http://schemas.openxmlformats.org/officeDocument/2006/relationships/hyperlink" Target="https://advance.lexis.com/api/document?collection=cases-ca&amp;id=urn:contentItem:5X7M-2361-JGBH-B2N0-00000-00&amp;context=" TargetMode="External" /><Relationship Id="rId550" Type="http://schemas.openxmlformats.org/officeDocument/2006/relationships/hyperlink" Target="https://advance.lexis.com/api/document?collection=cases-ca&amp;id=urn:contentItem:5F7T-S7P1-JNJT-B2JY-00000-00&amp;context=" TargetMode="External" /><Relationship Id="rId551" Type="http://schemas.openxmlformats.org/officeDocument/2006/relationships/hyperlink" Target="https://advance.lexis.com/api/document?collection=cases-ca&amp;id=urn:contentItem:5F8T-N3V1-JTGH-B0YX-00000-00&amp;context=" TargetMode="External" /><Relationship Id="rId552" Type="http://schemas.openxmlformats.org/officeDocument/2006/relationships/hyperlink" Target="https://advance.lexis.com/api/document?collection=cases-ca&amp;id=urn:contentItem:5F8T-N3V1-JTGH-B19J-00000-00&amp;context=" TargetMode="External" /><Relationship Id="rId553" Type="http://schemas.openxmlformats.org/officeDocument/2006/relationships/hyperlink" Target="https://advance.lexis.com/api/document?collection=cases-ca&amp;id=urn:contentItem:5F8T-N3T1-JGHR-M1XV-00000-00&amp;context=" TargetMode="External" /><Relationship Id="rId554" Type="http://schemas.openxmlformats.org/officeDocument/2006/relationships/hyperlink" Target="https://advance.lexis.com/api/document?collection=cases-ca&amp;id=urn:contentItem:5F8T-N3T1-JJSF-236M-00000-00&amp;context=" TargetMode="External" /><Relationship Id="rId555" Type="http://schemas.openxmlformats.org/officeDocument/2006/relationships/hyperlink" Target="https://advance.lexis.com/api/document?collection=cases-ca&amp;id=urn:contentItem:5F7T-S7N1-JW09-M0YW-00000-00&amp;context=" TargetMode="External" /><Relationship Id="rId556" Type="http://schemas.openxmlformats.org/officeDocument/2006/relationships/hyperlink" Target="https://advance.lexis.com/api/document?collection=cases-ca&amp;id=urn:contentItem:5F7T-S771-F361-M1HH-00000-00&amp;context=" TargetMode="External" /><Relationship Id="rId557" Type="http://schemas.openxmlformats.org/officeDocument/2006/relationships/hyperlink" Target="https://advance.lexis.com/api/document?collection=cases-ca&amp;id=urn:contentItem:5F7T-S7G1-JPP5-222K-00000-00&amp;context=" TargetMode="External" /><Relationship Id="rId558" Type="http://schemas.openxmlformats.org/officeDocument/2006/relationships/hyperlink" Target="https://advance.lexis.com/api/document?collection=cases-ca&amp;id=urn:contentItem:5F7T-S6W1-JYYX-61X7-00000-00&amp;context=" TargetMode="External" /><Relationship Id="rId559" Type="http://schemas.openxmlformats.org/officeDocument/2006/relationships/hyperlink" Target="https://advance.lexis.com/api/document?collection=cases-ca&amp;id=urn:contentItem:5F7T-S7N1-F06F-24PV-00000-00&amp;context=" TargetMode="External" /><Relationship Id="rId56" Type="http://schemas.openxmlformats.org/officeDocument/2006/relationships/hyperlink" Target="https://advance.lexis.com/api/document?collection=cases-ca&amp;id=urn:contentItem:5F8T-N3V1-JTGH-B184-00000-00&amp;context=" TargetMode="External" /><Relationship Id="rId560" Type="http://schemas.openxmlformats.org/officeDocument/2006/relationships/hyperlink" Target="https://advance.lexis.com/api/document?collection=cases-ca&amp;id=urn:contentItem:5F7T-S7F1-JFKM-61VX-00000-00&amp;context=" TargetMode="External" /><Relationship Id="rId561" Type="http://schemas.openxmlformats.org/officeDocument/2006/relationships/hyperlink" Target="https://advance.lexis.com/api/document?collection=cases-ca&amp;id=urn:contentItem:5F7T-S7H1-JCRC-B16V-00000-00&amp;context=" TargetMode="External" /><Relationship Id="rId562" Type="http://schemas.openxmlformats.org/officeDocument/2006/relationships/hyperlink" Target="https://advance.lexis.com/api/document?collection=cases-ca&amp;id=urn:contentItem:5F7T-XPX1-FCCX-6201-00000-00&amp;context=" TargetMode="External" /><Relationship Id="rId563" Type="http://schemas.openxmlformats.org/officeDocument/2006/relationships/hyperlink" Target="https://advance.lexis.com/api/document?collection=cases-ca&amp;id=urn:contentItem:5F8T-N3P1-F81W-220P-00000-00&amp;context=" TargetMode="External" /><Relationship Id="rId564" Type="http://schemas.openxmlformats.org/officeDocument/2006/relationships/hyperlink" Target="https://advance.lexis.com/api/document?collection=cases-ca&amp;id=urn:contentItem:5T2X-72H1-JNJT-B2V0-00000-00&amp;context=" TargetMode="External" /><Relationship Id="rId565" Type="http://schemas.openxmlformats.org/officeDocument/2006/relationships/hyperlink" Target="https://advance.lexis.com/api/document?collection=cases-ca&amp;id=urn:contentItem:5F7T-S7N1-JWR6-S2FW-00000-00&amp;context=" TargetMode="External" /><Relationship Id="rId566" Type="http://schemas.openxmlformats.org/officeDocument/2006/relationships/hyperlink" Target="https://advance.lexis.com/api/document?collection=cases-ca&amp;id=urn:contentItem:5F7T-S7F1-DXWW-23FX-00000-00&amp;context=" TargetMode="External" /><Relationship Id="rId567" Type="http://schemas.openxmlformats.org/officeDocument/2006/relationships/header" Target="header85.xml" /><Relationship Id="rId568" Type="http://schemas.openxmlformats.org/officeDocument/2006/relationships/header" Target="header86.xml" /><Relationship Id="rId569" Type="http://schemas.openxmlformats.org/officeDocument/2006/relationships/footer" Target="footer85.xml" /><Relationship Id="rId57" Type="http://schemas.openxmlformats.org/officeDocument/2006/relationships/hyperlink" Target="https://advance.lexis.com/api/document?collection=cases-ca&amp;id=urn:contentItem:5F8T-N3V1-FH4C-X23F-00000-00&amp;context=" TargetMode="External" /><Relationship Id="rId570" Type="http://schemas.openxmlformats.org/officeDocument/2006/relationships/footer" Target="footer86.xml" /><Relationship Id="rId571" Type="http://schemas.openxmlformats.org/officeDocument/2006/relationships/header" Target="header87.xml" /><Relationship Id="rId572" Type="http://schemas.openxmlformats.org/officeDocument/2006/relationships/footer" Target="footer87.xml" /><Relationship Id="rId573" Type="http://schemas.openxmlformats.org/officeDocument/2006/relationships/hyperlink" Target="https://advance.lexis.com/api/document?collection=cases-ca&amp;id=urn:contentItem:5GCC-XVC1-F900-G4SK-00000-00&amp;context=" TargetMode="External" /><Relationship Id="rId574" Type="http://schemas.openxmlformats.org/officeDocument/2006/relationships/hyperlink" Target="https://advance.lexis.com/api/document?collection=cases-ca&amp;id=urn:contentItem:5F8T-N3S1-JBDT-B04B-00000-00&amp;context=" TargetMode="External" /><Relationship Id="rId575" Type="http://schemas.openxmlformats.org/officeDocument/2006/relationships/header" Target="header88.xml" /><Relationship Id="rId576" Type="http://schemas.openxmlformats.org/officeDocument/2006/relationships/header" Target="header89.xml" /><Relationship Id="rId577" Type="http://schemas.openxmlformats.org/officeDocument/2006/relationships/footer" Target="footer88.xml" /><Relationship Id="rId578" Type="http://schemas.openxmlformats.org/officeDocument/2006/relationships/footer" Target="footer89.xml" /><Relationship Id="rId579" Type="http://schemas.openxmlformats.org/officeDocument/2006/relationships/header" Target="header90.xml" /><Relationship Id="rId58" Type="http://schemas.openxmlformats.org/officeDocument/2006/relationships/hyperlink" Target="https://advance.lexis.com/api/document?collection=cases-ca&amp;id=urn:contentItem:5S2S-4CM1-FGY5-M42G-00000-00&amp;context=" TargetMode="External" /><Relationship Id="rId580" Type="http://schemas.openxmlformats.org/officeDocument/2006/relationships/footer" Target="footer90.xml" /><Relationship Id="rId581" Type="http://schemas.openxmlformats.org/officeDocument/2006/relationships/hyperlink" Target="https://advance.lexis.com/api/document?collection=cases-ca&amp;id=urn:contentItem:5W9M-7J21-FJTD-G2RG-00000-00&amp;context=" TargetMode="External" /><Relationship Id="rId582" Type="http://schemas.openxmlformats.org/officeDocument/2006/relationships/hyperlink" Target="https://advance.lexis.com/api/document?collection=legislation-ca&amp;id=urn:contentItem:5VYK-WB01-JJSF-220V-00000-00&amp;context=" TargetMode="External" /><Relationship Id="rId583" Type="http://schemas.openxmlformats.org/officeDocument/2006/relationships/hyperlink" Target="https://advance.lexis.com/api/document?collection=legislation-ca&amp;id=urn:contentItem:5VYK-W9V1-JS0R-23WX-00000-00&amp;context=" TargetMode="External" /><Relationship Id="rId584" Type="http://schemas.openxmlformats.org/officeDocument/2006/relationships/hyperlink" Target="https://advance.lexis.com/api/document?collection=cases-ca&amp;id=urn:contentItem:5W2S-K5H1-JFDC-X015-00000-00&amp;context=" TargetMode="External" /><Relationship Id="rId585" Type="http://schemas.openxmlformats.org/officeDocument/2006/relationships/hyperlink" Target="https://advance.lexis.com/api/document?collection=cases-ca&amp;id=urn:contentItem:5W6N-2JC1-JS0R-2462-00000-00&amp;context=" TargetMode="External" /><Relationship Id="rId586" Type="http://schemas.openxmlformats.org/officeDocument/2006/relationships/hyperlink" Target="https://advance.lexis.com/api/document?collection=cases-ca&amp;id=urn:contentItem:5W7F-NSR1-JN14-G3F7-00000-00&amp;context=" TargetMode="External" /><Relationship Id="rId587" Type="http://schemas.openxmlformats.org/officeDocument/2006/relationships/hyperlink" Target="https://advance.lexis.com/api/document?collection=cases-ca&amp;id=urn:contentItem:5W5J-S271-JGBH-B2DW-00000-00&amp;context=" TargetMode="External" /><Relationship Id="rId588" Type="http://schemas.openxmlformats.org/officeDocument/2006/relationships/hyperlink" Target="https://advance.lexis.com/api/document?collection=cases-ca&amp;id=urn:contentItem:5PVD-M721-JWJ0-G159-00000-00&amp;context=" TargetMode="External" /><Relationship Id="rId589" Type="http://schemas.openxmlformats.org/officeDocument/2006/relationships/hyperlink" Target="https://advance.lexis.com/api/document?collection=cases-ca&amp;id=urn:contentItem:5FXJ-PSX1-JNJT-B0JF-00000-00&amp;context=" TargetMode="External" /><Relationship Id="rId59" Type="http://schemas.openxmlformats.org/officeDocument/2006/relationships/hyperlink" Target="https://advance.lexis.com/api/document?collection=cases-ca&amp;id=urn:contentItem:5F7T-S741-F528-G2DB-00000-00&amp;context=" TargetMode="External" /><Relationship Id="rId590" Type="http://schemas.openxmlformats.org/officeDocument/2006/relationships/hyperlink" Target="https://advance.lexis.com/api/document?collection=cases-ca&amp;id=urn:contentItem:5F8T-N3V1-JTGH-B1FY-00000-00&amp;context=" TargetMode="External" /><Relationship Id="rId591" Type="http://schemas.openxmlformats.org/officeDocument/2006/relationships/hyperlink" Target="https://advance.lexis.com/api/document?collection=cases-ca&amp;id=urn:contentItem:5F8T-N3V1-FC1F-M4G8-00000-00&amp;context=" TargetMode="External" /><Relationship Id="rId592" Type="http://schemas.openxmlformats.org/officeDocument/2006/relationships/hyperlink" Target="https://advance.lexis.com/api/document?collection=cases-ca&amp;id=urn:contentItem:5F7T-S7G1-F5KY-B1W9-00000-00&amp;context=" TargetMode="External" /><Relationship Id="rId593" Type="http://schemas.openxmlformats.org/officeDocument/2006/relationships/hyperlink" Target="https://advance.lexis.com/api/document?collection=cases-ca&amp;id=urn:contentItem:5F8T-N3T1-JJSF-23M7-00000-00&amp;context=" TargetMode="External" /><Relationship Id="rId594" Type="http://schemas.openxmlformats.org/officeDocument/2006/relationships/hyperlink" Target="https://advance.lexis.com/api/document?collection=cases-ca&amp;id=urn:contentItem:5VW1-54M1-F8KH-X113-00000-00&amp;context=" TargetMode="External" /><Relationship Id="rId595" Type="http://schemas.openxmlformats.org/officeDocument/2006/relationships/hyperlink" Target="https://advance.lexis.com/api/document?collection=cases-ca&amp;id=urn:contentItem:5F8T-N3V1-JTGH-B1FW-00000-00&amp;context=" TargetMode="External" /><Relationship Id="rId596" Type="http://schemas.openxmlformats.org/officeDocument/2006/relationships/hyperlink" Target="https://advance.lexis.com/api/document?collection=cases-ca&amp;id=urn:contentItem:5G8Y-75G1-F873-B3VC-00000-00&amp;context=" TargetMode="External" /><Relationship Id="rId597" Type="http://schemas.openxmlformats.org/officeDocument/2006/relationships/hyperlink" Target="https://advance.lexis.com/api/document?collection=cases-ca&amp;id=urn:contentItem:5F7T-S7C1-FGRY-B0BC-00000-00&amp;context=" TargetMode="External" /><Relationship Id="rId598" Type="http://schemas.openxmlformats.org/officeDocument/2006/relationships/hyperlink" Target="https://advance.lexis.com/api/document?collection=cases-ca&amp;id=urn:contentItem:5VW1-54M1-F8KH-X11F-00000-00&amp;context=" TargetMode="External" /><Relationship Id="rId599" Type="http://schemas.openxmlformats.org/officeDocument/2006/relationships/hyperlink" Target="https://advance.lexis.com/api/document?collection=cases-ca&amp;id=urn:contentItem:5F7T-S7J1-JYYX-62DC-00000-00&amp;context=" TargetMode="External" /><Relationship Id="rId6" Type="http://schemas.openxmlformats.org/officeDocument/2006/relationships/footer" Target="footer1.xml" /><Relationship Id="rId60" Type="http://schemas.openxmlformats.org/officeDocument/2006/relationships/hyperlink" Target="https://advance.lexis.com/api/document?collection=cases-ca&amp;id=urn:contentItem:5F7T-S771-F2TK-22MS-00000-00&amp;context=" TargetMode="External" /><Relationship Id="rId600" Type="http://schemas.openxmlformats.org/officeDocument/2006/relationships/hyperlink" Target="https://advance.lexis.com/api/document?collection=cases-ca&amp;id=urn:contentItem:5F7T-S7M1-F4W2-62CH-00000-00&amp;context=" TargetMode="External" /><Relationship Id="rId601" Type="http://schemas.openxmlformats.org/officeDocument/2006/relationships/hyperlink" Target="https://advance.lexis.com/api/document?collection=cases-ca&amp;id=urn:contentItem:5PJ3-ST61-JGBH-B1H8-00000-00&amp;context=" TargetMode="External" /><Relationship Id="rId602" Type="http://schemas.openxmlformats.org/officeDocument/2006/relationships/hyperlink" Target="https://advance.lexis.com/api/document?collection=cases-ca&amp;id=urn:contentItem:5M4H-KPB1-FBN1-23WB-00000-00&amp;context=" TargetMode="External" /><Relationship Id="rId603" Type="http://schemas.openxmlformats.org/officeDocument/2006/relationships/hyperlink" Target="https://advance.lexis.com/api/document?collection=cases-ca&amp;id=urn:contentItem:5TWY-1MN1-F4NT-X55T-00000-00&amp;context=" TargetMode="External" /><Relationship Id="rId604" Type="http://schemas.openxmlformats.org/officeDocument/2006/relationships/header" Target="header91.xml" /><Relationship Id="rId605" Type="http://schemas.openxmlformats.org/officeDocument/2006/relationships/header" Target="header92.xml" /><Relationship Id="rId606" Type="http://schemas.openxmlformats.org/officeDocument/2006/relationships/footer" Target="footer91.xml" /><Relationship Id="rId607" Type="http://schemas.openxmlformats.org/officeDocument/2006/relationships/footer" Target="footer92.xml" /><Relationship Id="rId608" Type="http://schemas.openxmlformats.org/officeDocument/2006/relationships/header" Target="header93.xml" /><Relationship Id="rId609" Type="http://schemas.openxmlformats.org/officeDocument/2006/relationships/footer" Target="footer93.xml" /><Relationship Id="rId61" Type="http://schemas.openxmlformats.org/officeDocument/2006/relationships/hyperlink" Target="https://advance.lexis.com/api/document?collection=cases-ca&amp;id=urn:contentItem:5F7T-S7D1-JG02-S2SW-00000-00&amp;context=" TargetMode="External" /><Relationship Id="rId610" Type="http://schemas.openxmlformats.org/officeDocument/2006/relationships/hyperlink" Target="https://advance.lexis.com/api/document?collection=cases-ca&amp;id=urn:contentItem:5Y4B-VPB1-F956-S1K6-00000-00&amp;context=" TargetMode="External" /><Relationship Id="rId611" Type="http://schemas.openxmlformats.org/officeDocument/2006/relationships/hyperlink" Target="https://advance.lexis.com/api/document?collection=cases-ca&amp;id=urn:contentItem:5F7T-S7N1-JGHR-M38N-00000-00&amp;context=" TargetMode="External" /><Relationship Id="rId612" Type="http://schemas.openxmlformats.org/officeDocument/2006/relationships/hyperlink" Target="https://advance.lexis.com/api/document?collection=cases-ca&amp;id=urn:contentItem:5F8T-N3V1-JFKM-609G-00000-00&amp;context=" TargetMode="External" /><Relationship Id="rId613" Type="http://schemas.openxmlformats.org/officeDocument/2006/relationships/hyperlink" Target="https://advance.lexis.com/api/document?collection=cases-ca&amp;id=urn:contentItem:5F8T-N3V1-JTGH-B1C7-00000-00&amp;context=" TargetMode="External" /><Relationship Id="rId614" Type="http://schemas.openxmlformats.org/officeDocument/2006/relationships/hyperlink" Target="https://advance.lexis.com/api/document?collection=cases-ca&amp;id=urn:contentItem:5F7T-S771-F361-M1PY-00000-00&amp;context=" TargetMode="External" /><Relationship Id="rId615" Type="http://schemas.openxmlformats.org/officeDocument/2006/relationships/hyperlink" Target="https://advance.lexis.com/api/document?collection=cases-ca&amp;id=urn:contentItem:5NGX-71M1-JBDT-B2V6-00000-00&amp;context=" TargetMode="External" /><Relationship Id="rId616" Type="http://schemas.openxmlformats.org/officeDocument/2006/relationships/hyperlink" Target="https://advance.lexis.com/api/document?collection=cases-ca&amp;id=urn:contentItem:5SF0-P1T1-JS5Y-B1SH-00000-00&amp;context=" TargetMode="External" /><Relationship Id="rId617" Type="http://schemas.openxmlformats.org/officeDocument/2006/relationships/hyperlink" Target="https://advance.lexis.com/api/document?collection=cases-ca&amp;id=urn:contentItem:5G44-J3J1-JT42-S3K4-00000-00&amp;context=" TargetMode="External" /><Relationship Id="rId618" Type="http://schemas.openxmlformats.org/officeDocument/2006/relationships/hyperlink" Target="https://advance.lexis.com/api/document?collection=cases-ca&amp;id=urn:contentItem:5F8P-SFB1-JJYN-B3R2-00000-00&amp;context=" TargetMode="External" /><Relationship Id="rId619" Type="http://schemas.openxmlformats.org/officeDocument/2006/relationships/header" Target="header94.xml" /><Relationship Id="rId62" Type="http://schemas.openxmlformats.org/officeDocument/2006/relationships/hyperlink" Target="https://advance.lexis.com/api/document?collection=cases-ca&amp;id=urn:contentItem:5F7T-S791-JCJ5-24WT-00000-00&amp;context=" TargetMode="External" /><Relationship Id="rId620" Type="http://schemas.openxmlformats.org/officeDocument/2006/relationships/header" Target="header95.xml" /><Relationship Id="rId621" Type="http://schemas.openxmlformats.org/officeDocument/2006/relationships/footer" Target="footer94.xml" /><Relationship Id="rId622" Type="http://schemas.openxmlformats.org/officeDocument/2006/relationships/footer" Target="footer95.xml" /><Relationship Id="rId623" Type="http://schemas.openxmlformats.org/officeDocument/2006/relationships/header" Target="header96.xml" /><Relationship Id="rId624" Type="http://schemas.openxmlformats.org/officeDocument/2006/relationships/footer" Target="footer96.xml" /><Relationship Id="rId625" Type="http://schemas.openxmlformats.org/officeDocument/2006/relationships/hyperlink" Target="https://advance.lexis.com/api/document?collection=cases-ca&amp;id=urn:contentItem:5YM6-NMK1-JWJ0-G2P2-00000-00&amp;context=" TargetMode="External" /><Relationship Id="rId626" Type="http://schemas.openxmlformats.org/officeDocument/2006/relationships/hyperlink" Target="https://advance.lexis.com/api/document?collection=cases-ca&amp;id=urn:contentItem:5F7T-S7N1-JW09-M0X3-00000-00&amp;context=" TargetMode="External" /><Relationship Id="rId627" Type="http://schemas.openxmlformats.org/officeDocument/2006/relationships/hyperlink" Target="https://advance.lexis.com/api/document?collection=cases-ca&amp;id=urn:contentItem:5F7T-S7G1-JX3N-B2DD-00000-00&amp;context=" TargetMode="External" /><Relationship Id="rId628" Type="http://schemas.openxmlformats.org/officeDocument/2006/relationships/hyperlink" Target="https://advance.lexis.com/api/document?collection=cases-ca&amp;id=urn:contentItem:5Y1C-F2W1-JTGH-B08D-00000-00&amp;context=" TargetMode="External" /><Relationship Id="rId629" Type="http://schemas.openxmlformats.org/officeDocument/2006/relationships/hyperlink" Target="https://advance.lexis.com/api/document?collection=cases-ca&amp;id=urn:contentItem:5F7T-S7F1-FFFC-B1Y7-00000-00&amp;context=" TargetMode="External" /><Relationship Id="rId63" Type="http://schemas.openxmlformats.org/officeDocument/2006/relationships/hyperlink" Target="https://advance.lexis.com/api/document?collection=cases-ca&amp;id=urn:contentItem:5F7T-S7K1-JX3N-B2V4-00000-00&amp;context=" TargetMode="External" /><Relationship Id="rId630" Type="http://schemas.openxmlformats.org/officeDocument/2006/relationships/hyperlink" Target="https://advance.lexis.com/api/document?collection=cases-ca&amp;id=urn:contentItem:5F8P-SF71-F8SS-63V4-00000-00&amp;context=" TargetMode="External" /><Relationship Id="rId631" Type="http://schemas.openxmlformats.org/officeDocument/2006/relationships/hyperlink" Target="https://advance.lexis.com/api/document?collection=cases-ca&amp;id=urn:contentItem:5FXJ-PSX1-JNJT-B0JG-00000-00&amp;context=" TargetMode="External" /><Relationship Id="rId632" Type="http://schemas.openxmlformats.org/officeDocument/2006/relationships/hyperlink" Target="https://advance.lexis.com/api/document?collection=cases-ca&amp;id=urn:contentItem:5F8T-N3V1-JTGH-B16V-00000-00&amp;context=" TargetMode="External" /><Relationship Id="rId633" Type="http://schemas.openxmlformats.org/officeDocument/2006/relationships/hyperlink" Target="https://advance.lexis.com/api/document?collection=cases-ca&amp;id=urn:contentItem:5F8T-N3V1-JTGH-B1H3-00000-00&amp;context=" TargetMode="External" /><Relationship Id="rId634" Type="http://schemas.openxmlformats.org/officeDocument/2006/relationships/hyperlink" Target="https://advance.lexis.com/api/document?collection=cases-ca&amp;id=urn:contentItem:5F7V-3DJ1-JF1Y-B20R-00000-00&amp;context=" TargetMode="External" /><Relationship Id="rId635" Type="http://schemas.openxmlformats.org/officeDocument/2006/relationships/hyperlink" Target="https://advance.lexis.com/api/document?collection=cases-ca&amp;id=urn:contentItem:5F7T-S7M1-JPP5-22T4-00000-00&amp;context=" TargetMode="External" /><Relationship Id="rId636" Type="http://schemas.openxmlformats.org/officeDocument/2006/relationships/hyperlink" Target="https://advance.lexis.com/api/document?collection=cases-ca&amp;id=urn:contentItem:5F7T-S7M1-JJK6-S1M6-00000-00&amp;context=" TargetMode="External" /><Relationship Id="rId637" Type="http://schemas.openxmlformats.org/officeDocument/2006/relationships/header" Target="header97.xml" /><Relationship Id="rId638" Type="http://schemas.openxmlformats.org/officeDocument/2006/relationships/header" Target="header98.xml" /><Relationship Id="rId639" Type="http://schemas.openxmlformats.org/officeDocument/2006/relationships/footer" Target="footer97.xml" /><Relationship Id="rId64" Type="http://schemas.openxmlformats.org/officeDocument/2006/relationships/hyperlink" Target="https://advance.lexis.com/api/document?collection=cases-ca&amp;id=urn:contentItem:5W42-8GJ1-FG68-G3NT-00000-00&amp;context=" TargetMode="External" /><Relationship Id="rId640" Type="http://schemas.openxmlformats.org/officeDocument/2006/relationships/footer" Target="footer98.xml" /><Relationship Id="rId641" Type="http://schemas.openxmlformats.org/officeDocument/2006/relationships/header" Target="header99.xml" /><Relationship Id="rId642" Type="http://schemas.openxmlformats.org/officeDocument/2006/relationships/footer" Target="footer99.xml" /><Relationship Id="rId643" Type="http://schemas.openxmlformats.org/officeDocument/2006/relationships/hyperlink" Target="https://advance.lexis.com/api/document?collection=cases-ca&amp;id=urn:contentItem:5F7T-S7N1-F57G-S252-00000-00&amp;context=" TargetMode="External" /><Relationship Id="rId644" Type="http://schemas.openxmlformats.org/officeDocument/2006/relationships/hyperlink" Target="https://advance.lexis.com/api/document?collection=legislation-ca&amp;id=urn:contentItem:5F41-1FM1-FCK4-G01C-00000-00&amp;context=" TargetMode="External" /><Relationship Id="rId645" Type="http://schemas.openxmlformats.org/officeDocument/2006/relationships/hyperlink" Target="https://advance.lexis.com/api/document?collection=cases-ca&amp;id=urn:contentItem:5F7T-S721-FD4T-B0MF-00000-00&amp;context=" TargetMode="External" /><Relationship Id="rId646" Type="http://schemas.openxmlformats.org/officeDocument/2006/relationships/hyperlink" Target="https://advance.lexis.com/api/document?collection=cases-ca&amp;id=urn:contentItem:5F7T-S7K1-JX3N-B2P7-00000-00&amp;context=" TargetMode="External" /><Relationship Id="rId647" Type="http://schemas.openxmlformats.org/officeDocument/2006/relationships/hyperlink" Target="https://advance.lexis.com/api/document?collection=cases-ca&amp;id=urn:contentItem:5F7T-S7J1-JYYX-622Y-00000-00&amp;context=" TargetMode="External" /><Relationship Id="rId648" Type="http://schemas.openxmlformats.org/officeDocument/2006/relationships/hyperlink" Target="https://advance.lexis.com/api/document?collection=cases-ca&amp;id=urn:contentItem:5F7T-S7M1-JFSV-G3F3-00000-00&amp;context=" TargetMode="External" /><Relationship Id="rId649" Type="http://schemas.openxmlformats.org/officeDocument/2006/relationships/hyperlink" Target="https://advance.lexis.com/api/document?collection=cases-ca&amp;id=urn:contentItem:5F7T-S7M1-JFSV-G3V4-00000-00&amp;context=" TargetMode="External" /><Relationship Id="rId65" Type="http://schemas.openxmlformats.org/officeDocument/2006/relationships/hyperlink" Target="https://advance.lexis.com/api/document?collection=cases-ca&amp;id=urn:contentItem:5F7T-S7M1-DYMS-62JN-00000-00&amp;context=" TargetMode="External" /><Relationship Id="rId650" Type="http://schemas.openxmlformats.org/officeDocument/2006/relationships/hyperlink" Target="https://advance.lexis.com/api/document?collection=cases-ca&amp;id=urn:contentItem:5F7T-S781-F900-G0VN-00000-00&amp;context=" TargetMode="External" /><Relationship Id="rId651" Type="http://schemas.openxmlformats.org/officeDocument/2006/relationships/hyperlink" Target="https://advance.lexis.com/api/document?collection=cases-ca&amp;id=urn:contentItem:5F8T-N3V1-JTGH-B1BG-00000-00&amp;context=" TargetMode="External" /><Relationship Id="rId652" Type="http://schemas.openxmlformats.org/officeDocument/2006/relationships/hyperlink" Target="https://advance.lexis.com/api/document?collection=cases-ca&amp;id=urn:contentItem:5F8T-N3T1-JJSF-23BP-00000-00&amp;context=" TargetMode="External" /><Relationship Id="rId653" Type="http://schemas.openxmlformats.org/officeDocument/2006/relationships/header" Target="header100.xml" /><Relationship Id="rId654" Type="http://schemas.openxmlformats.org/officeDocument/2006/relationships/header" Target="header101.xml" /><Relationship Id="rId655" Type="http://schemas.openxmlformats.org/officeDocument/2006/relationships/footer" Target="footer100.xml" /><Relationship Id="rId656" Type="http://schemas.openxmlformats.org/officeDocument/2006/relationships/footer" Target="footer101.xml" /><Relationship Id="rId657" Type="http://schemas.openxmlformats.org/officeDocument/2006/relationships/header" Target="header102.xml" /><Relationship Id="rId658" Type="http://schemas.openxmlformats.org/officeDocument/2006/relationships/footer" Target="footer102.xml" /><Relationship Id="rId659" Type="http://schemas.openxmlformats.org/officeDocument/2006/relationships/hyperlink" Target="https://advance.lexis.com/api/document?collection=cases-ca&amp;id=urn:contentItem:5WRR-VPD1-FGRY-B2FG-00000-00&amp;context=" TargetMode="External" /><Relationship Id="rId66" Type="http://schemas.openxmlformats.org/officeDocument/2006/relationships/hyperlink" Target="https://advance.lexis.com/api/document?collection=cases-ca&amp;id=urn:contentItem:5F7T-S7M1-DYMS-629X-00000-00&amp;context=" TargetMode="External" /><Relationship Id="rId660" Type="http://schemas.openxmlformats.org/officeDocument/2006/relationships/hyperlink" Target="https://advance.lexis.com/api/document?collection=cases-ca&amp;id=urn:contentItem:5HG9-CT61-FGJR-22WM-00000-00&amp;context=" TargetMode="External" /><Relationship Id="rId661" Type="http://schemas.openxmlformats.org/officeDocument/2006/relationships/hyperlink" Target="https://advance.lexis.com/api/document?collection=cases-ca&amp;id=urn:contentItem:5F7T-S7P1-JP4G-623P-00000-00&amp;context=" TargetMode="External" /><Relationship Id="rId662" Type="http://schemas.openxmlformats.org/officeDocument/2006/relationships/hyperlink" Target="https://advance.lexis.com/api/document?collection=cases-ca&amp;id=urn:contentItem:5G9F-PW81-F2F4-G0KT-00000-00&amp;context=" TargetMode="External" /><Relationship Id="rId663" Type="http://schemas.openxmlformats.org/officeDocument/2006/relationships/hyperlink" Target="https://advance.lexis.com/api/document?collection=legislation-ca&amp;id=urn:contentItem:5VYK-WB61-JN14-G522-00000-00&amp;context=" TargetMode="External" /><Relationship Id="rId664" Type="http://schemas.openxmlformats.org/officeDocument/2006/relationships/hyperlink" Target="https://advance.lexis.com/api/document?collection=cases-ca&amp;id=urn:contentItem:5RT3-H8C1-FJM6-64CB-00000-00&amp;context=" TargetMode="External" /><Relationship Id="rId665" Type="http://schemas.openxmlformats.org/officeDocument/2006/relationships/hyperlink" Target="https://advance.lexis.com/api/document?collection=cases-ca&amp;id=urn:contentItem:5F7T-S7M1-F4W2-6274-00000-00&amp;context=" TargetMode="External" /><Relationship Id="rId666" Type="http://schemas.openxmlformats.org/officeDocument/2006/relationships/hyperlink" Target="https://advance.lexis.com/api/document?collection=legislation-ca&amp;id=urn:contentItem:5F41-1FJ1-JBDT-B06G-00000-00&amp;context=" TargetMode="External" /><Relationship Id="rId667" Type="http://schemas.openxmlformats.org/officeDocument/2006/relationships/hyperlink" Target="https://advance.lexis.com/api/document?collection=legislation-ca&amp;id=urn:contentItem:5F3B-B7H1-F30T-B26F-00000-00&amp;context=" TargetMode="External" /><Relationship Id="rId668" Type="http://schemas.openxmlformats.org/officeDocument/2006/relationships/header" Target="header103.xml" /><Relationship Id="rId669" Type="http://schemas.openxmlformats.org/officeDocument/2006/relationships/header" Target="header104.xml" /><Relationship Id="rId67" Type="http://schemas.openxmlformats.org/officeDocument/2006/relationships/hyperlink" Target="https://advance.lexis.com/api/document?collection=cases-ca&amp;id=urn:contentItem:5F7T-S7G1-JWR6-S21H-00000-00&amp;context=" TargetMode="External" /><Relationship Id="rId670" Type="http://schemas.openxmlformats.org/officeDocument/2006/relationships/footer" Target="footer103.xml" /><Relationship Id="rId671" Type="http://schemas.openxmlformats.org/officeDocument/2006/relationships/footer" Target="footer104.xml" /><Relationship Id="rId672" Type="http://schemas.openxmlformats.org/officeDocument/2006/relationships/header" Target="header105.xml" /><Relationship Id="rId673" Type="http://schemas.openxmlformats.org/officeDocument/2006/relationships/footer" Target="footer105.xml" /><Relationship Id="rId674" Type="http://schemas.openxmlformats.org/officeDocument/2006/relationships/hyperlink" Target="https://advance.lexis.com/api/document?collection=cases-ca&amp;id=urn:contentItem:5SXD-VGV1-F4W2-632S-00000-00&amp;context=" TargetMode="External" /><Relationship Id="rId675" Type="http://schemas.openxmlformats.org/officeDocument/2006/relationships/hyperlink" Target="https://advance.lexis.com/api/document?collection=cases-ca&amp;id=urn:contentItem:5PWM-06C1-JX8W-M4YX-00000-00&amp;context=" TargetMode="External" /><Relationship Id="rId676" Type="http://schemas.openxmlformats.org/officeDocument/2006/relationships/hyperlink" Target="https://advance.lexis.com/api/document?collection=cases-ca&amp;id=urn:contentItem:5F7T-S7N1-JW09-M0WC-00000-00&amp;context=" TargetMode="External" /><Relationship Id="rId677" Type="http://schemas.openxmlformats.org/officeDocument/2006/relationships/hyperlink" Target="https://advance.lexis.com/api/document?collection=cases-ca&amp;id=urn:contentItem:5HR4-FPP1-JG02-S2D5-00000-00&amp;context=" TargetMode="External" /><Relationship Id="rId678" Type="http://schemas.openxmlformats.org/officeDocument/2006/relationships/hyperlink" Target="https://advance.lexis.com/api/document?collection=cases-ca&amp;id=urn:contentItem:5F7T-S7K1-JKHB-62RX-00000-00&amp;context=" TargetMode="External" /><Relationship Id="rId679" Type="http://schemas.openxmlformats.org/officeDocument/2006/relationships/hyperlink" Target="https://advance.lexis.com/api/document?collection=cases-ca&amp;id=urn:contentItem:5NCX-HXM1-JWR6-S2KG-00000-00&amp;context=" TargetMode="External" /><Relationship Id="rId68" Type="http://schemas.openxmlformats.org/officeDocument/2006/relationships/hyperlink" Target="https://advance.lexis.com/api/document?collection=cases-ca&amp;id=urn:contentItem:5F7T-S7N1-JWR6-S2GW-00000-00&amp;context=" TargetMode="External" /><Relationship Id="rId680" Type="http://schemas.openxmlformats.org/officeDocument/2006/relationships/hyperlink" Target="https://advance.lexis.com/api/document?collection=cases-ca&amp;id=urn:contentItem:5F7T-S7F1-FBN1-21M8-00000-00&amp;context=" TargetMode="External" /><Relationship Id="rId681" Type="http://schemas.openxmlformats.org/officeDocument/2006/relationships/header" Target="header106.xml" /><Relationship Id="rId682" Type="http://schemas.openxmlformats.org/officeDocument/2006/relationships/header" Target="header107.xml" /><Relationship Id="rId683" Type="http://schemas.openxmlformats.org/officeDocument/2006/relationships/footer" Target="footer106.xml" /><Relationship Id="rId684" Type="http://schemas.openxmlformats.org/officeDocument/2006/relationships/footer" Target="footer107.xml" /><Relationship Id="rId685" Type="http://schemas.openxmlformats.org/officeDocument/2006/relationships/header" Target="header108.xml" /><Relationship Id="rId686" Type="http://schemas.openxmlformats.org/officeDocument/2006/relationships/footer" Target="footer108.xml" /><Relationship Id="rId687" Type="http://schemas.openxmlformats.org/officeDocument/2006/relationships/hyperlink" Target="https://advance.lexis.com/api/document?collection=cases-ca&amp;id=urn:contentItem:5XCF-HB91-JC5P-G2B6-00000-00&amp;context=" TargetMode="External" /><Relationship Id="rId688" Type="http://schemas.openxmlformats.org/officeDocument/2006/relationships/image" Target="media/image6.png" /><Relationship Id="rId689" Type="http://schemas.openxmlformats.org/officeDocument/2006/relationships/image" Target="media/image7.png" /><Relationship Id="rId69" Type="http://schemas.openxmlformats.org/officeDocument/2006/relationships/hyperlink" Target="https://advance.lexis.com/api/document?collection=cases-ca&amp;id=urn:contentItem:5F7T-S781-JC5P-G1W4-00000-00&amp;context=" TargetMode="External" /><Relationship Id="rId690" Type="http://schemas.openxmlformats.org/officeDocument/2006/relationships/image" Target="media/image8.png" /><Relationship Id="rId691" Type="http://schemas.openxmlformats.org/officeDocument/2006/relationships/image" Target="media/image9.png" /><Relationship Id="rId692" Type="http://schemas.openxmlformats.org/officeDocument/2006/relationships/hyperlink" Target="https://advance.lexis.com/api/document?collection=cases-ca&amp;id=urn:contentItem:5F8T-N3T1-JFKM-655K-00000-00&amp;context=" TargetMode="External" /><Relationship Id="rId693" Type="http://schemas.openxmlformats.org/officeDocument/2006/relationships/hyperlink" Target="https://advance.lexis.com/api/document?collection=cases-ca&amp;id=urn:contentItem:5F7T-S7C1-JSRM-60TP-00000-00&amp;context=" TargetMode="External" /><Relationship Id="rId694" Type="http://schemas.openxmlformats.org/officeDocument/2006/relationships/hyperlink" Target="https://advance.lexis.com/api/document?collection=cases-ca&amp;id=urn:contentItem:5P57-9BJ1-FCSB-S43T-00000-00&amp;context=" TargetMode="External" /><Relationship Id="rId695" Type="http://schemas.openxmlformats.org/officeDocument/2006/relationships/hyperlink" Target="https://advance.lexis.com/api/document?collection=cases-ca&amp;id=urn:contentItem:5F7T-S7M1-DYMS-625V-00000-00&amp;context=" TargetMode="External" /><Relationship Id="rId696" Type="http://schemas.openxmlformats.org/officeDocument/2006/relationships/hyperlink" Target="https://advance.lexis.com/api/document?collection=cases-ca&amp;id=urn:contentItem:5W6N-2JC1-JS0R-246F-00000-00&amp;context=" TargetMode="External" /><Relationship Id="rId697" Type="http://schemas.openxmlformats.org/officeDocument/2006/relationships/hyperlink" Target="https://advance.lexis.com/api/document?collection=cases-ca&amp;id=urn:contentItem:5JVG-2XS1-JN14-G1JY-00000-00&amp;context=" TargetMode="External" /><Relationship Id="rId698" Type="http://schemas.openxmlformats.org/officeDocument/2006/relationships/hyperlink" Target="https://advance.lexis.com/api/document?collection=cases-ca&amp;id=urn:contentItem:5F7T-S7N1-F06F-24PB-00000-00&amp;context=" TargetMode="External" /><Relationship Id="rId699" Type="http://schemas.openxmlformats.org/officeDocument/2006/relationships/hyperlink" Target="https://advance.lexis.com/api/document?collection=cases-ca&amp;id=urn:contentItem:5F7T-S7G1-JPP5-221X-00000-00&amp;context=" TargetMode="External" /><Relationship Id="rId7" Type="http://schemas.openxmlformats.org/officeDocument/2006/relationships/footer" Target="footer2.xml" /><Relationship Id="rId70" Type="http://schemas.openxmlformats.org/officeDocument/2006/relationships/header" Target="header13.xml" /><Relationship Id="rId700" Type="http://schemas.openxmlformats.org/officeDocument/2006/relationships/hyperlink" Target="https://advance.lexis.com/api/document?collection=cases-ca&amp;id=urn:contentItem:5F7T-S7K1-F1H1-220N-00000-00&amp;context=" TargetMode="External" /><Relationship Id="rId701" Type="http://schemas.openxmlformats.org/officeDocument/2006/relationships/hyperlink" Target="https://advance.lexis.com/api/document?collection=cases-ca&amp;id=urn:contentItem:5F7T-S7P1-JSJC-X1MP-00000-00&amp;context=" TargetMode="External" /><Relationship Id="rId702" Type="http://schemas.openxmlformats.org/officeDocument/2006/relationships/hyperlink" Target="https://advance.lexis.com/api/document?collection=cases-ca&amp;id=urn:contentItem:5F7T-S7K1-JKHB-62PC-00000-00&amp;context=" TargetMode="External" /><Relationship Id="rId703" Type="http://schemas.openxmlformats.org/officeDocument/2006/relationships/hyperlink" Target="https://advance.lexis.com/api/document?collection=cases-ca&amp;id=urn:contentItem:5F7T-S7K1-DY33-B1KT-00000-00&amp;context=" TargetMode="External" /><Relationship Id="rId704" Type="http://schemas.openxmlformats.org/officeDocument/2006/relationships/hyperlink" Target="https://advance.lexis.com/api/document?collection=cases-ca&amp;id=urn:contentItem:5F7T-S7B1-F7ND-G4YK-00000-00&amp;context=" TargetMode="External" /><Relationship Id="rId705" Type="http://schemas.openxmlformats.org/officeDocument/2006/relationships/hyperlink" Target="https://advance.lexis.com/api/document?collection=cases-ca&amp;id=urn:contentItem:5F7T-S7N1-JW09-M12P-00000-00&amp;context=" TargetMode="External" /><Relationship Id="rId706" Type="http://schemas.openxmlformats.org/officeDocument/2006/relationships/hyperlink" Target="https://advance.lexis.com/api/document?collection=cases-ca&amp;id=urn:contentItem:5JW3-TKC1-JGPY-X4PG-00000-00&amp;context=" TargetMode="External" /><Relationship Id="rId707" Type="http://schemas.openxmlformats.org/officeDocument/2006/relationships/hyperlink" Target="https://advance.lexis.com/api/document?collection=cases-ca&amp;id=urn:contentItem:5F7T-S7M1-JNCK-22SH-00000-00&amp;context=" TargetMode="External" /><Relationship Id="rId708" Type="http://schemas.openxmlformats.org/officeDocument/2006/relationships/hyperlink" Target="https://advance.lexis.com/api/document?collection=cases-ca&amp;id=urn:contentItem:5F7T-S7C1-F7VM-S3NW-00000-00&amp;context=" TargetMode="External" /><Relationship Id="rId709" Type="http://schemas.openxmlformats.org/officeDocument/2006/relationships/hyperlink" Target="https://advance.lexis.com/api/document?collection=cases-ca&amp;id=urn:contentItem:5F7T-S7F1-F7VM-S3VD-00000-00&amp;context=" TargetMode="External" /><Relationship Id="rId71" Type="http://schemas.openxmlformats.org/officeDocument/2006/relationships/header" Target="header14.xml" /><Relationship Id="rId710" Type="http://schemas.openxmlformats.org/officeDocument/2006/relationships/header" Target="header109.xml" /><Relationship Id="rId711" Type="http://schemas.openxmlformats.org/officeDocument/2006/relationships/header" Target="header110.xml" /><Relationship Id="rId712" Type="http://schemas.openxmlformats.org/officeDocument/2006/relationships/footer" Target="footer109.xml" /><Relationship Id="rId713" Type="http://schemas.openxmlformats.org/officeDocument/2006/relationships/footer" Target="footer110.xml" /><Relationship Id="rId714" Type="http://schemas.openxmlformats.org/officeDocument/2006/relationships/header" Target="header111.xml" /><Relationship Id="rId715" Type="http://schemas.openxmlformats.org/officeDocument/2006/relationships/footer" Target="footer111.xml" /><Relationship Id="rId716" Type="http://schemas.openxmlformats.org/officeDocument/2006/relationships/hyperlink" Target="https://advance.lexis.com/api/document?collection=cases-ca&amp;id=urn:contentItem:5GCC-XVC1-JSRM-60KX-00000-00&amp;context=" TargetMode="External" /><Relationship Id="rId717" Type="http://schemas.openxmlformats.org/officeDocument/2006/relationships/hyperlink" Target="https://advance.lexis.com/api/document?collection=cases-ca&amp;id=urn:contentItem:5F16-93D1-JCRC-B1YC-00000-00&amp;context=" TargetMode="External" /><Relationship Id="rId718" Type="http://schemas.openxmlformats.org/officeDocument/2006/relationships/hyperlink" Target="https://advance.lexis.com/api/document?collection=cases-ca&amp;id=urn:contentItem:5F7T-XPW1-JNY7-X1S2-00000-00&amp;context=" TargetMode="External" /><Relationship Id="rId719" Type="http://schemas.openxmlformats.org/officeDocument/2006/relationships/hyperlink" Target="https://advance.lexis.com/api/document?collection=cases-ca&amp;id=urn:contentItem:5GCC-XVB1-JSXV-G0F0-00000-00&amp;context=" TargetMode="External" /><Relationship Id="rId72" Type="http://schemas.openxmlformats.org/officeDocument/2006/relationships/footer" Target="footer13.xml" /><Relationship Id="rId720" Type="http://schemas.openxmlformats.org/officeDocument/2006/relationships/hyperlink" Target="https://advance.lexis.com/api/document?collection=cases-ca&amp;id=urn:contentItem:5F16-9321-JX3N-B507-00000-00&amp;context=" TargetMode="External" /><Relationship Id="rId721" Type="http://schemas.openxmlformats.org/officeDocument/2006/relationships/header" Target="header112.xml" /><Relationship Id="rId722" Type="http://schemas.openxmlformats.org/officeDocument/2006/relationships/header" Target="header113.xml" /><Relationship Id="rId723" Type="http://schemas.openxmlformats.org/officeDocument/2006/relationships/footer" Target="footer112.xml" /><Relationship Id="rId724" Type="http://schemas.openxmlformats.org/officeDocument/2006/relationships/footer" Target="footer113.xml" /><Relationship Id="rId725" Type="http://schemas.openxmlformats.org/officeDocument/2006/relationships/header" Target="header114.xml" /><Relationship Id="rId726" Type="http://schemas.openxmlformats.org/officeDocument/2006/relationships/footer" Target="footer114.xml" /><Relationship Id="rId727" Type="http://schemas.openxmlformats.org/officeDocument/2006/relationships/hyperlink" Target="https://advance.lexis.com/api/document?collection=cases-ca&amp;id=urn:contentItem:5X8P-1591-JT99-231N-00000-00&amp;context=" TargetMode="External" /><Relationship Id="rId728" Type="http://schemas.openxmlformats.org/officeDocument/2006/relationships/hyperlink" Target="https://advance.lexis.com/api/document?collection=cases-ca&amp;id=urn:contentItem:5F7T-S7M1-JJK6-S222-00000-00&amp;context=" TargetMode="External" /><Relationship Id="rId729" Type="http://schemas.openxmlformats.org/officeDocument/2006/relationships/hyperlink" Target="https://advance.lexis.com/api/document?collection=cases-ca&amp;id=urn:contentItem:5F8T-N3T1-JGHR-M278-00000-00&amp;context=" TargetMode="External" /><Relationship Id="rId73" Type="http://schemas.openxmlformats.org/officeDocument/2006/relationships/footer" Target="footer14.xml" /><Relationship Id="rId730" Type="http://schemas.openxmlformats.org/officeDocument/2006/relationships/hyperlink" Target="https://advance.lexis.com/api/document?collection=cases-ca&amp;id=urn:contentItem:5K86-HW41-JC0G-642R-00000-00&amp;context=" TargetMode="External" /><Relationship Id="rId731" Type="http://schemas.openxmlformats.org/officeDocument/2006/relationships/hyperlink" Target="https://advance.lexis.com/api/document?collection=cases-ca&amp;id=urn:contentItem:5F81-YH41-JX8W-M05Y-00000-00&amp;context=" TargetMode="External" /><Relationship Id="rId732" Type="http://schemas.openxmlformats.org/officeDocument/2006/relationships/hyperlink" Target="https://advance.lexis.com/api/document?collection=legislation-ca&amp;id=urn:contentItem:5F41-1FJ1-JBDT-B066-00000-00&amp;context=" TargetMode="External" /><Relationship Id="rId733" Type="http://schemas.openxmlformats.org/officeDocument/2006/relationships/hyperlink" Target="https://advance.lexis.com/api/document?collection=cases-ca&amp;id=urn:contentItem:5F7T-S751-JBM1-M2CY-00000-00&amp;context=" TargetMode="External" /><Relationship Id="rId734" Type="http://schemas.openxmlformats.org/officeDocument/2006/relationships/hyperlink" Target="https://advance.lexis.com/api/document?collection=cases-ca&amp;id=urn:contentItem:5F7T-S7F1-FBN1-21XT-00000-00&amp;context=" TargetMode="External" /><Relationship Id="rId735" Type="http://schemas.openxmlformats.org/officeDocument/2006/relationships/hyperlink" Target="https://advance.lexis.com/api/document?collection=cases-ca&amp;id=urn:contentItem:5F7T-S7H1-FCSB-S3RY-00000-00&amp;context=" TargetMode="External" /><Relationship Id="rId736" Type="http://schemas.openxmlformats.org/officeDocument/2006/relationships/header" Target="header115.xml" /><Relationship Id="rId737" Type="http://schemas.openxmlformats.org/officeDocument/2006/relationships/header" Target="header116.xml" /><Relationship Id="rId738" Type="http://schemas.openxmlformats.org/officeDocument/2006/relationships/footer" Target="footer115.xml" /><Relationship Id="rId739" Type="http://schemas.openxmlformats.org/officeDocument/2006/relationships/footer" Target="footer116.xml" /><Relationship Id="rId74" Type="http://schemas.openxmlformats.org/officeDocument/2006/relationships/header" Target="header15.xml" /><Relationship Id="rId740" Type="http://schemas.openxmlformats.org/officeDocument/2006/relationships/header" Target="header117.xml" /><Relationship Id="rId741" Type="http://schemas.openxmlformats.org/officeDocument/2006/relationships/footer" Target="footer117.xml" /><Relationship Id="rId742" Type="http://schemas.openxmlformats.org/officeDocument/2006/relationships/hyperlink" Target="https://advance.lexis.com/api/document?collection=cases-ca&amp;id=urn:contentItem:5YJX-VVH1-DY33-B07R-00000-00&amp;context=" TargetMode="External" /><Relationship Id="rId743" Type="http://schemas.openxmlformats.org/officeDocument/2006/relationships/hyperlink" Target="https://advance.lexis.com/api/document?collection=cases-ca&amp;id=urn:contentItem:5VKJ-FFG1-JSXV-G501-00000-00&amp;context=" TargetMode="External" /><Relationship Id="rId744" Type="http://schemas.openxmlformats.org/officeDocument/2006/relationships/hyperlink" Target="https://advance.lexis.com/api/document?collection=cases-ca&amp;id=urn:contentItem:5VNP-4J31-F956-S1JX-00000-00&amp;context=" TargetMode="External" /><Relationship Id="rId745" Type="http://schemas.openxmlformats.org/officeDocument/2006/relationships/hyperlink" Target="https://advance.lexis.com/api/document?collection=cases-ca&amp;id=urn:contentItem:5TJB-96F1-F4NT-X005-00000-00&amp;context=" TargetMode="External" /><Relationship Id="rId746" Type="http://schemas.openxmlformats.org/officeDocument/2006/relationships/hyperlink" Target="https://advance.lexis.com/api/document?collection=cases-ca&amp;id=urn:contentItem:5F7T-S7K1-F528-G2R4-00000-00&amp;context=" TargetMode="External" /><Relationship Id="rId747" Type="http://schemas.openxmlformats.org/officeDocument/2006/relationships/hyperlink" Target="https://advance.lexis.com/api/document?collection=cases-ca&amp;id=urn:contentItem:5S1P-9H61-FGJR-24TS-00000-00&amp;context=" TargetMode="External" /><Relationship Id="rId748" Type="http://schemas.openxmlformats.org/officeDocument/2006/relationships/hyperlink" Target="https://advance.lexis.com/api/document?collection=cases-ca&amp;id=urn:contentItem:5N35-9B81-F57G-S29K-00000-00&amp;context=" TargetMode="External" /><Relationship Id="rId749" Type="http://schemas.openxmlformats.org/officeDocument/2006/relationships/hyperlink" Target="https://advance.lexis.com/api/document?collection=cases-ca&amp;id=urn:contentItem:5F7T-S7M1-DYMS-6287-00000-00&amp;context=" TargetMode="External" /><Relationship Id="rId75" Type="http://schemas.openxmlformats.org/officeDocument/2006/relationships/footer" Target="footer15.xml" /><Relationship Id="rId750" Type="http://schemas.openxmlformats.org/officeDocument/2006/relationships/hyperlink" Target="https://advance.lexis.com/api/document?collection=cases-ca&amp;id=urn:contentItem:5F7T-S7F1-FJTD-G3KM-00000-00&amp;context=" TargetMode="External" /><Relationship Id="rId751" Type="http://schemas.openxmlformats.org/officeDocument/2006/relationships/hyperlink" Target="https://advance.lexis.com/api/document?collection=cases-ca&amp;id=urn:contentItem:5GCC-XVC1-F900-G4KW-00000-00&amp;context=" TargetMode="External" /><Relationship Id="rId752" Type="http://schemas.openxmlformats.org/officeDocument/2006/relationships/hyperlink" Target="https://advance.lexis.com/api/document?collection=cases-ca&amp;id=urn:contentItem:5F7T-S7F1-JBT7-X353-00000-00&amp;context=" TargetMode="External" /><Relationship Id="rId753" Type="http://schemas.openxmlformats.org/officeDocument/2006/relationships/hyperlink" Target="https://advance.lexis.com/api/document?collection=cases-ca&amp;id=urn:contentItem:5F7T-S7P1-JNJT-B2PW-00000-00&amp;context=" TargetMode="External" /><Relationship Id="rId754" Type="http://schemas.openxmlformats.org/officeDocument/2006/relationships/hyperlink" Target="https://advance.lexis.com/api/document?collection=cases-ca&amp;id=urn:contentItem:5GNP-DGD1-JJYN-B1W0-00000-00&amp;context=" TargetMode="External" /><Relationship Id="rId755" Type="http://schemas.openxmlformats.org/officeDocument/2006/relationships/hyperlink" Target="https://advance.lexis.com/api/document?collection=cases-ca&amp;id=urn:contentItem:5TD3-N221-JC0G-637M-00000-00&amp;context=" TargetMode="External" /><Relationship Id="rId756" Type="http://schemas.openxmlformats.org/officeDocument/2006/relationships/hyperlink" Target="https://advance.lexis.com/api/document?collection=cases-ca&amp;id=urn:contentItem:5F7T-S731-F60C-X11W-00000-00&amp;context=" TargetMode="External" /><Relationship Id="rId757" Type="http://schemas.openxmlformats.org/officeDocument/2006/relationships/hyperlink" Target="https://advance.lexis.com/api/document?collection=cases-ca&amp;id=urn:contentItem:5KS2-M7W1-JNY7-X3HR-00000-00&amp;context=" TargetMode="External" /><Relationship Id="rId758" Type="http://schemas.openxmlformats.org/officeDocument/2006/relationships/hyperlink" Target="https://advance.lexis.com/api/document?collection=cases-ca&amp;id=urn:contentItem:5F7T-S771-JSJC-X05N-00000-00&amp;context=" TargetMode="External" /><Relationship Id="rId759" Type="http://schemas.openxmlformats.org/officeDocument/2006/relationships/hyperlink" Target="https://advance.lexis.com/api/document?collection=cases-ca&amp;id=urn:contentItem:5VK4-J891-FGJR-2411-00000-00&amp;context=" TargetMode="External" /><Relationship Id="rId76" Type="http://schemas.openxmlformats.org/officeDocument/2006/relationships/hyperlink" Target="https://advance.lexis.com/api/document?collection=cases-ca&amp;id=urn:contentItem:5YB9-XST1-JWR6-S003-00000-00&amp;context=" TargetMode="External" /><Relationship Id="rId760" Type="http://schemas.openxmlformats.org/officeDocument/2006/relationships/hyperlink" Target="https://advance.lexis.com/api/document?collection=cases-ca&amp;id=urn:contentItem:5TG0-RY01-F81W-22R8-00000-00&amp;context=" TargetMode="External" /><Relationship Id="rId761" Type="http://schemas.openxmlformats.org/officeDocument/2006/relationships/hyperlink" Target="https://advance.lexis.com/api/document?collection=cases-ca&amp;id=urn:contentItem:5F7T-S7H1-F016-S45D-00000-00&amp;context=" TargetMode="External" /><Relationship Id="rId762" Type="http://schemas.openxmlformats.org/officeDocument/2006/relationships/hyperlink" Target="https://advance.lexis.com/api/document?collection=cases-ca&amp;id=urn:contentItem:5F8T-N3T1-JJSF-23P9-00000-00&amp;context=" TargetMode="External" /><Relationship Id="rId763" Type="http://schemas.openxmlformats.org/officeDocument/2006/relationships/hyperlink" Target="https://advance.lexis.com/api/document?collection=cases-ca&amp;id=urn:contentItem:5F2P-NNM1-JCRC-B52T-00000-00&amp;context=" TargetMode="External" /><Relationship Id="rId764" Type="http://schemas.openxmlformats.org/officeDocument/2006/relationships/hyperlink" Target="https://advance.lexis.com/api/document?collection=cases-ca&amp;id=urn:contentItem:5F8T-N3V1-JFKM-607N-00000-00&amp;context=" TargetMode="External" /><Relationship Id="rId765" Type="http://schemas.openxmlformats.org/officeDocument/2006/relationships/hyperlink" Target="https://advance.lexis.com/api/document?collection=cases-ca&amp;id=urn:contentItem:5F8T-N3V1-JF75-M3K1-00000-00&amp;context=" TargetMode="External" /><Relationship Id="rId766" Type="http://schemas.openxmlformats.org/officeDocument/2006/relationships/hyperlink" Target="https://advance.lexis.com/api/document?collection=cases-ca&amp;id=urn:contentItem:5F7T-S7J1-JGBH-B24T-00000-00&amp;context=" TargetMode="External" /><Relationship Id="rId767" Type="http://schemas.openxmlformats.org/officeDocument/2006/relationships/hyperlink" Target="https://advance.lexis.com/api/document?collection=cases-ca&amp;id=urn:contentItem:5F8T-N3V1-FC1F-M4BS-00000-00&amp;context=" TargetMode="External" /><Relationship Id="rId768" Type="http://schemas.openxmlformats.org/officeDocument/2006/relationships/hyperlink" Target="https://advance.lexis.com/api/document?collection=cases-ca&amp;id=urn:contentItem:5F7T-S7K1-JSJC-X15T-00000-00&amp;context=" TargetMode="External" /><Relationship Id="rId769" Type="http://schemas.openxmlformats.org/officeDocument/2006/relationships/hyperlink" Target="https://advance.lexis.com/api/document?collection=cases-ca&amp;id=urn:contentItem:5F7T-S731-JC0G-63HG-00000-00&amp;context=" TargetMode="External" /><Relationship Id="rId77" Type="http://schemas.openxmlformats.org/officeDocument/2006/relationships/hyperlink" Target="https://advance.lexis.com/api/document?collection=cases-ca&amp;id=urn:contentItem:5F8T-N3V1-FH4C-X1XK-00000-00&amp;context=" TargetMode="External" /><Relationship Id="rId770" Type="http://schemas.openxmlformats.org/officeDocument/2006/relationships/header" Target="header118.xml" /><Relationship Id="rId771" Type="http://schemas.openxmlformats.org/officeDocument/2006/relationships/header" Target="header119.xml" /><Relationship Id="rId772" Type="http://schemas.openxmlformats.org/officeDocument/2006/relationships/footer" Target="footer118.xml" /><Relationship Id="rId773" Type="http://schemas.openxmlformats.org/officeDocument/2006/relationships/footer" Target="footer119.xml" /><Relationship Id="rId774" Type="http://schemas.openxmlformats.org/officeDocument/2006/relationships/header" Target="header120.xml" /><Relationship Id="rId775" Type="http://schemas.openxmlformats.org/officeDocument/2006/relationships/footer" Target="footer120.xml" /><Relationship Id="rId776" Type="http://schemas.openxmlformats.org/officeDocument/2006/relationships/hyperlink" Target="https://advance.lexis.com/api/document?collection=cases-ca&amp;id=urn:contentItem:5F7T-S7F1-DXWW-23KF-00000-00&amp;context=" TargetMode="External" /><Relationship Id="rId777" Type="http://schemas.openxmlformats.org/officeDocument/2006/relationships/hyperlink" Target="https://advance.lexis.com/api/document?collection=legislation-ca&amp;id=urn:contentItem:5VYK-W9X1-JN6B-S1KB-00000-00&amp;context=" TargetMode="External" /><Relationship Id="rId778" Type="http://schemas.openxmlformats.org/officeDocument/2006/relationships/hyperlink" Target="https://advance.lexis.com/api/document?collection=cases-ca&amp;id=urn:contentItem:5F7T-S701-JF75-M4J3-00000-00&amp;context=" TargetMode="External" /><Relationship Id="rId779" Type="http://schemas.openxmlformats.org/officeDocument/2006/relationships/hyperlink" Target="https://advance.lexis.com/api/document?collection=cases-ca&amp;id=urn:contentItem:5F7T-S7C1-JCJ5-20V4-00000-00&amp;context=" TargetMode="External" /><Relationship Id="rId78" Type="http://schemas.openxmlformats.org/officeDocument/2006/relationships/hyperlink" Target="https://advance.lexis.com/api/document?collection=cases-ca&amp;id=urn:contentItem:5F7T-S7P1-JCRC-B1YK-00000-00&amp;context=" TargetMode="External" /><Relationship Id="rId780" Type="http://schemas.openxmlformats.org/officeDocument/2006/relationships/hyperlink" Target="https://advance.lexis.com/api/document?collection=cases-ca&amp;id=urn:contentItem:5F7T-S711-JG02-S1WM-00000-00&amp;context=" TargetMode="External" /><Relationship Id="rId781" Type="http://schemas.openxmlformats.org/officeDocument/2006/relationships/hyperlink" Target="https://advance.lexis.com/api/document?collection=cases-ca&amp;id=urn:contentItem:5F7T-S721-F06F-23FX-00000-00&amp;context=" TargetMode="External" /><Relationship Id="rId782" Type="http://schemas.openxmlformats.org/officeDocument/2006/relationships/hyperlink" Target="https://advance.lexis.com/api/document?collection=cases-ca&amp;id=urn:contentItem:5F7T-S721-F06F-236X-00000-00&amp;context=" TargetMode="External" /><Relationship Id="rId783" Type="http://schemas.openxmlformats.org/officeDocument/2006/relationships/hyperlink" Target="https://advance.lexis.com/api/document?collection=cases-ca&amp;id=urn:contentItem:5F7T-S751-FJDY-X43D-00000-00&amp;context=" TargetMode="External" /><Relationship Id="rId784" Type="http://schemas.openxmlformats.org/officeDocument/2006/relationships/hyperlink" Target="https://advance.lexis.com/api/document?collection=cases-ca&amp;id=urn:contentItem:5F8T-N3T1-JFKM-651D-00000-00&amp;context=" TargetMode="External" /><Relationship Id="rId785" Type="http://schemas.openxmlformats.org/officeDocument/2006/relationships/hyperlink" Target="https://advance.lexis.com/api/document?collection=cases-ca&amp;id=urn:contentItem:5F7T-S6X1-FBN1-20T9-00000-00&amp;context=" TargetMode="External" /><Relationship Id="rId786" Type="http://schemas.openxmlformats.org/officeDocument/2006/relationships/hyperlink" Target="https://advance.lexis.com/api/document?collection=cases-ca&amp;id=urn:contentItem:5F7T-S6T1-JTNR-M2MX-00000-00&amp;context=" TargetMode="External" /><Relationship Id="rId787" Type="http://schemas.openxmlformats.org/officeDocument/2006/relationships/hyperlink" Target="https://advance.lexis.com/api/document?collection=cases-ca&amp;id=urn:contentItem:5F7T-S6W1-F7ND-G2TC-00000-00&amp;context=" TargetMode="External" /><Relationship Id="rId788" Type="http://schemas.openxmlformats.org/officeDocument/2006/relationships/hyperlink" Target="https://advance.lexis.com/api/document?collection=cases-ca&amp;id=urn:contentItem:5F7T-S761-FFMK-M15W-00000-00&amp;context=" TargetMode="External" /><Relationship Id="rId789" Type="http://schemas.openxmlformats.org/officeDocument/2006/relationships/hyperlink" Target="https://advance.lexis.com/api/document?collection=cases-ca&amp;id=urn:contentItem:5F81-VJX1-F5T5-M4GB-00000-00&amp;context=" TargetMode="External" /><Relationship Id="rId79" Type="http://schemas.openxmlformats.org/officeDocument/2006/relationships/hyperlink" Target="https://advance.lexis.com/api/document?collection=cases-ca&amp;id=urn:contentItem:5F7T-S7P1-JCRC-B2CR-00000-00&amp;context=" TargetMode="External" /><Relationship Id="rId790" Type="http://schemas.openxmlformats.org/officeDocument/2006/relationships/hyperlink" Target="https://advance.lexis.com/api/document?collection=cases-ca&amp;id=urn:contentItem:5F8P-SCR1-F4W2-62GD-00000-00&amp;context=" TargetMode="External" /><Relationship Id="rId791" Type="http://schemas.openxmlformats.org/officeDocument/2006/relationships/hyperlink" Target="https://advance.lexis.com/api/document?collection=cases-ca&amp;id=urn:contentItem:5F8T-N3V1-FC1F-M4DF-00000-00&amp;context=" TargetMode="External" /><Relationship Id="rId792" Type="http://schemas.openxmlformats.org/officeDocument/2006/relationships/hyperlink" Target="https://advance.lexis.com/api/document?collection=cases-ca&amp;id=urn:contentItem:5F8T-N3V1-JTGH-B0YN-00000-00&amp;context=" TargetMode="External" /><Relationship Id="rId793" Type="http://schemas.openxmlformats.org/officeDocument/2006/relationships/header" Target="header121.xml" /><Relationship Id="rId794" Type="http://schemas.openxmlformats.org/officeDocument/2006/relationships/header" Target="header122.xml" /><Relationship Id="rId795" Type="http://schemas.openxmlformats.org/officeDocument/2006/relationships/footer" Target="footer121.xml" /><Relationship Id="rId796" Type="http://schemas.openxmlformats.org/officeDocument/2006/relationships/footer" Target="footer122.xml" /><Relationship Id="rId797" Type="http://schemas.openxmlformats.org/officeDocument/2006/relationships/header" Target="header123.xml" /><Relationship Id="rId798" Type="http://schemas.openxmlformats.org/officeDocument/2006/relationships/footer" Target="footer123.xml" /><Relationship Id="rId799" Type="http://schemas.openxmlformats.org/officeDocument/2006/relationships/hyperlink" Target="https://advance.lexis.com/api/document?collection=cases-ca&amp;id=urn:contentItem:5F7T-S7N1-JW09-M131-00000-00&amp;context=" TargetMode="External" /><Relationship Id="rId8" Type="http://schemas.openxmlformats.org/officeDocument/2006/relationships/header" Target="header3.xml" /><Relationship Id="rId80" Type="http://schemas.openxmlformats.org/officeDocument/2006/relationships/hyperlink" Target="https://advance.lexis.com/api/document?collection=cases-ca&amp;id=urn:contentItem:5F16-9371-DXHD-G53T-00000-00&amp;context=" TargetMode="External" /><Relationship Id="rId800" Type="http://schemas.openxmlformats.org/officeDocument/2006/relationships/hyperlink" Target="https://advance.lexis.com/api/document?collection=cases-ca&amp;id=urn:contentItem:5F7T-S7G1-JPP5-21YJ-00000-00&amp;context=" TargetMode="External" /><Relationship Id="rId801" Type="http://schemas.openxmlformats.org/officeDocument/2006/relationships/hyperlink" Target="https://advance.lexis.com/api/document?collection=cases-ca&amp;id=urn:contentItem:5F7T-S6V1-F2TK-21YN-00000-00&amp;context=" TargetMode="External" /><Relationship Id="rId802" Type="http://schemas.openxmlformats.org/officeDocument/2006/relationships/hyperlink" Target="https://advance.lexis.com/api/document?collection=cases-ca&amp;id=urn:contentItem:5F7T-S7J1-DXWW-24YP-00000-00&amp;context=" TargetMode="External" /><Relationship Id="rId803" Type="http://schemas.openxmlformats.org/officeDocument/2006/relationships/hyperlink" Target="https://advance.lexis.com/api/document?collection=cases-ca&amp;id=urn:contentItem:5F7T-S7H1-JCRC-B158-00000-00&amp;context=" TargetMode="External" /><Relationship Id="rId804" Type="http://schemas.openxmlformats.org/officeDocument/2006/relationships/hyperlink" Target="https://advance.lexis.com/api/document?collection=cases-ca&amp;id=urn:contentItem:5F7T-S7J1-FGCG-S0H8-00000-00&amp;context=" TargetMode="External" /><Relationship Id="rId805" Type="http://schemas.openxmlformats.org/officeDocument/2006/relationships/hyperlink" Target="https://advance.lexis.com/api/document?collection=cases-ca&amp;id=urn:contentItem:5F7T-S7H1-FCSB-S3B1-00000-00&amp;context=" TargetMode="External" /><Relationship Id="rId806" Type="http://schemas.openxmlformats.org/officeDocument/2006/relationships/hyperlink" Target="https://advance.lexis.com/api/document?collection=cases-ca&amp;id=urn:contentItem:5F7T-S7J1-DXWW-24RH-00000-00&amp;context=" TargetMode="External" /><Relationship Id="rId807" Type="http://schemas.openxmlformats.org/officeDocument/2006/relationships/hyperlink" Target="https://advance.lexis.com/api/document?collection=cases-ca&amp;id=urn:contentItem:5F7T-S7H1-F016-S3RB-00000-00&amp;context=" TargetMode="External" /><Relationship Id="rId808" Type="http://schemas.openxmlformats.org/officeDocument/2006/relationships/hyperlink" Target="https://advance.lexis.com/api/document?collection=cases-ca&amp;id=urn:contentItem:5F7T-S7G1-FCYK-207V-00000-00&amp;context=" TargetMode="External" /><Relationship Id="rId809" Type="http://schemas.openxmlformats.org/officeDocument/2006/relationships/hyperlink" Target="https://advance.lexis.com/api/document?collection=cases-ca&amp;id=urn:contentItem:5F81-YGM1-JG02-S0MR-00000-00&amp;context=" TargetMode="External" /><Relationship Id="rId81" Type="http://schemas.openxmlformats.org/officeDocument/2006/relationships/hyperlink" Target="https://advance.lexis.com/api/document?collection=legislation-ca&amp;id=urn:contentItem:5F41-1FG1-FC1F-M0N7-00000-00&amp;context=" TargetMode="External" /><Relationship Id="rId810" Type="http://schemas.openxmlformats.org/officeDocument/2006/relationships/hyperlink" Target="https://advance.lexis.com/api/document?collection=cases-ca&amp;id=urn:contentItem:5F7T-S7M1-JJK6-S25C-00000-00&amp;context=" TargetMode="External" /><Relationship Id="rId811" Type="http://schemas.openxmlformats.org/officeDocument/2006/relationships/hyperlink" Target="https://advance.lexis.com/api/document?collection=cases-ca&amp;id=urn:contentItem:5F7T-S7N1-F57G-S294-00000-00&amp;context=" TargetMode="External" /><Relationship Id="rId812" Type="http://schemas.openxmlformats.org/officeDocument/2006/relationships/hyperlink" Target="https://advance.lexis.com/api/document?collection=cases-ca&amp;id=urn:contentItem:5F7T-S7J1-JYYX-6227-00000-00&amp;context=" TargetMode="External" /><Relationship Id="rId813" Type="http://schemas.openxmlformats.org/officeDocument/2006/relationships/hyperlink" Target="https://advance.lexis.com/api/document?collection=cases-ca&amp;id=urn:contentItem:5F7T-S7J1-DXWW-251K-00000-00&amp;context=" TargetMode="External" /><Relationship Id="rId814" Type="http://schemas.openxmlformats.org/officeDocument/2006/relationships/hyperlink" Target="https://advance.lexis.com/api/document?collection=cases-ca&amp;id=urn:contentItem:5F7T-S7N1-F06F-24FJ-00000-00&amp;context=" TargetMode="External" /><Relationship Id="rId815" Type="http://schemas.openxmlformats.org/officeDocument/2006/relationships/hyperlink" Target="https://advance.lexis.com/api/document?collection=cases-ca&amp;id=urn:contentItem:5F7T-S7M1-F4W2-629B-00000-00&amp;context=" TargetMode="External" /><Relationship Id="rId816" Type="http://schemas.openxmlformats.org/officeDocument/2006/relationships/hyperlink" Target="https://advance.lexis.com/api/document?collection=cases-ca&amp;id=urn:contentItem:5F8T-N3V1-FH4C-X219-00000-00&amp;context=" TargetMode="External" /><Relationship Id="rId817" Type="http://schemas.openxmlformats.org/officeDocument/2006/relationships/hyperlink" Target="https://advance.lexis.com/api/document?collection=cases-ca&amp;id=urn:contentItem:5F8T-N3S1-JT99-24MJ-00000-00&amp;context=" TargetMode="External" /><Relationship Id="rId818" Type="http://schemas.openxmlformats.org/officeDocument/2006/relationships/header" Target="header124.xml" /><Relationship Id="rId819" Type="http://schemas.openxmlformats.org/officeDocument/2006/relationships/header" Target="header125.xml" /><Relationship Id="rId82" Type="http://schemas.openxmlformats.org/officeDocument/2006/relationships/hyperlink" Target="https://advance.lexis.com/api/document?collection=cases-ca&amp;id=urn:contentItem:5G53-RJN1-FBFS-S4V5-00000-00&amp;context=" TargetMode="External" /><Relationship Id="rId820" Type="http://schemas.openxmlformats.org/officeDocument/2006/relationships/footer" Target="footer124.xml" /><Relationship Id="rId821" Type="http://schemas.openxmlformats.org/officeDocument/2006/relationships/footer" Target="footer125.xml" /><Relationship Id="rId822" Type="http://schemas.openxmlformats.org/officeDocument/2006/relationships/header" Target="header126.xml" /><Relationship Id="rId823" Type="http://schemas.openxmlformats.org/officeDocument/2006/relationships/footer" Target="footer126.xml" /><Relationship Id="rId824" Type="http://schemas.openxmlformats.org/officeDocument/2006/relationships/hyperlink" Target="https://advance.lexis.com/api/document?collection=cases-ca&amp;id=urn:contentItem:5GKS-NM31-FGY5-M29P-00000-00&amp;context=" TargetMode="External" /><Relationship Id="rId825" Type="http://schemas.openxmlformats.org/officeDocument/2006/relationships/hyperlink" Target="https://advance.lexis.com/api/document?collection=cases-ca&amp;id=urn:contentItem:5F8T-N3S1-JBDT-B02N-00000-00&amp;context=" TargetMode="External" /><Relationship Id="rId826" Type="http://schemas.openxmlformats.org/officeDocument/2006/relationships/hyperlink" Target="https://advance.lexis.com/api/document?collection=cases-ca&amp;id=urn:contentItem:5F7T-S701-F8KH-X16W-00000-00&amp;context=" TargetMode="External" /><Relationship Id="rId827" Type="http://schemas.openxmlformats.org/officeDocument/2006/relationships/header" Target="header127.xml" /><Relationship Id="rId828" Type="http://schemas.openxmlformats.org/officeDocument/2006/relationships/header" Target="header128.xml" /><Relationship Id="rId829" Type="http://schemas.openxmlformats.org/officeDocument/2006/relationships/footer" Target="footer127.xml" /><Relationship Id="rId83" Type="http://schemas.openxmlformats.org/officeDocument/2006/relationships/hyperlink" Target="https://advance.lexis.com/api/document?collection=cases-ca&amp;id=urn:contentItem:5F7T-S771-JJD0-G1JV-00000-00&amp;context=" TargetMode="External" /><Relationship Id="rId830" Type="http://schemas.openxmlformats.org/officeDocument/2006/relationships/footer" Target="footer128.xml" /><Relationship Id="rId831" Type="http://schemas.openxmlformats.org/officeDocument/2006/relationships/header" Target="header129.xml" /><Relationship Id="rId832" Type="http://schemas.openxmlformats.org/officeDocument/2006/relationships/footer" Target="footer129.xml" /><Relationship Id="rId833" Type="http://schemas.openxmlformats.org/officeDocument/2006/relationships/hyperlink" Target="https://advance.lexis.com/api/document?collection=cases-ca&amp;id=urn:contentItem:5JPD-N8Y1-DY33-B4FW-00000-00&amp;context=" TargetMode="External" /><Relationship Id="rId834" Type="http://schemas.openxmlformats.org/officeDocument/2006/relationships/hyperlink" Target="https://advance.lexis.com/api/document?collection=cases-ca&amp;id=urn:contentItem:5HFW-HWN1-JT99-21XF-00000-00&amp;context=" TargetMode="External" /><Relationship Id="rId835" Type="http://schemas.openxmlformats.org/officeDocument/2006/relationships/hyperlink" Target="https://advance.lexis.com/api/document?collection=cases-ca&amp;id=urn:contentItem:5F7T-S6Y1-FJDY-X23K-00000-00&amp;context=" TargetMode="External" /><Relationship Id="rId836" Type="http://schemas.openxmlformats.org/officeDocument/2006/relationships/hyperlink" Target="https://advance.lexis.com/api/document?collection=cases-ca&amp;id=urn:contentItem:5F7T-S6Y1-JNY7-X2P3-00000-00&amp;context=" TargetMode="External" /><Relationship Id="rId837" Type="http://schemas.openxmlformats.org/officeDocument/2006/relationships/hyperlink" Target="https://advance.lexis.com/api/document?collection=cases-ca&amp;id=urn:contentItem:5F7T-S7K1-JSJC-X0S8-00000-00&amp;context=" TargetMode="External" /><Relationship Id="rId838" Type="http://schemas.openxmlformats.org/officeDocument/2006/relationships/hyperlink" Target="https://advance.lexis.com/api/document?collection=cases-ca&amp;id=urn:contentItem:5F7T-S761-JS5Y-B1PG-00000-00&amp;context=" TargetMode="External" /><Relationship Id="rId839" Type="http://schemas.openxmlformats.org/officeDocument/2006/relationships/hyperlink" Target="https://advance.lexis.com/api/document?collection=cases-ca&amp;id=urn:contentItem:5F7T-S751-JGHR-M1XM-00000-00&amp;context=" TargetMode="External" /><Relationship Id="rId84" Type="http://schemas.openxmlformats.org/officeDocument/2006/relationships/hyperlink" Target="https://advance.lexis.com/api/document?collection=cases-ca&amp;id=urn:contentItem:5WPG-1H51-JSJC-X3KP-00000-00&amp;context=" TargetMode="External" /><Relationship Id="rId840" Type="http://schemas.openxmlformats.org/officeDocument/2006/relationships/hyperlink" Target="https://advance.lexis.com/api/document?collection=cases-ca&amp;id=urn:contentItem:5F7T-S7D1-FFFC-B1DT-00000-00&amp;context=" TargetMode="External" /><Relationship Id="rId841" Type="http://schemas.openxmlformats.org/officeDocument/2006/relationships/hyperlink" Target="https://advance.lexis.com/api/document?collection=cases-ca&amp;id=urn:contentItem:5F7T-S7C1-F7ND-G03D-00000-00&amp;context=" TargetMode="External" /><Relationship Id="rId842" Type="http://schemas.openxmlformats.org/officeDocument/2006/relationships/hyperlink" Target="https://advance.lexis.com/api/document?collection=cases-ca&amp;id=urn:contentItem:5F8P-SF01-JTGH-B3R6-00000-00&amp;context=" TargetMode="External" /><Relationship Id="rId843" Type="http://schemas.openxmlformats.org/officeDocument/2006/relationships/hyperlink" Target="https://advance.lexis.com/api/document?collection=cases-ca&amp;id=urn:contentItem:5F8P-SDK1-F5DR-20N3-00000-00&amp;context=" TargetMode="External" /><Relationship Id="rId844" Type="http://schemas.openxmlformats.org/officeDocument/2006/relationships/hyperlink" Target="https://advance.lexis.com/api/document?collection=cases-ca&amp;id=urn:contentItem:5F8P-SDM1-JJSF-21DF-00000-00&amp;context=" TargetMode="External" /><Relationship Id="rId845" Type="http://schemas.openxmlformats.org/officeDocument/2006/relationships/hyperlink" Target="https://advance.lexis.com/api/document?collection=cases-ca&amp;id=urn:contentItem:5F8T-N3S1-JBDT-B035-00000-00&amp;context=" TargetMode="External" /><Relationship Id="rId846" Type="http://schemas.openxmlformats.org/officeDocument/2006/relationships/hyperlink" Target="https://advance.lexis.com/api/document?collection=cases-ca&amp;id=urn:contentItem:5F7T-S7K1-JWXF-210S-00000-00&amp;context=" TargetMode="External" /><Relationship Id="rId847" Type="http://schemas.openxmlformats.org/officeDocument/2006/relationships/hyperlink" Target="https://advance.lexis.com/api/document?collection=cases-ca&amp;id=urn:contentItem:5F8T-N3V1-JF75-M3FN-00000-00&amp;context=" TargetMode="External" /><Relationship Id="rId848" Type="http://schemas.openxmlformats.org/officeDocument/2006/relationships/hyperlink" Target="https://advance.lexis.com/api/document?collection=cases-ca&amp;id=urn:contentItem:5F81-VJX1-F5T5-M4HH-00000-00&amp;context=" TargetMode="External" /><Relationship Id="rId849" Type="http://schemas.openxmlformats.org/officeDocument/2006/relationships/hyperlink" Target="https://advance.lexis.com/api/document?collection=cases-ca&amp;id=urn:contentItem:5F16-9361-F27X-613B-00000-00&amp;context=" TargetMode="External" /><Relationship Id="rId85" Type="http://schemas.openxmlformats.org/officeDocument/2006/relationships/hyperlink" Target="https://advance.lexis.com/api/document?collection=cases-ca&amp;id=urn:contentItem:5SHB-BV91-JJD0-G3P0-00000-00&amp;context=" TargetMode="External" /><Relationship Id="rId850" Type="http://schemas.openxmlformats.org/officeDocument/2006/relationships/hyperlink" Target="https://advance.lexis.com/api/document?collection=cases-ca&amp;id=urn:contentItem:5F81-VJX1-FGY5-M3MR-00000-00&amp;context=" TargetMode="External" /><Relationship Id="rId851" Type="http://schemas.openxmlformats.org/officeDocument/2006/relationships/hyperlink" Target="https://advance.lexis.com/api/document?collection=cases-ca&amp;id=urn:contentItem:5F7T-S7D1-JN6B-S0XF-00000-00&amp;context=" TargetMode="External" /><Relationship Id="rId852" Type="http://schemas.openxmlformats.org/officeDocument/2006/relationships/hyperlink" Target="https://advance.lexis.com/api/document?collection=cases-ca&amp;id=urn:contentItem:5F8T-N3V1-FH4C-X252-00000-00&amp;context=" TargetMode="External" /><Relationship Id="rId853" Type="http://schemas.openxmlformats.org/officeDocument/2006/relationships/hyperlink" Target="https://advance.lexis.com/api/document?collection=cases-ca&amp;id=urn:contentItem:5F7T-S7B1-JCJ5-2033-00000-00&amp;context=" TargetMode="External" /><Relationship Id="rId854" Type="http://schemas.openxmlformats.org/officeDocument/2006/relationships/hyperlink" Target="https://advance.lexis.com/api/document?collection=cases-ca&amp;id=urn:contentItem:5F81-VJY1-JPGX-S4PK-00000-00&amp;context=" TargetMode="External" /><Relationship Id="rId855" Type="http://schemas.openxmlformats.org/officeDocument/2006/relationships/hyperlink" Target="https://advance.lexis.com/api/document?collection=cases-ca&amp;id=urn:contentItem:5F7T-S7D1-FC6N-X0KX-00000-00&amp;context=" TargetMode="External" /><Relationship Id="rId856" Type="http://schemas.openxmlformats.org/officeDocument/2006/relationships/header" Target="header130.xml" /><Relationship Id="rId857" Type="http://schemas.openxmlformats.org/officeDocument/2006/relationships/header" Target="header131.xml" /><Relationship Id="rId858" Type="http://schemas.openxmlformats.org/officeDocument/2006/relationships/footer" Target="footer130.xml" /><Relationship Id="rId859" Type="http://schemas.openxmlformats.org/officeDocument/2006/relationships/footer" Target="footer131.xml" /><Relationship Id="rId86" Type="http://schemas.openxmlformats.org/officeDocument/2006/relationships/hyperlink" Target="https://advance.lexis.com/api/document?collection=cases-ca&amp;id=urn:contentItem:5F7T-S7K1-DY33-B1RF-00000-00&amp;context=" TargetMode="External" /><Relationship Id="rId860" Type="http://schemas.openxmlformats.org/officeDocument/2006/relationships/header" Target="header132.xml" /><Relationship Id="rId861" Type="http://schemas.openxmlformats.org/officeDocument/2006/relationships/footer" Target="footer132.xml" /><Relationship Id="rId862" Type="http://schemas.openxmlformats.org/officeDocument/2006/relationships/hyperlink" Target="https://advance.lexis.com/api/document?collection=cases-ca&amp;id=urn:contentItem:5XNS-GRH1-JJYN-B3PT-00000-00&amp;context=" TargetMode="External" /><Relationship Id="rId863" Type="http://schemas.openxmlformats.org/officeDocument/2006/relationships/hyperlink" Target="https://advance.lexis.com/api/document?collection=cases-ca&amp;id=urn:contentItem:5MN1-S7H1-JS5Y-B36B-00000-00&amp;context=" TargetMode="External" /><Relationship Id="rId864" Type="http://schemas.openxmlformats.org/officeDocument/2006/relationships/hyperlink" Target="https://advance.lexis.com/api/document?collection=cases-ca&amp;id=urn:contentItem:5XMX-KTD1-F2MB-S2SS-00000-00&amp;context=" TargetMode="External" /><Relationship Id="rId865" Type="http://schemas.openxmlformats.org/officeDocument/2006/relationships/hyperlink" Target="https://advance.lexis.com/api/document?collection=cases-ca&amp;id=urn:contentItem:5F7T-S7P1-JCRC-B25C-00000-00&amp;context=" TargetMode="External" /><Relationship Id="rId866" Type="http://schemas.openxmlformats.org/officeDocument/2006/relationships/hyperlink" Target="https://advance.lexis.com/api/document?collection=cases-ca&amp;id=urn:contentItem:5SGX-98H1-JF1Y-B407-00000-00&amp;context=" TargetMode="External" /><Relationship Id="rId867" Type="http://schemas.openxmlformats.org/officeDocument/2006/relationships/hyperlink" Target="https://advance.lexis.com/api/document?collection=cases-ca&amp;id=urn:contentItem:5F8T-N3V1-FH4C-X1XY-00000-00&amp;context=" TargetMode="External" /><Relationship Id="rId868" Type="http://schemas.openxmlformats.org/officeDocument/2006/relationships/hyperlink" Target="https://advance.lexis.com/api/document?collection=cases-ca&amp;id=urn:contentItem:5JR8-HSY1-JGPY-X012-00000-00&amp;context=" TargetMode="External" /><Relationship Id="rId869" Type="http://schemas.openxmlformats.org/officeDocument/2006/relationships/hyperlink" Target="https://advance.lexis.com/api/document?collection=cases-ca&amp;id=urn:contentItem:5NY2-2SG1-F7G6-6014-00000-00&amp;context=" TargetMode="External" /><Relationship Id="rId87" Type="http://schemas.openxmlformats.org/officeDocument/2006/relationships/hyperlink" Target="https://advance.lexis.com/api/document?collection=cases-ca&amp;id=urn:contentItem:5F8T-N3V1-JTGH-B1BS-00000-00&amp;context=" TargetMode="External" /><Relationship Id="rId870" Type="http://schemas.openxmlformats.org/officeDocument/2006/relationships/hyperlink" Target="https://advance.lexis.com/api/document?collection=cases-ca&amp;id=urn:contentItem:5S9C-3741-F7VM-S1HT-00000-00&amp;context=" TargetMode="External" /><Relationship Id="rId871" Type="http://schemas.openxmlformats.org/officeDocument/2006/relationships/hyperlink" Target="https://advance.lexis.com/api/document?collection=cases-ca&amp;id=urn:contentItem:5TS9-MGX1-FC6N-X26W-00000-00&amp;context=" TargetMode="External" /><Relationship Id="rId872" Type="http://schemas.openxmlformats.org/officeDocument/2006/relationships/hyperlink" Target="https://advance.lexis.com/api/document?collection=cases-ca&amp;id=urn:contentItem:5S18-5CC1-JJ1H-X01Y-00000-00&amp;context=" TargetMode="External" /><Relationship Id="rId873" Type="http://schemas.openxmlformats.org/officeDocument/2006/relationships/hyperlink" Target="https://advance.lexis.com/api/document?collection=cases-ca&amp;id=urn:contentItem:5F7T-S7K1-JSJC-X0YR-00000-00&amp;context=" TargetMode="External" /><Relationship Id="rId874" Type="http://schemas.openxmlformats.org/officeDocument/2006/relationships/hyperlink" Target="https://advance.lexis.com/api/document?collection=cases-ca&amp;id=urn:contentItem:5F7T-S6V1-JFKM-6132-00000-00&amp;context=" TargetMode="External" /><Relationship Id="rId875" Type="http://schemas.openxmlformats.org/officeDocument/2006/relationships/hyperlink" Target="https://advance.lexis.com/api/document?collection=cases-ca&amp;id=urn:contentItem:5G77-HXG1-FCK4-G3XK-00000-00&amp;context=" TargetMode="External" /><Relationship Id="rId876" Type="http://schemas.openxmlformats.org/officeDocument/2006/relationships/hyperlink" Target="https://advance.lexis.com/api/document?collection=cases-ca&amp;id=urn:contentItem:5W9M-7J21-FJTD-G2RT-00000-00&amp;context=" TargetMode="External" /><Relationship Id="rId877" Type="http://schemas.openxmlformats.org/officeDocument/2006/relationships/hyperlink" Target="https://advance.lexis.com/api/document?collection=cases-ca&amp;id=urn:contentItem:5PDP-7WW1-DYFH-X553-00000-00&amp;context=" TargetMode="External" /><Relationship Id="rId878" Type="http://schemas.openxmlformats.org/officeDocument/2006/relationships/hyperlink" Target="https://advance.lexis.com/api/document?collection=cases-ca&amp;id=urn:contentItem:5F7T-S7J1-FGCG-S0K3-00000-00&amp;context=" TargetMode="External" /><Relationship Id="rId879" Type="http://schemas.openxmlformats.org/officeDocument/2006/relationships/header" Target="header133.xml" /><Relationship Id="rId88" Type="http://schemas.openxmlformats.org/officeDocument/2006/relationships/hyperlink" Target="https://advance.lexis.com/api/document?collection=cases-ca&amp;id=urn:contentItem:5GCC-XVC1-JSRM-60DX-00000-00&amp;context=" TargetMode="External" /><Relationship Id="rId880" Type="http://schemas.openxmlformats.org/officeDocument/2006/relationships/header" Target="header134.xml" /><Relationship Id="rId881" Type="http://schemas.openxmlformats.org/officeDocument/2006/relationships/footer" Target="footer133.xml" /><Relationship Id="rId882" Type="http://schemas.openxmlformats.org/officeDocument/2006/relationships/footer" Target="footer134.xml" /><Relationship Id="rId883" Type="http://schemas.openxmlformats.org/officeDocument/2006/relationships/header" Target="header135.xml" /><Relationship Id="rId884" Type="http://schemas.openxmlformats.org/officeDocument/2006/relationships/footer" Target="footer135.xml" /><Relationship Id="rId885" Type="http://schemas.openxmlformats.org/officeDocument/2006/relationships/hyperlink" Target="https://advance.lexis.com/api/document?collection=cases-ca&amp;id=urn:contentItem:5Y0H-8R21-JX8W-M3VT-00000-00&amp;context=" TargetMode="External" /><Relationship Id="rId886" Type="http://schemas.openxmlformats.org/officeDocument/2006/relationships/hyperlink" Target="https://advance.lexis.com/api/document?collection=cases-ca&amp;id=urn:contentItem:5VW1-4BJ1-JF1Y-B1MK-00000-00&amp;context=" TargetMode="External" /><Relationship Id="rId887" Type="http://schemas.openxmlformats.org/officeDocument/2006/relationships/hyperlink" Target="https://advance.lexis.com/api/document?collection=cases-ca&amp;id=urn:contentItem:5WJ0-RVV1-F5KY-B02P-00000-00&amp;context=" TargetMode="External" /><Relationship Id="rId888" Type="http://schemas.openxmlformats.org/officeDocument/2006/relationships/hyperlink" Target="https://advance.lexis.com/api/document?collection=cases-ca&amp;id=urn:contentItem:5W6N-2JC1-JS0R-2466-00000-00&amp;context=" TargetMode="External" /><Relationship Id="rId889" Type="http://schemas.openxmlformats.org/officeDocument/2006/relationships/hyperlink" Target="https://advance.lexis.com/api/document?collection=cases-ca&amp;id=urn:contentItem:5WJ0-RVV1-F5KY-B02B-00000-00&amp;context=" TargetMode="External" /><Relationship Id="rId89" Type="http://schemas.openxmlformats.org/officeDocument/2006/relationships/hyperlink" Target="https://advance.lexis.com/api/document?collection=cases-ca&amp;id=urn:contentItem:5P2P-1K41-FD4T-B4YS-00000-00&amp;context=" TargetMode="External" /><Relationship Id="rId890" Type="http://schemas.openxmlformats.org/officeDocument/2006/relationships/hyperlink" Target="https://advance.lexis.com/api/document?collection=cases-ca&amp;id=urn:contentItem:5WP2-4FN1-K0HK-23DH-00000-00&amp;context=" TargetMode="External" /><Relationship Id="rId891" Type="http://schemas.openxmlformats.org/officeDocument/2006/relationships/hyperlink" Target="https://advance.lexis.com/api/document?collection=cases-ca&amp;id=urn:contentItem:5WP2-4FN1-K0HK-23DX-00000-00&amp;context=" TargetMode="External" /><Relationship Id="rId892" Type="http://schemas.openxmlformats.org/officeDocument/2006/relationships/hyperlink" Target="https://advance.lexis.com/api/document?collection=cases-ca&amp;id=urn:contentItem:5MF2-KC41-F60C-X1GY-00000-00&amp;context=" TargetMode="External" /><Relationship Id="rId893" Type="http://schemas.openxmlformats.org/officeDocument/2006/relationships/hyperlink" Target="https://advance.lexis.com/api/document?collection=cases-ca&amp;id=urn:contentItem:5F81-VJY1-JPGX-S4X5-00000-00&amp;context=" TargetMode="External" /><Relationship Id="rId894" Type="http://schemas.openxmlformats.org/officeDocument/2006/relationships/hyperlink" Target="https://advance.lexis.com/api/document?collection=cases-ca&amp;id=urn:contentItem:5R14-1VH1-JFKM-62SN-00000-00&amp;context=" TargetMode="External" /><Relationship Id="rId895" Type="http://schemas.openxmlformats.org/officeDocument/2006/relationships/hyperlink" Target="https://advance.lexis.com/api/document?collection=cases-ca&amp;id=urn:contentItem:5RYJ-DV21-JKPJ-G15X-00000-00&amp;context=" TargetMode="External" /><Relationship Id="rId896" Type="http://schemas.openxmlformats.org/officeDocument/2006/relationships/header" Target="header136.xml" /><Relationship Id="rId897" Type="http://schemas.openxmlformats.org/officeDocument/2006/relationships/header" Target="header137.xml" /><Relationship Id="rId898" Type="http://schemas.openxmlformats.org/officeDocument/2006/relationships/footer" Target="footer136.xml" /><Relationship Id="rId899" Type="http://schemas.openxmlformats.org/officeDocument/2006/relationships/footer" Target="footer137.xml" /><Relationship Id="rId9" Type="http://schemas.openxmlformats.org/officeDocument/2006/relationships/footer" Target="footer3.xml" /><Relationship Id="rId90" Type="http://schemas.openxmlformats.org/officeDocument/2006/relationships/hyperlink" Target="https://advance.lexis.com/api/document?collection=cases-ca&amp;id=urn:contentItem:5F7T-S7F1-JBT7-X2R8-00000-00&amp;context=" TargetMode="External" /><Relationship Id="rId900" Type="http://schemas.openxmlformats.org/officeDocument/2006/relationships/header" Target="header138.xml" /><Relationship Id="rId901" Type="http://schemas.openxmlformats.org/officeDocument/2006/relationships/footer" Target="footer138.xml" /><Relationship Id="rId902" Type="http://schemas.openxmlformats.org/officeDocument/2006/relationships/hyperlink" Target="https://advance.lexis.com/api/document?collection=cases-ca&amp;id=urn:contentItem:5F7T-S7F1-DXWW-247R-00000-00&amp;context=" TargetMode="External" /><Relationship Id="rId903" Type="http://schemas.openxmlformats.org/officeDocument/2006/relationships/hyperlink" Target="https://advance.lexis.com/api/document?collection=legislation-ca&amp;id=urn:contentItem:5VYK-WB51-K054-G4Y8-00000-00&amp;context=" TargetMode="External" /><Relationship Id="rId904" Type="http://schemas.openxmlformats.org/officeDocument/2006/relationships/hyperlink" Target="https://advance.lexis.com/api/document?collection=cases-ca&amp;id=urn:contentItem:5F7T-S7D1-FC6N-X0N3-00000-00&amp;context=" TargetMode="External" /><Relationship Id="rId905" Type="http://schemas.openxmlformats.org/officeDocument/2006/relationships/hyperlink" Target="https://advance.lexis.com/api/document?collection=cases-ca&amp;id=urn:contentItem:5F7T-S7D1-JS5Y-B294-00000-00&amp;context=" TargetMode="External" /><Relationship Id="rId906" Type="http://schemas.openxmlformats.org/officeDocument/2006/relationships/hyperlink" Target="https://advance.lexis.com/api/document?collection=cases-ca&amp;id=urn:contentItem:5F8P-SC71-JB7K-21MY-00000-00&amp;context=" TargetMode="External" /><Relationship Id="rId907" Type="http://schemas.openxmlformats.org/officeDocument/2006/relationships/hyperlink" Target="https://advance.lexis.com/api/document?collection=cases-ca&amp;id=urn:contentItem:5F7V-3DD1-FG68-G2GN-00000-00&amp;context=" TargetMode="External" /><Relationship Id="rId908" Type="http://schemas.openxmlformats.org/officeDocument/2006/relationships/hyperlink" Target="https://advance.lexis.com/api/document?collection=cases-ca&amp;id=urn:contentItem:5F81-VJX1-FGY5-M36P-00000-00&amp;context=" TargetMode="External" /><Relationship Id="rId909" Type="http://schemas.openxmlformats.org/officeDocument/2006/relationships/hyperlink" Target="https://advance.lexis.com/api/document?collection=cases-ca&amp;id=urn:contentItem:5F8P-SCS1-JX3N-B100-00000-00&amp;context=" TargetMode="External" /><Relationship Id="rId91" Type="http://schemas.openxmlformats.org/officeDocument/2006/relationships/header" Target="header16.xml" /><Relationship Id="rId910" Type="http://schemas.openxmlformats.org/officeDocument/2006/relationships/hyperlink" Target="https://advance.lexis.com/api/document?collection=cases-ca&amp;id=urn:contentItem:5F8P-SDK1-JFKM-63X0-00000-00&amp;context=" TargetMode="External" /><Relationship Id="rId911" Type="http://schemas.openxmlformats.org/officeDocument/2006/relationships/hyperlink" Target="https://advance.lexis.com/api/document?collection=cases-ca&amp;id=urn:contentItem:5F7T-S7F1-FFFC-B1PN-00000-00&amp;context=" TargetMode="External" /><Relationship Id="rId912" Type="http://schemas.openxmlformats.org/officeDocument/2006/relationships/hyperlink" Target="https://advance.lexis.com/api/document?collection=cases-ca&amp;id=urn:contentItem:5F7T-S7F1-F7VM-S49M-00000-00&amp;context=" TargetMode="External" /><Relationship Id="rId913" Type="http://schemas.openxmlformats.org/officeDocument/2006/relationships/header" Target="header139.xml" /><Relationship Id="rId914" Type="http://schemas.openxmlformats.org/officeDocument/2006/relationships/header" Target="header140.xml" /><Relationship Id="rId915" Type="http://schemas.openxmlformats.org/officeDocument/2006/relationships/footer" Target="footer139.xml" /><Relationship Id="rId916" Type="http://schemas.openxmlformats.org/officeDocument/2006/relationships/footer" Target="footer140.xml" /><Relationship Id="rId917" Type="http://schemas.openxmlformats.org/officeDocument/2006/relationships/header" Target="header141.xml" /><Relationship Id="rId918" Type="http://schemas.openxmlformats.org/officeDocument/2006/relationships/footer" Target="footer141.xml" /><Relationship Id="rId919" Type="http://schemas.openxmlformats.org/officeDocument/2006/relationships/hyperlink" Target="https://advance.lexis.com/api/document?collection=cases-ca&amp;id=urn:contentItem:5F7T-S7P1-JBDT-B1BT-00000-00&amp;context=" TargetMode="External" /><Relationship Id="rId92" Type="http://schemas.openxmlformats.org/officeDocument/2006/relationships/header" Target="header17.xml" /><Relationship Id="rId920" Type="http://schemas.openxmlformats.org/officeDocument/2006/relationships/hyperlink" Target="https://advance.lexis.com/api/document?collection=cases-ca&amp;id=urn:contentItem:5F7T-S7C1-F4NT-X3M1-00000-00&amp;context=" TargetMode="External" /><Relationship Id="rId921" Type="http://schemas.openxmlformats.org/officeDocument/2006/relationships/hyperlink" Target="https://advance.lexis.com/api/document?collection=cases-ca&amp;id=urn:contentItem:5F8T-N3V1-JTGH-B1BH-00000-00&amp;context=" TargetMode="External" /><Relationship Id="rId922" Type="http://schemas.openxmlformats.org/officeDocument/2006/relationships/hyperlink" Target="https://advance.lexis.com/api/document?collection=cases-ca&amp;id=urn:contentItem:5F8T-N3V1-FH4C-X1Y8-00000-00&amp;context=" TargetMode="External" /><Relationship Id="rId923" Type="http://schemas.openxmlformats.org/officeDocument/2006/relationships/hyperlink" Target="https://advance.lexis.com/api/document?collection=cases-ca&amp;id=urn:contentItem:5F8T-N3V1-FH4C-X1Y0-00000-00&amp;context=" TargetMode="External" /><Relationship Id="rId924" Type="http://schemas.openxmlformats.org/officeDocument/2006/relationships/hyperlink" Target="https://advance.lexis.com/api/document?collection=cases-ca&amp;id=urn:contentItem:5F7T-S7K1-JSJC-X0YB-00000-00&amp;context=" TargetMode="External" /><Relationship Id="rId925" Type="http://schemas.openxmlformats.org/officeDocument/2006/relationships/hyperlink" Target="https://advance.lexis.com/api/document?collection=cases-ca&amp;id=urn:contentItem:5F8T-N3V1-FH4C-X1Y9-00000-00&amp;context=" TargetMode="External" /><Relationship Id="rId926" Type="http://schemas.openxmlformats.org/officeDocument/2006/relationships/hyperlink" Target="https://advance.lexis.com/api/document?collection=cases-ca&amp;id=urn:contentItem:5F8T-N3V1-FH4C-X23D-00000-00&amp;context=" TargetMode="External" /><Relationship Id="rId927" Type="http://schemas.openxmlformats.org/officeDocument/2006/relationships/hyperlink" Target="https://advance.lexis.com/api/document?collection=cases-ca&amp;id=urn:contentItem:5F8T-N3V1-FH4C-X1Y6-00000-00&amp;context=" TargetMode="External" /><Relationship Id="rId928" Type="http://schemas.openxmlformats.org/officeDocument/2006/relationships/hyperlink" Target="https://advance.lexis.com/api/document?collection=cases-ca&amp;id=urn:contentItem:5F8T-N3V1-FH4C-X1WB-00000-00&amp;context=" TargetMode="External" /><Relationship Id="rId929" Type="http://schemas.openxmlformats.org/officeDocument/2006/relationships/hyperlink" Target="https://advance.lexis.com/api/document?collection=cases-ca&amp;id=urn:contentItem:5F8T-N3V1-FH4C-X24K-00000-00&amp;context=" TargetMode="External" /><Relationship Id="rId93" Type="http://schemas.openxmlformats.org/officeDocument/2006/relationships/footer" Target="footer16.xml" /><Relationship Id="rId930" Type="http://schemas.openxmlformats.org/officeDocument/2006/relationships/hyperlink" Target="https://advance.lexis.com/api/document?collection=cases-ca&amp;id=urn:contentItem:5F7T-S7N1-JGHR-M38M-00000-00&amp;context=" TargetMode="External" /><Relationship Id="rId931" Type="http://schemas.openxmlformats.org/officeDocument/2006/relationships/hyperlink" Target="https://advance.lexis.com/api/document?collection=cases-ca&amp;id=urn:contentItem:5F8T-N3S1-JT99-24X4-00000-00&amp;context=" TargetMode="External" /><Relationship Id="rId932" Type="http://schemas.openxmlformats.org/officeDocument/2006/relationships/hyperlink" Target="https://advance.lexis.com/api/document?collection=cases-ca&amp;id=urn:contentItem:5F7T-S751-JGHR-M1VS-00000-00&amp;context=" TargetMode="External" /><Relationship Id="rId933" Type="http://schemas.openxmlformats.org/officeDocument/2006/relationships/hyperlink" Target="https://advance.lexis.com/api/document?collection=cases-ca&amp;id=urn:contentItem:5F8T-N3V1-FC1F-M42R-00000-00&amp;context=" TargetMode="External" /><Relationship Id="rId934" Type="http://schemas.openxmlformats.org/officeDocument/2006/relationships/hyperlink" Target="https://advance.lexis.com/api/document?collection=cases-ca&amp;id=urn:contentItem:5F81-VJW1-JGPY-X4FV-00000-00&amp;context=" TargetMode="External" /><Relationship Id="rId935" Type="http://schemas.openxmlformats.org/officeDocument/2006/relationships/hyperlink" Target="https://advance.lexis.com/api/document?collection=cases-ca&amp;id=urn:contentItem:5F8T-N3V1-JF75-M3SR-00000-00&amp;context=" TargetMode="External" /><Relationship Id="rId936" Type="http://schemas.openxmlformats.org/officeDocument/2006/relationships/hyperlink" Target="https://advance.lexis.com/api/document?collection=cases-ca&amp;id=urn:contentItem:5F8T-N3T1-JT99-2009-00000-00&amp;context=" TargetMode="External" /><Relationship Id="rId937" Type="http://schemas.openxmlformats.org/officeDocument/2006/relationships/hyperlink" Target="https://advance.lexis.com/api/document?collection=cases-ca&amp;id=urn:contentItem:5F8T-N3V1-JTGH-B1F5-00000-00&amp;context=" TargetMode="External" /><Relationship Id="rId938" Type="http://schemas.openxmlformats.org/officeDocument/2006/relationships/hyperlink" Target="https://advance.lexis.com/api/document?collection=cases-ca&amp;id=urn:contentItem:5F7T-S6R1-JGPY-X12K-00000-00&amp;context=" TargetMode="External" /><Relationship Id="rId939" Type="http://schemas.openxmlformats.org/officeDocument/2006/relationships/hyperlink" Target="https://advance.lexis.com/api/document?collection=cases-ca&amp;id=urn:contentItem:5F7T-S7N1-JC5P-G27D-00000-00&amp;context=" TargetMode="External" /><Relationship Id="rId94" Type="http://schemas.openxmlformats.org/officeDocument/2006/relationships/footer" Target="footer17.xml" /><Relationship Id="rId940" Type="http://schemas.openxmlformats.org/officeDocument/2006/relationships/hyperlink" Target="https://advance.lexis.com/api/document?collection=cases-ca&amp;id=urn:contentItem:5F7T-S7J1-FGCG-S0CG-00000-00&amp;context=" TargetMode="External" /><Relationship Id="rId941" Type="http://schemas.openxmlformats.org/officeDocument/2006/relationships/header" Target="header142.xml" /><Relationship Id="rId942" Type="http://schemas.openxmlformats.org/officeDocument/2006/relationships/header" Target="header143.xml" /><Relationship Id="rId943" Type="http://schemas.openxmlformats.org/officeDocument/2006/relationships/footer" Target="footer142.xml" /><Relationship Id="rId944" Type="http://schemas.openxmlformats.org/officeDocument/2006/relationships/footer" Target="footer143.xml" /><Relationship Id="rId945" Type="http://schemas.openxmlformats.org/officeDocument/2006/relationships/header" Target="header144.xml" /><Relationship Id="rId946" Type="http://schemas.openxmlformats.org/officeDocument/2006/relationships/footer" Target="footer144.xml" /><Relationship Id="rId947" Type="http://schemas.openxmlformats.org/officeDocument/2006/relationships/hyperlink" Target="https://advance.lexis.com/api/document?collection=cases-ca&amp;id=urn:contentItem:5F7T-S771-JJD0-G15X-00000-00&amp;context=" TargetMode="External" /><Relationship Id="rId948" Type="http://schemas.openxmlformats.org/officeDocument/2006/relationships/hyperlink" Target="https://advance.lexis.com/api/document?collection=legislation-ca&amp;id=urn:contentItem:5F41-1FJ1-JPGX-S0S5-00000-00&amp;context=" TargetMode="External" /><Relationship Id="rId949" Type="http://schemas.openxmlformats.org/officeDocument/2006/relationships/hyperlink" Target="https://advance.lexis.com/api/document?collection=cases-ca&amp;id=urn:contentItem:5F8T-N3T1-JFKM-653C-00000-00&amp;context=" TargetMode="External" /><Relationship Id="rId95" Type="http://schemas.openxmlformats.org/officeDocument/2006/relationships/header" Target="header18.xml" /><Relationship Id="rId950" Type="http://schemas.openxmlformats.org/officeDocument/2006/relationships/hyperlink" Target="https://advance.lexis.com/api/document?collection=cases-ca&amp;id=urn:contentItem:5F7T-S751-JGHR-M1T4-00000-00&amp;context=" TargetMode="External" /><Relationship Id="rId951" Type="http://schemas.openxmlformats.org/officeDocument/2006/relationships/hyperlink" Target="https://advance.lexis.com/api/document?collection=cases-ca&amp;id=urn:contentItem:5F7T-S731-DY33-B0T1-00000-00&amp;context=" TargetMode="External" /><Relationship Id="rId952" Type="http://schemas.openxmlformats.org/officeDocument/2006/relationships/header" Target="header145.xml" /><Relationship Id="rId953" Type="http://schemas.openxmlformats.org/officeDocument/2006/relationships/header" Target="header146.xml" /><Relationship Id="rId954" Type="http://schemas.openxmlformats.org/officeDocument/2006/relationships/footer" Target="footer145.xml" /><Relationship Id="rId955" Type="http://schemas.openxmlformats.org/officeDocument/2006/relationships/footer" Target="footer146.xml" /><Relationship Id="rId956" Type="http://schemas.openxmlformats.org/officeDocument/2006/relationships/header" Target="header147.xml" /><Relationship Id="rId957" Type="http://schemas.openxmlformats.org/officeDocument/2006/relationships/footer" Target="footer147.xml" /><Relationship Id="rId958" Type="http://schemas.openxmlformats.org/officeDocument/2006/relationships/hyperlink" Target="https://advance.lexis.com/api/document?collection=cases-ca&amp;id=urn:contentItem:5F7T-S7G1-JBT7-X3X7-00000-00&amp;context=" TargetMode="External" /><Relationship Id="rId959" Type="http://schemas.openxmlformats.org/officeDocument/2006/relationships/hyperlink" Target="https://advance.lexis.com/api/document?collection=cases-ca&amp;id=urn:contentItem:5F7T-S771-JW5H-X1TX-00000-00&amp;context=" TargetMode="External" /><Relationship Id="rId96" Type="http://schemas.openxmlformats.org/officeDocument/2006/relationships/footer" Target="footer18.xml" /><Relationship Id="rId960" Type="http://schemas.openxmlformats.org/officeDocument/2006/relationships/hyperlink" Target="https://advance.lexis.com/api/document?collection=cases-ca&amp;id=urn:contentItem:5F7T-S781-FH4C-X2MR-00000-00&amp;context=" TargetMode="External" /><Relationship Id="rId961" Type="http://schemas.openxmlformats.org/officeDocument/2006/relationships/hyperlink" Target="https://advance.lexis.com/api/document?collection=cases-ca&amp;id=urn:contentItem:5F7T-S6W1-JB7K-21C4-00000-00&amp;context=" TargetMode="External" /><Relationship Id="rId962" Type="http://schemas.openxmlformats.org/officeDocument/2006/relationships/hyperlink" Target="https://advance.lexis.com/api/document?collection=cases-ca&amp;id=urn:contentItem:5F7T-S751-JCJ5-24KB-00000-00&amp;context=" TargetMode="External" /><Relationship Id="rId963" Type="http://schemas.openxmlformats.org/officeDocument/2006/relationships/hyperlink" Target="https://advance.lexis.com/api/document?collection=cases-ca&amp;id=urn:contentItem:5F7T-S731-F1WF-M229-00000-00&amp;context=" TargetMode="External" /><Relationship Id="rId964" Type="http://schemas.openxmlformats.org/officeDocument/2006/relationships/hyperlink" Target="https://advance.lexis.com/api/document?collection=cases-ca&amp;id=urn:contentItem:5F7T-S741-F528-G1YK-00000-00&amp;context=" TargetMode="External" /><Relationship Id="rId965" Type="http://schemas.openxmlformats.org/officeDocument/2006/relationships/hyperlink" Target="https://advance.lexis.com/api/document?collection=cases-ca&amp;id=urn:contentItem:5F7T-S791-FJTD-G2V2-00000-00&amp;context=" TargetMode="External" /><Relationship Id="rId966" Type="http://schemas.openxmlformats.org/officeDocument/2006/relationships/header" Target="header148.xml" /><Relationship Id="rId967" Type="http://schemas.openxmlformats.org/officeDocument/2006/relationships/header" Target="header149.xml" /><Relationship Id="rId968" Type="http://schemas.openxmlformats.org/officeDocument/2006/relationships/footer" Target="footer148.xml" /><Relationship Id="rId969" Type="http://schemas.openxmlformats.org/officeDocument/2006/relationships/footer" Target="footer149.xml" /><Relationship Id="rId97" Type="http://schemas.openxmlformats.org/officeDocument/2006/relationships/hyperlink" Target="https://advance.lexis.com/api/document?collection=cases-ca&amp;id=urn:contentItem:5YG5-C8P1-FFTT-X4XF-00000-00&amp;context=" TargetMode="External" /><Relationship Id="rId970" Type="http://schemas.openxmlformats.org/officeDocument/2006/relationships/header" Target="header150.xml" /><Relationship Id="rId971" Type="http://schemas.openxmlformats.org/officeDocument/2006/relationships/footer" Target="footer150.xml" /><Relationship Id="rId972" Type="http://schemas.openxmlformats.org/officeDocument/2006/relationships/hyperlink" Target="https://advance.lexis.com/api/document?collection=cases-ca&amp;id=urn:contentItem:5F7T-S7C1-F7VM-S3DF-00000-00&amp;context=" TargetMode="External" /><Relationship Id="rId973" Type="http://schemas.openxmlformats.org/officeDocument/2006/relationships/hyperlink" Target="https://advance.lexis.com/api/document?collection=legislation-ca&amp;id=urn:contentItem:5F41-1FG1-JGHR-M2KX-00000-00&amp;context=" TargetMode="External" /><Relationship Id="rId974" Type="http://schemas.openxmlformats.org/officeDocument/2006/relationships/hyperlink" Target="https://advance.lexis.com/api/document?collection=cases-ca&amp;id=urn:contentItem:5F8T-N3V1-JF75-M3JV-00000-00&amp;context=" TargetMode="External" /><Relationship Id="rId975" Type="http://schemas.openxmlformats.org/officeDocument/2006/relationships/hyperlink" Target="https://advance.lexis.com/api/document?collection=cases-ca&amp;id=urn:contentItem:5F7T-S781-JC5P-G1HV-00000-00&amp;context=" TargetMode="External" /><Relationship Id="rId976" Type="http://schemas.openxmlformats.org/officeDocument/2006/relationships/hyperlink" Target="https://advance.lexis.com/api/document?collection=cases-ca&amp;id=urn:contentItem:5F7T-S7B1-F7ND-G4YN-00000-00&amp;context=" TargetMode="External" /><Relationship Id="rId977" Type="http://schemas.openxmlformats.org/officeDocument/2006/relationships/hyperlink" Target="https://advance.lexis.com/api/document?collection=cases-ca&amp;id=urn:contentItem:5F7T-S781-JSC5-M3YN-00000-00&amp;context=" TargetMode="External" /><Relationship Id="rId978" Type="http://schemas.openxmlformats.org/officeDocument/2006/relationships/hyperlink" Target="https://advance.lexis.com/api/document?collection=legislation-ca&amp;id=urn:contentItem:5W2C-X5N1-FBV7-B00Y-00000-00&amp;context=" TargetMode="External" /><Relationship Id="rId979" Type="http://schemas.openxmlformats.org/officeDocument/2006/relationships/hyperlink" Target="https://advance.lexis.com/api/document?collection=cases-ca&amp;id=urn:contentItem:5F7T-S7C1-FCSB-S2FK-00000-00&amp;context=" TargetMode="External" /><Relationship Id="rId98" Type="http://schemas.openxmlformats.org/officeDocument/2006/relationships/hyperlink" Target="https://advance.lexis.com/api/document?collection=cases-ca&amp;id=urn:contentItem:5F7T-S7M1-JNCK-22RP-00000-00&amp;context=" TargetMode="External" /><Relationship Id="rId980" Type="http://schemas.openxmlformats.org/officeDocument/2006/relationships/numbering" Target="numbering.xml" /><Relationship Id="rId981" Type="http://schemas.openxmlformats.org/officeDocument/2006/relationships/styles" Target="styles.xml" /><Relationship Id="rId99" Type="http://schemas.openxmlformats.org/officeDocument/2006/relationships/hyperlink" Target="https://advance.lexis.com/api/document?collection=cases-ca&amp;id=urn:contentItem:5F8T-N3V1-FH4C-X20M-00000-00&amp;context="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McCaffery v. British Columbia (Solicitor General Office), [2004] B.C.J. No. 217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115053129</vt:lpwstr>
  </property>
  <property fmtid="{D5CDD505-2E9C-101B-9397-08002B2CF9AE}" pid="3" name="LADocCount">
    <vt:i4>50</vt:i4>
  </property>
  <property fmtid="{D5CDD505-2E9C-101B-9397-08002B2CF9AE}" pid="4" name="Language">
    <vt:lpwstr>en-CA</vt:lpwstr>
  </property>
  <property fmtid="{D5CDD505-2E9C-101B-9397-08002B2CF9AE}" pid="5" name="UserPermID">
    <vt:lpwstr>urn:user:PA187417739</vt:lpwstr>
  </property>
</Properties>
</file>